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3F4818"/>
          <w:sz w:val="20"/>
          <w:szCs w:val="20"/>
        </w:rPr>
        <w:t xml:space="preserve">THE INDEX</w:t>
      </w:r>
    </w:p>
    <w:p>
      <w:pPr>
        <w:spacing w:after="120"/>
      </w:pPr>
      <w:r>
        <w:rPr>
          <w:rFonts w:ascii="Georgia" w:cs="Georgia" w:eastAsia="Georgia" w:hAnsi="Georgia"/>
          <w:color w:val="3F4818"/>
          <w:sz w:val="52"/>
          <w:szCs w:val="52"/>
        </w:rPr>
        <w:t xml:space="preserve">Editorial review copy</w:t>
      </w:r>
    </w:p>
    <w:p>
      <w:pPr>
        <w:pBdr>
          <w:bottom w:val="single" w:color="3F4818" w:sz="6" w:space="12"/>
        </w:pBdr>
        <w:spacing w:after="360"/>
      </w:pPr>
      <w:r>
        <w:rPr>
          <w:rFonts w:ascii="Georgia" w:cs="Georgia" w:eastAsia="Georgia" w:hAnsi="Georgia"/>
          <w:i/>
          <w:iCs/>
          <w:color w:val="5F5F45"/>
          <w:sz w:val="24"/>
          <w:szCs w:val="24"/>
        </w:rPr>
        <w:t xml:space="preserve">Every line of editable text in both published articles, deduplicated.</w:t>
      </w:r>
    </w:p>
    <w:p>
      <w:pPr>
        <w:spacing w:after="160" w:before="200"/>
      </w:pPr>
      <w:r>
        <w:rPr>
          <w:rFonts w:ascii="Georgia" w:cs="Georgia" w:eastAsia="Georgia" w:hAnsi="Georgia"/>
          <w:b/>
          <w:bCs/>
          <w:color w:val="1A1A0A"/>
          <w:sz w:val="26"/>
          <w:szCs w:val="26"/>
        </w:rPr>
        <w:t xml:space="preserve">How to use this document</w:t>
      </w:r>
    </w:p>
    <w:p>
      <w:pPr>
        <w:spacing w:after="40" w:before="140"/>
      </w:pPr>
      <w:r>
        <w:rPr>
          <w:rFonts w:ascii="Arial" w:cs="Arial" w:eastAsia="Arial" w:hAnsi="Arial"/>
          <w:b/>
          <w:bCs/>
          <w:color w:val="3F4818"/>
          <w:sz w:val="22"/>
          <w:szCs w:val="22"/>
        </w:rPr>
        <w:t xml:space="preserve">1.  </w:t>
      </w:r>
      <w:r>
        <w:rPr>
          <w:rFonts w:ascii="Arial" w:cs="Arial" w:eastAsia="Arial" w:hAnsi="Arial"/>
          <w:b/>
          <w:bCs/>
          <w:color w:val="1A1A0A"/>
          <w:sz w:val="22"/>
          <w:szCs w:val="22"/>
        </w:rPr>
        <w:t xml:space="preserve">Turn on Track Changes before you start.</w:t>
      </w:r>
    </w:p>
    <w:p>
      <w:pPr>
        <w:spacing w:after="60"/>
        <w:ind w:left="340"/>
      </w:pPr>
      <w:r>
        <w:rPr>
          <w:rFonts w:ascii="Georgia" w:cs="Georgia" w:eastAsia="Georgia" w:hAnsi="Georgia"/>
          <w:color w:val="5F5F45"/>
          <w:sz w:val="21"/>
          <w:szCs w:val="21"/>
        </w:rPr>
        <w:t xml:space="preserve">In Word: Review → Track Changes → On. Your insertions and deletions are read back directly, so I apply exactly what you marked rather than guessing from a diff.</w:t>
      </w:r>
    </w:p>
    <w:p>
      <w:pPr>
        <w:spacing w:after="40" w:before="140"/>
      </w:pPr>
      <w:r>
        <w:rPr>
          <w:rFonts w:ascii="Arial" w:cs="Arial" w:eastAsia="Arial" w:hAnsi="Arial"/>
          <w:b/>
          <w:bCs/>
          <w:color w:val="3F4818"/>
          <w:sz w:val="22"/>
          <w:szCs w:val="22"/>
        </w:rPr>
        <w:t xml:space="preserve">2.  </w:t>
      </w:r>
      <w:r>
        <w:rPr>
          <w:rFonts w:ascii="Arial" w:cs="Arial" w:eastAsia="Arial" w:hAnsi="Arial"/>
          <w:b/>
          <w:bCs/>
          <w:color w:val="1A1A0A"/>
          <w:sz w:val="22"/>
          <w:szCs w:val="22"/>
        </w:rPr>
        <w:t xml:space="preserve">Edit the black text only.</w:t>
      </w:r>
    </w:p>
    <w:p>
      <w:pPr>
        <w:spacing w:after="60"/>
        <w:ind w:left="340"/>
      </w:pPr>
      <w:r>
        <w:rPr>
          <w:rFonts w:ascii="Georgia" w:cs="Georgia" w:eastAsia="Georgia" w:hAnsi="Georgia"/>
          <w:color w:val="5F5F45"/>
          <w:sz w:val="21"/>
          <w:szCs w:val="21"/>
        </w:rPr>
        <w:t xml:space="preserve">The small grey line above each paragraph (for example [A-042] Exhibit › sub) is the anchor that maps your edit back to the right place in the code. Leave those lines alone. If one gets deleted by accident I can still recover it, but it is slower.</w:t>
      </w:r>
    </w:p>
    <w:p>
      <w:pPr>
        <w:spacing w:after="40" w:before="140"/>
      </w:pPr>
      <w:r>
        <w:rPr>
          <w:rFonts w:ascii="Arial" w:cs="Arial" w:eastAsia="Arial" w:hAnsi="Arial"/>
          <w:b/>
          <w:bCs/>
          <w:color w:val="3F4818"/>
          <w:sz w:val="22"/>
          <w:szCs w:val="22"/>
        </w:rPr>
        <w:t xml:space="preserve">3.  </w:t>
      </w:r>
      <w:r>
        <w:rPr>
          <w:rFonts w:ascii="Arial" w:cs="Arial" w:eastAsia="Arial" w:hAnsi="Arial"/>
          <w:b/>
          <w:bCs/>
          <w:color w:val="1A1A0A"/>
          <w:sz w:val="22"/>
          <w:szCs w:val="22"/>
        </w:rPr>
        <w:t xml:space="preserve">Blocks marked SHARED appear in both articles.</w:t>
      </w:r>
    </w:p>
    <w:p>
      <w:pPr>
        <w:spacing w:after="60"/>
        <w:ind w:left="340"/>
      </w:pPr>
      <w:r>
        <w:rPr>
          <w:rFonts w:ascii="Georgia" w:cs="Georgia" w:eastAsia="Georgia" w:hAnsi="Georgia"/>
          <w:color w:val="5F5F45"/>
          <w:sz w:val="21"/>
          <w:szCs w:val="21"/>
        </w:rPr>
        <w:t xml:space="preserve">Edit them once here and the change lands in both pieces, keeping the two articles consistent. There are 116 of them, mostly exhibit captions and source notes.</w:t>
      </w:r>
    </w:p>
    <w:p>
      <w:pPr>
        <w:spacing w:after="40" w:before="140"/>
      </w:pPr>
      <w:r>
        <w:rPr>
          <w:rFonts w:ascii="Arial" w:cs="Arial" w:eastAsia="Arial" w:hAnsi="Arial"/>
          <w:b/>
          <w:bCs/>
          <w:color w:val="3F4818"/>
          <w:sz w:val="22"/>
          <w:szCs w:val="22"/>
        </w:rPr>
        <w:t xml:space="preserve">4.  </w:t>
      </w:r>
      <w:r>
        <w:rPr>
          <w:rFonts w:ascii="Arial" w:cs="Arial" w:eastAsia="Arial" w:hAnsi="Arial"/>
          <w:b/>
          <w:bCs/>
          <w:color w:val="1A1A0A"/>
          <w:sz w:val="22"/>
          <w:szCs w:val="22"/>
        </w:rPr>
        <w:t xml:space="preserve">Keep any &lt;strong&gt; tags you see.</w:t>
      </w:r>
    </w:p>
    <w:p>
      <w:pPr>
        <w:spacing w:after="60"/>
        <w:ind w:left="340"/>
      </w:pPr>
      <w:r>
        <w:rPr>
          <w:rFonts w:ascii="Georgia" w:cs="Georgia" w:eastAsia="Georgia" w:hAnsi="Georgia"/>
          <w:color w:val="5F5F45"/>
          <w:sz w:val="21"/>
          <w:szCs w:val="21"/>
        </w:rPr>
        <w:t xml:space="preserve">A few lines carry inline formatting markup. &lt;strong&gt;text&lt;/strong&gt; renders as bold on the site. Edit around the tags and leave them in place.</w:t>
      </w:r>
    </w:p>
    <w:p>
      <w:pPr>
        <w:spacing w:after="40" w:before="140"/>
      </w:pPr>
      <w:r>
        <w:rPr>
          <w:rFonts w:ascii="Arial" w:cs="Arial" w:eastAsia="Arial" w:hAnsi="Arial"/>
          <w:b/>
          <w:bCs/>
          <w:color w:val="3F4818"/>
          <w:sz w:val="22"/>
          <w:szCs w:val="22"/>
        </w:rPr>
        <w:t xml:space="preserve">5.  </w:t>
      </w:r>
      <w:r>
        <w:rPr>
          <w:rFonts w:ascii="Arial" w:cs="Arial" w:eastAsia="Arial" w:hAnsi="Arial"/>
          <w:b/>
          <w:bCs/>
          <w:color w:val="1A1A0A"/>
          <w:sz w:val="22"/>
          <w:szCs w:val="22"/>
        </w:rPr>
        <w:t xml:space="preserve">Comments are welcome.</w:t>
      </w:r>
    </w:p>
    <w:p>
      <w:pPr>
        <w:spacing w:after="60"/>
        <w:ind w:left="340"/>
      </w:pPr>
      <w:r>
        <w:rPr>
          <w:rFonts w:ascii="Georgia" w:cs="Georgia" w:eastAsia="Georgia" w:hAnsi="Georgia"/>
          <w:color w:val="5F5F45"/>
          <w:sz w:val="21"/>
          <w:szCs w:val="21"/>
        </w:rPr>
        <w:t xml:space="preserve">If you want something rewritten but do not want to draft it yourself, leave a Word comment on the line and I will take it from there.</w:t>
      </w:r>
    </w:p>
    <w:p>
      <w:pPr>
        <w:spacing w:after="40" w:before="140"/>
      </w:pPr>
      <w:r>
        <w:rPr>
          <w:rFonts w:ascii="Arial" w:cs="Arial" w:eastAsia="Arial" w:hAnsi="Arial"/>
          <w:b/>
          <w:bCs/>
          <w:color w:val="3F4818"/>
          <w:sz w:val="22"/>
          <w:szCs w:val="22"/>
        </w:rPr>
        <w:t xml:space="preserve">6.  </w:t>
      </w:r>
      <w:r>
        <w:rPr>
          <w:rFonts w:ascii="Arial" w:cs="Arial" w:eastAsia="Arial" w:hAnsi="Arial"/>
          <w:b/>
          <w:bCs/>
          <w:color w:val="1A1A0A"/>
          <w:sz w:val="22"/>
          <w:szCs w:val="22"/>
        </w:rPr>
        <w:t xml:space="preserve">Numbers are audited.</w:t>
      </w:r>
    </w:p>
    <w:p>
      <w:pPr>
        <w:spacing w:after="60"/>
        <w:ind w:left="340"/>
      </w:pPr>
      <w:r>
        <w:rPr>
          <w:rFonts w:ascii="Georgia" w:cs="Georgia" w:eastAsia="Georgia" w:hAnsi="Georgia"/>
          <w:color w:val="5F5F45"/>
          <w:sz w:val="21"/>
          <w:szCs w:val="21"/>
        </w:rPr>
        <w:t xml:space="preserve">Statistics in the text are checked against the source data by an automated audit. If you change a figure the audit may fail, which is a useful signal rather than a problem. I will flag anything that breaks.</w:t>
      </w:r>
    </w:p>
    <w:p>
      <w:pPr>
        <w:pBdr>
          <w:top w:val="single" w:color="C8CDB8" w:sz="4" w:space="10"/>
        </w:pBdr>
        <w:spacing w:before="360"/>
      </w:pPr>
      <w:r>
        <w:rPr>
          <w:rFonts w:ascii="Arial" w:cs="Arial" w:eastAsia="Arial" w:hAnsi="Arial"/>
          <w:color w:val="8A8A78"/>
          <w:sz w:val="20"/>
          <w:szCs w:val="20"/>
        </w:rPr>
        <w:t xml:space="preserve">387 editable blocks · 116 shared · 142 unique to Article One · 129 unique to Article Two</w:t>
      </w:r>
    </w:p>
    <w:p>
      <w:r>
        <w:br w:type="page"/>
      </w:r>
    </w:p>
    <w:p>
      <w:pPr>
        <w:pStyle w:val="Heading1"/>
        <w:spacing w:after="60"/>
      </w:pPr>
      <w:r>
        <w:rPr>
          <w:rFonts w:ascii="Arial" w:cs="Arial" w:eastAsia="Arial" w:hAnsi="Arial"/>
          <w:b/>
          <w:bCs/>
          <w:color w:val="3F4818"/>
          <w:sz w:val="20"/>
          <w:szCs w:val="20"/>
        </w:rPr>
        <w:t xml:space="preserve">Article One</w:t>
      </w:r>
    </w:p>
    <w:p>
      <w:pPr>
        <w:spacing w:after="60"/>
      </w:pPr>
      <w:r>
        <w:rPr>
          <w:rFonts w:ascii="Georgia" w:cs="Georgia" w:eastAsia="Georgia" w:hAnsi="Georgia"/>
          <w:color w:val="3F4818"/>
          <w:sz w:val="40"/>
          <w:szCs w:val="40"/>
        </w:rPr>
        <w:t xml:space="preserve">Asia's rise, and the rest</w:t>
      </w:r>
    </w:p>
    <w:p>
      <w:pPr>
        <w:pBdr>
          <w:bottom w:val="single" w:color="3F4818" w:sz="8" w:space="10"/>
        </w:pBdr>
        <w:spacing w:after="300"/>
      </w:pPr>
      <w:r>
        <w:rPr>
          <w:rFonts w:ascii="Consolas" w:cs="Consolas" w:eastAsia="Consolas" w:hAnsi="Consolas"/>
          <w:color w:val="8A8A78"/>
          <w:sz w:val="18"/>
          <w:szCs w:val="18"/>
        </w:rPr>
        <w:t xml:space="preserve">/articles/decade-that-reshaped-higher-education</w:t>
      </w:r>
    </w:p>
    <w:p>
      <w:pPr>
        <w:pStyle w:val="Heading2"/>
        <w:pBdr>
          <w:top w:val="single" w:color="3F4818" w:sz="6" w:space="8"/>
        </w:pBdr>
        <w:spacing w:after="160" w:before="400"/>
      </w:pPr>
      <w:r>
        <w:rPr>
          <w:rFonts w:ascii="Arial" w:cs="Arial" w:eastAsia="Arial" w:hAnsi="Arial"/>
          <w:b/>
          <w:bCs/>
          <w:color w:val="3F4818"/>
          <w:sz w:val="21"/>
          <w:szCs w:val="21"/>
        </w:rPr>
        <w:t xml:space="preserve">HEADLINE</w:t>
      </w:r>
    </w:p>
    <w:p>
      <w:pPr>
        <w:pStyle w:val="BlockAnchor"/>
        <w:keepNext/>
        <w:spacing w:after="40" w:before="200"/>
      </w:pPr>
      <w:r>
        <w:rPr>
          <w:rFonts w:ascii="Consolas" w:cs="Consolas" w:eastAsia="Consolas" w:hAnsi="Consolas"/>
          <w:b/>
          <w:bCs/>
          <w:color w:val="8A8A78"/>
          <w:sz w:val="16"/>
          <w:szCs w:val="16"/>
        </w:rPr>
        <w:t xml:space="preserve">[A-001]</w:t>
      </w:r>
      <w:r>
        <w:rPr>
          <w:rFonts w:ascii="Arial" w:cs="Arial" w:eastAsia="Arial" w:hAnsi="Arial"/>
          <w:color w:val="8A8A78"/>
          <w:sz w:val="16"/>
          <w:szCs w:val="16"/>
        </w:rPr>
        <w:t xml:space="preserve">  title</w:t>
      </w:r>
    </w:p>
    <w:p>
      <w:pPr>
        <w:pStyle w:val="EditableText"/>
        <w:spacing w:after="100" w:line="300"/>
        <w:ind w:left="120"/>
      </w:pPr>
      <w:r>
        <w:rPr>
          <w:rFonts w:ascii="Georgia" w:cs="Georgia" w:eastAsia="Georgia" w:hAnsi="Georgia"/>
          <w:color w:val="1A1A0A"/>
          <w:sz w:val="22"/>
          <w:szCs w:val="22"/>
        </w:rPr>
        <w:t xml:space="preserve">Asia's rise, and the rest: a decade in the world university rankings.</w:t>
      </w:r>
    </w:p>
    <w:p>
      <w:pPr>
        <w:pStyle w:val="BlockAnchor"/>
        <w:keepNext/>
        <w:spacing w:after="40" w:before="200"/>
      </w:pPr>
      <w:r>
        <w:rPr>
          <w:rFonts w:ascii="Consolas" w:cs="Consolas" w:eastAsia="Consolas" w:hAnsi="Consolas"/>
          <w:b/>
          <w:bCs/>
          <w:color w:val="8A8A78"/>
          <w:sz w:val="16"/>
          <w:szCs w:val="16"/>
        </w:rPr>
        <w:t xml:space="preserve">[A-002]</w:t>
      </w:r>
      <w:r>
        <w:rPr>
          <w:rFonts w:ascii="Arial" w:cs="Arial" w:eastAsia="Arial" w:hAnsi="Arial"/>
          <w:color w:val="8A8A78"/>
          <w:sz w:val="16"/>
          <w:szCs w:val="16"/>
        </w:rPr>
        <w:t xml:space="preserve">  dek</w:t>
      </w:r>
    </w:p>
    <w:p>
      <w:pPr>
        <w:pStyle w:val="EditableText"/>
        <w:spacing w:after="100" w:line="300"/>
        <w:ind w:left="120"/>
      </w:pPr>
      <w:r>
        <w:rPr>
          <w:rFonts w:ascii="Georgia" w:cs="Georgia" w:eastAsia="Georgia" w:hAnsi="Georgia"/>
          <w:color w:val="1A1A0A"/>
          <w:sz w:val="22"/>
          <w:szCs w:val="22"/>
        </w:rPr>
        <w:t xml:space="preserve">Across the QS and Times Higher Education world university rankings, ten years of data tell a coherent story: Asia rose, the United States slipped at the elite tier, Western Europe held its position, and a single methodology rewrite in 2024 reset the frame for both systems.</w:t>
      </w:r>
    </w:p>
    <w:p>
      <w:pPr>
        <w:pStyle w:val="Heading2"/>
        <w:pBdr>
          <w:top w:val="single" w:color="3F4818" w:sz="6" w:space="8"/>
        </w:pBdr>
        <w:spacing w:after="160" w:before="400"/>
      </w:pPr>
      <w:r>
        <w:rPr>
          <w:rFonts w:ascii="Arial" w:cs="Arial" w:eastAsia="Arial" w:hAnsi="Arial"/>
          <w:b/>
          <w:bCs/>
          <w:color w:val="3F4818"/>
          <w:sz w:val="21"/>
          <w:szCs w:val="21"/>
        </w:rPr>
        <w:t xml:space="preserve">01 EXECUTIVE BRIEF · 4 MINUTE READ</w:t>
      </w:r>
    </w:p>
    <w:p>
      <w:pPr>
        <w:pStyle w:val="BlockAnchor"/>
        <w:keepNext/>
        <w:spacing w:after="40" w:before="200"/>
      </w:pPr>
      <w:r>
        <w:rPr>
          <w:rFonts w:ascii="Consolas" w:cs="Consolas" w:eastAsia="Consolas" w:hAnsi="Consolas"/>
          <w:b/>
          <w:bCs/>
          <w:color w:val="8A8A78"/>
          <w:sz w:val="16"/>
          <w:szCs w:val="16"/>
        </w:rPr>
        <w:t xml:space="preserve">[A-003]</w:t>
      </w:r>
      <w:r>
        <w:rPr>
          <w:rFonts w:ascii="Arial" w:cs="Arial" w:eastAsia="Arial" w:hAnsi="Arial"/>
          <w:color w:val="8A8A78"/>
          <w:sz w:val="16"/>
          <w:szCs w:val="16"/>
        </w:rPr>
        <w:t xml:space="preserve">  SectionHeader › kicker</w:t>
      </w:r>
    </w:p>
    <w:p>
      <w:pPr>
        <w:pStyle w:val="EditableText"/>
        <w:spacing w:after="100" w:line="300"/>
        <w:ind w:left="120"/>
      </w:pPr>
      <w:r>
        <w:rPr>
          <w:rFonts w:ascii="Georgia" w:cs="Georgia" w:eastAsia="Georgia" w:hAnsi="Georgia"/>
          <w:color w:val="1A1A0A"/>
          <w:sz w:val="22"/>
          <w:szCs w:val="22"/>
        </w:rPr>
        <w:t xml:space="preserve">Executive Brief · 4 minute read</w:t>
      </w:r>
    </w:p>
    <w:p>
      <w:pPr>
        <w:pStyle w:val="BlockAnchor"/>
        <w:keepNext/>
        <w:spacing w:after="40" w:before="200"/>
      </w:pPr>
      <w:r>
        <w:rPr>
          <w:rFonts w:ascii="Consolas" w:cs="Consolas" w:eastAsia="Consolas" w:hAnsi="Consolas"/>
          <w:b/>
          <w:bCs/>
          <w:color w:val="8A8A78"/>
          <w:sz w:val="16"/>
          <w:szCs w:val="16"/>
        </w:rPr>
        <w:t xml:space="preserve">[A-004]</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The thesis, the numbers, the picture.</w:t>
      </w:r>
    </w:p>
    <w:p>
      <w:pPr>
        <w:pStyle w:val="BlockAnchor"/>
        <w:keepNext/>
        <w:spacing w:after="40" w:before="200"/>
      </w:pPr>
      <w:r>
        <w:rPr>
          <w:rFonts w:ascii="Consolas" w:cs="Consolas" w:eastAsia="Consolas" w:hAnsi="Consolas"/>
          <w:b/>
          <w:bCs/>
          <w:color w:val="8A8A78"/>
          <w:sz w:val="16"/>
          <w:szCs w:val="16"/>
        </w:rPr>
        <w:t xml:space="preserve">[A-005]</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Asia rose. The US slipped at the elite tier. Western Europe held its position. The 2024 methodology shifts were tectonic. Across the 2016 to 2026 decade, QS and Times Higher Education rank the same world differently and reset their methodologies on different cadences, yet the two systems converge on a single thesis: aggregate ranking composition has shifted faster than the headlines on individual institutions suggest, and the largest single-year movements of the decade are driven less by institutional performance than by the methodology rewrites both publishers shipped in 2024. The implication for decision-makers is uncomfortable but actionable: pillar-level diagnostics, the structural disagreement between the two systems, and the timing of methodology breaks now matter more than the year-on-year position of any single institution.</w:t>
      </w:r>
    </w:p>
    <w:p>
      <w:pPr>
        <w:pStyle w:val="BlockAnchor"/>
        <w:keepNext/>
        <w:spacing w:after="40" w:before="200"/>
      </w:pPr>
      <w:r>
        <w:rPr>
          <w:rFonts w:ascii="Consolas" w:cs="Consolas" w:eastAsia="Consolas" w:hAnsi="Consolas"/>
          <w:b/>
          <w:bCs/>
          <w:color w:val="8A8A78"/>
          <w:sz w:val="16"/>
          <w:szCs w:val="16"/>
        </w:rPr>
        <w:t xml:space="preserve">[A-006]</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0"/>
          <w:szCs w:val="20"/>
        </w:rPr>
        <w:t xml:space="preserve">Asia's THE Top 100 share</w:t>
      </w:r>
    </w:p>
    <w:p>
      <w:pPr>
        <w:pStyle w:val="BlockAnchor"/>
        <w:keepNext/>
        <w:spacing w:after="40" w:before="200"/>
      </w:pPr>
      <w:r>
        <w:rPr>
          <w:rFonts w:ascii="Consolas" w:cs="Consolas" w:eastAsia="Consolas" w:hAnsi="Consolas"/>
          <w:b/>
          <w:bCs/>
          <w:color w:val="8A8A78"/>
          <w:sz w:val="16"/>
          <w:szCs w:val="16"/>
        </w:rPr>
        <w:t xml:space="preserve">[A-007]</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Share of THE Top 100 institutions in Asia, from 9% in 2016 to 20% in 2026.</w:t>
      </w:r>
    </w:p>
    <w:p>
      <w:pPr>
        <w:pStyle w:val="BlockAnchor"/>
        <w:keepNext/>
        <w:spacing w:after="40" w:before="200"/>
      </w:pPr>
      <w:r>
        <w:rPr>
          <w:rFonts w:ascii="Consolas" w:cs="Consolas" w:eastAsia="Consolas" w:hAnsi="Consolas"/>
          <w:b/>
          <w:bCs/>
          <w:color w:val="8A8A78"/>
          <w:sz w:val="16"/>
          <w:szCs w:val="16"/>
        </w:rPr>
        <w:t xml:space="preserve">[A-008]</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0"/>
          <w:szCs w:val="20"/>
        </w:rPr>
        <w:t xml:space="preserve">Greater China Top 100</w:t>
      </w:r>
    </w:p>
    <w:p>
      <w:pPr>
        <w:pStyle w:val="BlockAnchor"/>
        <w:keepNext/>
        <w:spacing w:after="40" w:before="200"/>
      </w:pPr>
      <w:r>
        <w:rPr>
          <w:rFonts w:ascii="Consolas" w:cs="Consolas" w:eastAsia="Consolas" w:hAnsi="Consolas"/>
          <w:b/>
          <w:bCs/>
          <w:color w:val="8A8A78"/>
          <w:sz w:val="16"/>
          <w:szCs w:val="16"/>
        </w:rPr>
        <w:t xml:space="preserve">[A-009]</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From 4 institutions in 2016 to 12 in 2026, the single biggest source of compositional change.</w:t>
      </w:r>
    </w:p>
    <w:p>
      <w:pPr>
        <w:pStyle w:val="BlockAnchor"/>
        <w:keepNext/>
        <w:spacing w:after="40" w:before="200"/>
      </w:pPr>
      <w:r>
        <w:rPr>
          <w:rFonts w:ascii="Consolas" w:cs="Consolas" w:eastAsia="Consolas" w:hAnsi="Consolas"/>
          <w:b/>
          <w:bCs/>
          <w:color w:val="8A8A78"/>
          <w:sz w:val="16"/>
          <w:szCs w:val="16"/>
        </w:rPr>
        <w:t xml:space="preserve">[A-010]</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2"/>
          <w:szCs w:val="22"/>
        </w:rPr>
        <w:t xml:space="preserve">US Top 100 institutions lost</w:t>
      </w:r>
    </w:p>
    <w:p>
      <w:pPr>
        <w:pStyle w:val="BlockAnchor"/>
        <w:keepNext/>
        <w:spacing w:after="40" w:before="200"/>
      </w:pPr>
      <w:r>
        <w:rPr>
          <w:rFonts w:ascii="Consolas" w:cs="Consolas" w:eastAsia="Consolas" w:hAnsi="Consolas"/>
          <w:b/>
          <w:bCs/>
          <w:color w:val="8A8A78"/>
          <w:sz w:val="16"/>
          <w:szCs w:val="16"/>
        </w:rPr>
        <w:t xml:space="preserve">[A-011]</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THE: 39 to 35. QS: 32 to 26. Concentrated in mid-Top-100 publics, not Ivy-tier privates.</w:t>
      </w:r>
    </w:p>
    <w:p>
      <w:pPr>
        <w:pStyle w:val="BlockAnchor"/>
        <w:keepNext/>
        <w:spacing w:after="40" w:before="200"/>
      </w:pPr>
      <w:r>
        <w:rPr>
          <w:rFonts w:ascii="Consolas" w:cs="Consolas" w:eastAsia="Consolas" w:hAnsi="Consolas"/>
          <w:b/>
          <w:bCs/>
          <w:color w:val="8A8A78"/>
          <w:sz w:val="16"/>
          <w:szCs w:val="16"/>
        </w:rPr>
        <w:t xml:space="preserve">[A-012]</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0"/>
          <w:szCs w:val="20"/>
        </w:rPr>
        <w:t xml:space="preserve">Median annual rank shift</w:t>
      </w:r>
    </w:p>
    <w:p>
      <w:pPr>
        <w:pStyle w:val="BlockAnchor"/>
        <w:keepNext/>
        <w:spacing w:after="40" w:before="200"/>
      </w:pPr>
      <w:r>
        <w:rPr>
          <w:rFonts w:ascii="Consolas" w:cs="Consolas" w:eastAsia="Consolas" w:hAnsi="Consolas"/>
          <w:b/>
          <w:bCs/>
          <w:color w:val="8A8A78"/>
          <w:sz w:val="16"/>
          <w:szCs w:val="16"/>
        </w:rPr>
        <w:t xml:space="preserve">[A-013]</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QS Top 500, integer-ranked. Top-10 institutions move a median of 1 rank per year; Top-500 institutions move 9.</w:t>
      </w:r>
    </w:p>
    <w:p>
      <w:pPr>
        <w:pStyle w:val="BlockAnchor"/>
        <w:keepNext/>
        <w:spacing w:after="40" w:before="200"/>
      </w:pPr>
      <w:r>
        <w:rPr>
          <w:rFonts w:ascii="Consolas" w:cs="Consolas" w:eastAsia="Consolas" w:hAnsi="Consolas"/>
          <w:b/>
          <w:bCs/>
          <w:color w:val="8A8A78"/>
          <w:sz w:val="16"/>
          <w:szCs w:val="16"/>
        </w:rPr>
        <w:t xml:space="preserve">[A-014]</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Seven findings the data will not let you dismiss</w:t>
      </w:r>
    </w:p>
    <w:p>
      <w:pPr>
        <w:pStyle w:val="BlockAnchor"/>
        <w:keepNext/>
        <w:spacing w:after="40" w:before="200"/>
      </w:pPr>
      <w:r>
        <w:rPr>
          <w:rFonts w:ascii="Consolas" w:cs="Consolas" w:eastAsia="Consolas" w:hAnsi="Consolas"/>
          <w:b/>
          <w:bCs/>
          <w:color w:val="8A8A78"/>
          <w:sz w:val="16"/>
          <w:szCs w:val="16"/>
        </w:rPr>
        <w:t xml:space="preserve">[A-015]</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Distilled from the full analysis. Each item is supported by a numbered exhibit in the detailed report below.</w:t>
      </w:r>
    </w:p>
    <w:p>
      <w:pPr>
        <w:pStyle w:val="BlockAnchor"/>
        <w:keepNext/>
        <w:spacing w:after="40" w:before="200"/>
      </w:pPr>
      <w:r>
        <w:rPr>
          <w:rFonts w:ascii="Consolas" w:cs="Consolas" w:eastAsia="Consolas" w:hAnsi="Consolas"/>
          <w:b/>
          <w:bCs/>
          <w:color w:val="8A8A78"/>
          <w:sz w:val="16"/>
          <w:szCs w:val="16"/>
        </w:rPr>
        <w:t xml:space="preserve">[S-001]</w:t>
      </w:r>
      <w:r>
        <w:rPr>
          <w:rFonts w:ascii="Arial" w:cs="Arial" w:eastAsia="Arial" w:hAnsi="Arial"/>
          <w:color w:val="8A8A78"/>
          <w:sz w:val="16"/>
          <w:szCs w:val="16"/>
        </w:rPr>
        <w:t xml:space="preserve">  Findings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Asia's THE Top 100 share more than doubled</w:t>
      </w:r>
    </w:p>
    <w:p>
      <w:pPr>
        <w:pStyle w:val="BlockAnchor"/>
        <w:keepNext/>
        <w:spacing w:after="40" w:before="200"/>
      </w:pPr>
      <w:r>
        <w:rPr>
          <w:rFonts w:ascii="Consolas" w:cs="Consolas" w:eastAsia="Consolas" w:hAnsi="Consolas"/>
          <w:b/>
          <w:bCs/>
          <w:color w:val="8A8A78"/>
          <w:sz w:val="16"/>
          <w:szCs w:val="16"/>
        </w:rPr>
        <w:t xml:space="preserve">[A-016]</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From 9% in 2016 to 20% in 2026. QS shows a smaller shift (20% to 21%) reflecting QS’s heavier reputation-survey weighting, which mean-reverts slowly.</w:t>
      </w:r>
    </w:p>
    <w:p>
      <w:pPr>
        <w:pStyle w:val="BlockAnchor"/>
        <w:keepNext/>
        <w:spacing w:after="40" w:before="200"/>
      </w:pPr>
      <w:r>
        <w:rPr>
          <w:rFonts w:ascii="Consolas" w:cs="Consolas" w:eastAsia="Consolas" w:hAnsi="Consolas"/>
          <w:b/>
          <w:bCs/>
          <w:color w:val="8A8A78"/>
          <w:sz w:val="16"/>
          <w:szCs w:val="16"/>
        </w:rPr>
        <w:t xml:space="preserve">[S-002]</w:t>
      </w:r>
      <w:r>
        <w:rPr>
          <w:rFonts w:ascii="Arial" w:cs="Arial" w:eastAsia="Arial" w:hAnsi="Arial"/>
          <w:color w:val="8A8A78"/>
          <w:sz w:val="16"/>
          <w:szCs w:val="16"/>
        </w:rPr>
        <w:t xml:space="preserve">  Findings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Greater China tripled its THE Top 100 footprint</w:t>
      </w:r>
    </w:p>
    <w:p>
      <w:pPr>
        <w:pStyle w:val="BlockAnchor"/>
        <w:keepNext/>
        <w:spacing w:after="40" w:before="200"/>
      </w:pPr>
      <w:r>
        <w:rPr>
          <w:rFonts w:ascii="Consolas" w:cs="Consolas" w:eastAsia="Consolas" w:hAnsi="Consolas"/>
          <w:b/>
          <w:bCs/>
          <w:color w:val="8A8A78"/>
          <w:sz w:val="16"/>
          <w:szCs w:val="16"/>
        </w:rPr>
        <w:t xml:space="preserve">[A-017]</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From 4 institutions in 2016 to 12 in 2026: the single biggest source of compositional change at the elite tier, tracking the timing and intensity of China’s Double First-Class initiative.</w:t>
      </w:r>
    </w:p>
    <w:p>
      <w:pPr>
        <w:pStyle w:val="BlockAnchor"/>
        <w:keepNext/>
        <w:spacing w:after="40" w:before="200"/>
      </w:pPr>
      <w:r>
        <w:rPr>
          <w:rFonts w:ascii="Consolas" w:cs="Consolas" w:eastAsia="Consolas" w:hAnsi="Consolas"/>
          <w:b/>
          <w:bCs/>
          <w:color w:val="8A8A78"/>
          <w:sz w:val="16"/>
          <w:szCs w:val="16"/>
        </w:rPr>
        <w:t xml:space="preserve">[S-003]</w:t>
      </w:r>
      <w:r>
        <w:rPr>
          <w:rFonts w:ascii="Arial" w:cs="Arial" w:eastAsia="Arial" w:hAnsi="Arial"/>
          <w:color w:val="8A8A78"/>
          <w:sz w:val="16"/>
          <w:szCs w:val="16"/>
        </w:rPr>
        <w:t xml:space="preserve">  Findings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US lost ground, but only mildly at the elite tier</w:t>
      </w:r>
    </w:p>
    <w:p>
      <w:pPr>
        <w:pStyle w:val="BlockAnchor"/>
        <w:keepNext/>
        <w:spacing w:after="40" w:before="200"/>
      </w:pPr>
      <w:r>
        <w:rPr>
          <w:rFonts w:ascii="Consolas" w:cs="Consolas" w:eastAsia="Consolas" w:hAnsi="Consolas"/>
          <w:b/>
          <w:bCs/>
          <w:color w:val="8A8A78"/>
          <w:sz w:val="16"/>
          <w:szCs w:val="16"/>
        </w:rPr>
        <w:t xml:space="preserve">[S-004]</w:t>
      </w:r>
      <w:r>
        <w:rPr>
          <w:rFonts w:ascii="Arial" w:cs="Arial" w:eastAsia="Arial" w:hAnsi="Arial"/>
          <w:color w:val="8A8A78"/>
          <w:sz w:val="16"/>
          <w:szCs w:val="16"/>
        </w:rPr>
        <w:t xml:space="preserve">  Findings › body</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39 to 35 (THE) and 32 to 26 (QS). The US still holds the largest single-country cohort in both systems. The decline is concentrated in mid-Top-100 publics, not Ivy-tier privates.</w:t>
      </w:r>
    </w:p>
    <w:p>
      <w:pPr>
        <w:pStyle w:val="BlockAnchor"/>
        <w:keepNext/>
        <w:spacing w:after="40" w:before="200"/>
      </w:pPr>
      <w:r>
        <w:rPr>
          <w:rFonts w:ascii="Consolas" w:cs="Consolas" w:eastAsia="Consolas" w:hAnsi="Consolas"/>
          <w:b/>
          <w:bCs/>
          <w:color w:val="8A8A78"/>
          <w:sz w:val="16"/>
          <w:szCs w:val="16"/>
        </w:rPr>
        <w:t xml:space="preserve">[A-018]</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Top-500 churn is high; the elite is sticky</w:t>
      </w:r>
    </w:p>
    <w:p>
      <w:pPr>
        <w:pStyle w:val="BlockAnchor"/>
        <w:keepNext/>
        <w:spacing w:after="40" w:before="200"/>
      </w:pPr>
      <w:r>
        <w:rPr>
          <w:rFonts w:ascii="Consolas" w:cs="Consolas" w:eastAsia="Consolas" w:hAnsi="Consolas"/>
          <w:b/>
          <w:bCs/>
          <w:color w:val="8A8A78"/>
          <w:sz w:val="16"/>
          <w:szCs w:val="16"/>
        </w:rPr>
        <w:t xml:space="preserve">[A-019]</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154 institutions entered the QS Top 500 across the decade and 126 entered the THE Top 500. Yet the median annual rank movement of integer-ranked Top 10 institutions is one place; for the QS Top 500 it is nine.</w:t>
      </w:r>
    </w:p>
    <w:p>
      <w:pPr>
        <w:pStyle w:val="BlockAnchor"/>
        <w:keepNext/>
        <w:spacing w:after="40" w:before="200"/>
      </w:pPr>
      <w:r>
        <w:rPr>
          <w:rFonts w:ascii="Consolas" w:cs="Consolas" w:eastAsia="Consolas" w:hAnsi="Consolas"/>
          <w:b/>
          <w:bCs/>
          <w:color w:val="8A8A78"/>
          <w:sz w:val="16"/>
          <w:szCs w:val="16"/>
        </w:rPr>
        <w:t xml:space="preserve">[A-020]</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The 2024 methodology shifts were tectonic</w:t>
      </w:r>
    </w:p>
    <w:p>
      <w:pPr>
        <w:pStyle w:val="BlockAnchor"/>
        <w:keepNext/>
        <w:spacing w:after="40" w:before="200"/>
      </w:pPr>
      <w:r>
        <w:rPr>
          <w:rFonts w:ascii="Consolas" w:cs="Consolas" w:eastAsia="Consolas" w:hAnsi="Consolas"/>
          <w:b/>
          <w:bCs/>
          <w:color w:val="8A8A78"/>
          <w:sz w:val="16"/>
          <w:szCs w:val="16"/>
        </w:rPr>
        <w:t xml:space="preserve">[A-021]</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THE’s WUR 3.0 split Research into Research Environment and Research Quality, dropping the standalone Citations pillar. QS introduced Sustainability, Employment Outcomes, and International Research Network indicators (each 5%) and lifted Employer Reputation to 15%. Read 2023-to-2024 movement methodology-first.</w:t>
      </w:r>
    </w:p>
    <w:p>
      <w:pPr>
        <w:pStyle w:val="BlockAnchor"/>
        <w:keepNext/>
        <w:spacing w:after="40" w:before="200"/>
      </w:pPr>
      <w:r>
        <w:rPr>
          <w:rFonts w:ascii="Consolas" w:cs="Consolas" w:eastAsia="Consolas" w:hAnsi="Consolas"/>
          <w:b/>
          <w:bCs/>
          <w:color w:val="8A8A78"/>
          <w:sz w:val="16"/>
          <w:szCs w:val="16"/>
        </w:rPr>
        <w:t xml:space="preserve">[A-022]</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Country research-funding intensity tracks citation gains</w:t>
      </w:r>
    </w:p>
    <w:p>
      <w:pPr>
        <w:pStyle w:val="BlockAnchor"/>
        <w:keepNext/>
        <w:spacing w:after="40" w:before="200"/>
      </w:pPr>
      <w:r>
        <w:rPr>
          <w:rFonts w:ascii="Consolas" w:cs="Consolas" w:eastAsia="Consolas" w:hAnsi="Consolas"/>
          <w:b/>
          <w:bCs/>
          <w:color w:val="8A8A78"/>
          <w:sz w:val="16"/>
          <w:szCs w:val="16"/>
        </w:rPr>
        <w:t xml:space="preserve">[A-023]</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The China and South Korea pairing (high R&amp;D-as-share-of-GDP, large gains in mean THE citation/research-quality score) anchors a positive correlation. Israel sits at the high-investment, modest-gain end. Russia is the only major country with a negative score change.</w:t>
      </w:r>
    </w:p>
    <w:p>
      <w:pPr>
        <w:pStyle w:val="BlockAnchor"/>
        <w:keepNext/>
        <w:spacing w:after="40" w:before="200"/>
      </w:pPr>
      <w:r>
        <w:rPr>
          <w:rFonts w:ascii="Consolas" w:cs="Consolas" w:eastAsia="Consolas" w:hAnsi="Consolas"/>
          <w:b/>
          <w:bCs/>
          <w:color w:val="8A8A78"/>
          <w:sz w:val="16"/>
          <w:szCs w:val="16"/>
        </w:rPr>
        <w:t xml:space="preserve">[A-024]</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QS and THE disagree more than commentators acknowledge</w:t>
      </w:r>
    </w:p>
    <w:p>
      <w:pPr>
        <w:pStyle w:val="BlockAnchor"/>
        <w:keepNext/>
        <w:spacing w:after="40" w:before="200"/>
      </w:pPr>
      <w:r>
        <w:rPr>
          <w:rFonts w:ascii="Consolas" w:cs="Consolas" w:eastAsia="Consolas" w:hAnsi="Consolas"/>
          <w:b/>
          <w:bCs/>
          <w:color w:val="8A8A78"/>
          <w:sz w:val="16"/>
          <w:szCs w:val="16"/>
        </w:rPr>
        <w:t xml:space="preserve">[A-025]</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For institutions present in both 2026 lists, the absolute rank gap exceeds 100 places for a non-trivial subset. The disagreement is structural, reflecting how the two systems weigh reputation, research output, and internationalisation differently.</w:t>
      </w:r>
    </w:p>
    <w:p>
      <w:pPr>
        <w:pStyle w:val="BlockAnchor"/>
        <w:keepNext/>
        <w:spacing w:after="40" w:before="200"/>
      </w:pPr>
      <w:r>
        <w:rPr>
          <w:rFonts w:ascii="Consolas" w:cs="Consolas" w:eastAsia="Consolas" w:hAnsi="Consolas"/>
          <w:b/>
          <w:bCs/>
          <w:color w:val="8A8A78"/>
          <w:sz w:val="16"/>
          <w:szCs w:val="16"/>
        </w:rPr>
        <w:t xml:space="preserve">[A-026]</w:t>
      </w:r>
      <w:r>
        <w:rPr>
          <w:rFonts w:ascii="Arial" w:cs="Arial" w:eastAsia="Arial" w:hAnsi="Arial"/>
          <w:color w:val="8A8A78"/>
          <w:sz w:val="16"/>
          <w:szCs w:val="16"/>
        </w:rPr>
        <w:t xml:space="preserve">  Callout › label</w:t>
      </w:r>
    </w:p>
    <w:p>
      <w:pPr>
        <w:pStyle w:val="EditableText"/>
        <w:spacing w:after="100" w:line="300"/>
        <w:ind w:left="120"/>
      </w:pPr>
      <w:r>
        <w:rPr>
          <w:rFonts w:ascii="Georgia" w:cs="Georgia" w:eastAsia="Georgia" w:hAnsi="Georgia"/>
          <w:color w:val="1A1A0A"/>
          <w:sz w:val="22"/>
          <w:szCs w:val="22"/>
        </w:rPr>
        <w:t xml:space="preserve">Five-minute reading guide</w:t>
      </w:r>
    </w:p>
    <w:p>
      <w:pPr>
        <w:pStyle w:val="BlockAnchor"/>
        <w:keepNext/>
        <w:spacing w:after="40" w:before="200"/>
      </w:pPr>
      <w:r>
        <w:rPr>
          <w:rFonts w:ascii="Consolas" w:cs="Consolas" w:eastAsia="Consolas" w:hAnsi="Consolas"/>
          <w:b/>
          <w:bCs/>
          <w:color w:val="8A8A78"/>
          <w:sz w:val="16"/>
          <w:szCs w:val="16"/>
        </w:rPr>
        <w:t xml:space="preserve">[A-027]</w:t>
      </w:r>
      <w:r>
        <w:rPr>
          <w:rFonts w:ascii="Arial" w:cs="Arial" w:eastAsia="Arial" w:hAnsi="Arial"/>
          <w:color w:val="8A8A78"/>
          <w:sz w:val="16"/>
          <w:szCs w:val="16"/>
        </w:rPr>
        <w:t xml:space="preserve">  &lt;Callout&gt;</w:t>
      </w:r>
    </w:p>
    <w:p>
      <w:pPr>
        <w:pStyle w:val="EditableText"/>
        <w:spacing w:after="100" w:line="300"/>
        <w:ind w:left="120"/>
      </w:pPr>
      <w:r>
        <w:rPr>
          <w:rFonts w:ascii="Georgia" w:cs="Georgia" w:eastAsia="Georgia" w:hAnsi="Georgia"/>
          <w:color w:val="1A1A0A"/>
          <w:sz w:val="22"/>
          <w:szCs w:val="22"/>
        </w:rPr>
        <w:t xml:space="preserve">If you only have time for four sections, read this executive brief, the methodology in section 02, the institutional case studies surfaced in section 07, and the UAE deep-dive in section 06. The exhibits do most of the work; the prose points at what each chart says rather than restate it.</w:t>
      </w:r>
    </w:p>
    <w:p>
      <w:pPr>
        <w:pStyle w:val="BlockAnchor"/>
        <w:keepNext/>
        <w:spacing w:after="40" w:before="200"/>
      </w:pPr>
      <w:r>
        <w:rPr>
          <w:rFonts w:ascii="Consolas" w:cs="Consolas" w:eastAsia="Consolas" w:hAnsi="Consolas"/>
          <w:b/>
          <w:bCs/>
          <w:color w:val="8A8A78"/>
          <w:sz w:val="16"/>
          <w:szCs w:val="16"/>
        </w:rPr>
        <w:t xml:space="preserve">[S-005]</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Top 20, played out year by year.</w:t>
      </w:r>
    </w:p>
    <w:p>
      <w:pPr>
        <w:pStyle w:val="BlockAnchor"/>
        <w:keepNext/>
        <w:spacing w:after="40" w:before="200"/>
      </w:pPr>
      <w:r>
        <w:rPr>
          <w:rFonts w:ascii="Consolas" w:cs="Consolas" w:eastAsia="Consolas" w:hAnsi="Consolas"/>
          <w:b/>
          <w:bCs/>
          <w:color w:val="8A8A78"/>
          <w:sz w:val="16"/>
          <w:szCs w:val="16"/>
        </w:rPr>
        <w:t xml:space="preserve">[S-006]</w:t>
      </w:r>
      <w:r>
        <w:rPr>
          <w:rFonts w:ascii="Arial" w:cs="Arial" w:eastAsia="Arial" w:hAnsi="Arial"/>
          <w:color w:val="8A8A78"/>
          <w:sz w:val="16"/>
          <w:szCs w:val="16"/>
        </w:rPr>
        <w:t xml:space="preserve">  Exhibit › sub</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overall score, top twenty institutions per year, 2016 to 2026. Press play, scrub, or use the arrow keys.</w:t>
      </w:r>
    </w:p>
    <w:p>
      <w:pPr>
        <w:pStyle w:val="BlockAnchor"/>
        <w:keepNext/>
        <w:spacing w:after="40" w:before="200"/>
      </w:pPr>
      <w:r>
        <w:rPr>
          <w:rFonts w:ascii="Consolas" w:cs="Consolas" w:eastAsia="Consolas" w:hAnsi="Consolas"/>
          <w:b/>
          <w:bCs/>
          <w:color w:val="8A8A78"/>
          <w:sz w:val="16"/>
          <w:szCs w:val="16"/>
        </w:rPr>
        <w:t xml:space="preserve">[S-007]</w:t>
      </w:r>
      <w:r>
        <w:rPr>
          <w:rFonts w:ascii="Arial" w:cs="Arial" w:eastAsia="Arial" w:hAnsi="Arial"/>
          <w:color w:val="8A8A78"/>
          <w:sz w:val="16"/>
          <w:szCs w:val="16"/>
        </w:rPr>
        <w:t xml:space="preserve">  Exhibit › source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 Times Higher Education World University Rankings, annual editions 2016 to 2026; authors’ analysis. Bars are coloured by country: deep olive for the United States, teal for the United Kingdom, light olive for other countries, lime for Greater China entrants.</w:t>
      </w:r>
    </w:p>
    <w:p>
      <w:pPr>
        <w:pStyle w:val="BlockAnchor"/>
        <w:keepNext/>
        <w:spacing w:after="40" w:before="200"/>
      </w:pPr>
      <w:r>
        <w:rPr>
          <w:rFonts w:ascii="Consolas" w:cs="Consolas" w:eastAsia="Consolas" w:hAnsi="Consolas"/>
          <w:b/>
          <w:bCs/>
          <w:color w:val="8A8A78"/>
          <w:sz w:val="16"/>
          <w:szCs w:val="16"/>
        </w:rPr>
        <w:t xml:space="preserve">[S-008]</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Asia rose, the US slipped, Europe held.</w:t>
      </w:r>
    </w:p>
    <w:p>
      <w:pPr>
        <w:pStyle w:val="BlockAnchor"/>
        <w:keepNext/>
        <w:spacing w:after="40" w:before="200"/>
      </w:pPr>
      <w:r>
        <w:rPr>
          <w:rFonts w:ascii="Consolas" w:cs="Consolas" w:eastAsia="Consolas" w:hAnsi="Consolas"/>
          <w:b/>
          <w:bCs/>
          <w:color w:val="8A8A78"/>
          <w:sz w:val="16"/>
          <w:szCs w:val="16"/>
        </w:rPr>
        <w:t xml:space="preserve">[S-009]</w:t>
      </w:r>
      <w:r>
        <w:rPr>
          <w:rFonts w:ascii="Arial" w:cs="Arial" w:eastAsia="Arial" w:hAnsi="Arial"/>
          <w:color w:val="8A8A78"/>
          <w:sz w:val="16"/>
          <w:szCs w:val="16"/>
        </w:rPr>
        <w:t xml:space="preserve">  Exhibit › sub</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Composition of the Times Higher Education Top 100 by region, 2016 to 2026 (% share). The chart reveals year by year as you scroll.</w:t>
      </w:r>
    </w:p>
    <w:p>
      <w:pPr>
        <w:pStyle w:val="BlockAnchor"/>
        <w:keepNext/>
        <w:spacing w:after="40" w:before="200"/>
      </w:pPr>
      <w:r>
        <w:rPr>
          <w:rFonts w:ascii="Consolas" w:cs="Consolas" w:eastAsia="Consolas" w:hAnsi="Consolas"/>
          <w:b/>
          <w:bCs/>
          <w:color w:val="8A8A78"/>
          <w:sz w:val="16"/>
          <w:szCs w:val="16"/>
        </w:rPr>
        <w:t xml:space="preserve">[S-010]</w:t>
      </w:r>
      <w:r>
        <w:rPr>
          <w:rFonts w:ascii="Arial" w:cs="Arial" w:eastAsia="Arial" w:hAnsi="Arial"/>
          <w:color w:val="8A8A78"/>
          <w:sz w:val="16"/>
          <w:szCs w:val="16"/>
        </w:rPr>
        <w:t xml:space="preserve">  Exhibit › source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 Times Higher Education World University Rankings, annual editions 2016 to 2026; authors’ analysis. Greater China = China + Hong Kong + Macao + Taiwan, included in East Asia.</w:t>
      </w:r>
    </w:p>
    <w:p>
      <w:pPr>
        <w:pStyle w:val="BlockAnchor"/>
        <w:keepNext/>
        <w:spacing w:after="40" w:before="200"/>
      </w:pPr>
      <w:r>
        <w:rPr>
          <w:rFonts w:ascii="Consolas" w:cs="Consolas" w:eastAsia="Consolas" w:hAnsi="Consolas"/>
          <w:b/>
          <w:bCs/>
          <w:color w:val="8A8A78"/>
          <w:sz w:val="16"/>
          <w:szCs w:val="16"/>
        </w:rPr>
        <w:t xml:space="preserve">[S-011]</w:t>
      </w:r>
      <w:r>
        <w:rPr>
          <w:rFonts w:ascii="Arial" w:cs="Arial" w:eastAsia="Arial" w:hAnsi="Arial"/>
          <w:color w:val="8A8A78"/>
          <w:sz w:val="16"/>
          <w:szCs w:val="16"/>
        </w:rPr>
        <w:t xml:space="preserve">  ScrollReveal2DChart › ariaLabel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Stacked area chart of THE Top 100 region composition 2016 to 2026, revealed as you scroll.</w:t>
      </w:r>
    </w:p>
    <w:p>
      <w:pPr>
        <w:pStyle w:val="BlockAnchor"/>
        <w:keepNext/>
        <w:spacing w:after="40" w:before="200"/>
      </w:pPr>
      <w:r>
        <w:rPr>
          <w:rFonts w:ascii="Consolas" w:cs="Consolas" w:eastAsia="Consolas" w:hAnsi="Consolas"/>
          <w:b/>
          <w:bCs/>
          <w:color w:val="8A8A78"/>
          <w:sz w:val="16"/>
          <w:szCs w:val="16"/>
        </w:rPr>
        <w:t xml:space="preserve">[S-012]</w:t>
      </w:r>
      <w:r>
        <w:rPr>
          <w:rFonts w:ascii="Arial" w:cs="Arial" w:eastAsia="Arial" w:hAnsi="Arial"/>
          <w:color w:val="8A8A78"/>
          <w:sz w:val="16"/>
          <w:szCs w:val="16"/>
        </w:rPr>
        <w:t xml:space="preserve">  SVGStackedArea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Stacked area chart of THE Top 100 region composition 2016 to 2026</w:t>
      </w:r>
    </w:p>
    <w:p>
      <w:pPr>
        <w:pStyle w:val="BlockAnchor"/>
        <w:keepNext/>
        <w:spacing w:after="40" w:before="200"/>
      </w:pPr>
      <w:r>
        <w:rPr>
          <w:rFonts w:ascii="Consolas" w:cs="Consolas" w:eastAsia="Consolas" w:hAnsi="Consolas"/>
          <w:b/>
          <w:bCs/>
          <w:color w:val="8A8A78"/>
          <w:sz w:val="16"/>
          <w:szCs w:val="16"/>
        </w:rPr>
        <w:t xml:space="preserve">[A-028]</w:t>
      </w:r>
      <w:r>
        <w:rPr>
          <w:rFonts w:ascii="Arial" w:cs="Arial" w:eastAsia="Arial" w:hAnsi="Arial"/>
          <w:color w:val="8A8A78"/>
          <w:sz w:val="16"/>
          <w:szCs w:val="16"/>
        </w:rPr>
        <w:t xml:space="preserve">  SVGStackedArea › label</w:t>
      </w:r>
    </w:p>
    <w:p>
      <w:pPr>
        <w:pStyle w:val="EditableText"/>
        <w:spacing w:after="100" w:line="300"/>
        <w:ind w:left="120"/>
      </w:pPr>
      <w:r>
        <w:rPr>
          <w:rFonts w:ascii="Georgia" w:cs="Georgia" w:eastAsia="Georgia" w:hAnsi="Georgia"/>
          <w:color w:val="1A1A0A"/>
          <w:sz w:val="22"/>
          <w:szCs w:val="22"/>
        </w:rPr>
        <w:t xml:space="preserve">2024 methodology break (WUR 3.0 / QS revision)</w:t>
      </w:r>
    </w:p>
    <w:p>
      <w:pPr>
        <w:pStyle w:val="BlockAnchor"/>
        <w:keepNext/>
        <w:spacing w:after="40" w:before="200"/>
      </w:pPr>
      <w:r>
        <w:rPr>
          <w:rFonts w:ascii="Consolas" w:cs="Consolas" w:eastAsia="Consolas" w:hAnsi="Consolas"/>
          <w:b/>
          <w:bCs/>
          <w:color w:val="8A8A78"/>
          <w:sz w:val="16"/>
          <w:szCs w:val="16"/>
        </w:rPr>
        <w:t xml:space="preserve">[S-013]</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China is the biggest gainer; the US is the biggest decliner.</w:t>
      </w:r>
    </w:p>
    <w:p>
      <w:pPr>
        <w:pStyle w:val="BlockAnchor"/>
        <w:keepNext/>
        <w:spacing w:after="40" w:before="200"/>
      </w:pPr>
      <w:r>
        <w:rPr>
          <w:rFonts w:ascii="Consolas" w:cs="Consolas" w:eastAsia="Consolas" w:hAnsi="Consolas"/>
          <w:b/>
          <w:bCs/>
          <w:color w:val="8A8A78"/>
          <w:sz w:val="16"/>
          <w:szCs w:val="16"/>
        </w:rPr>
        <w:t xml:space="preserve">[S-014]</w:t>
      </w:r>
      <w:r>
        <w:rPr>
          <w:rFonts w:ascii="Arial" w:cs="Arial" w:eastAsia="Arial" w:hAnsi="Arial"/>
          <w:color w:val="8A8A78"/>
          <w:sz w:val="16"/>
          <w:szCs w:val="16"/>
        </w:rPr>
        <w:t xml:space="preserve">  Exhibit › sub</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Net change in THE Top 500 institution count, 2016 to 2026. Top eight gainers and decliners.</w:t>
      </w:r>
    </w:p>
    <w:p>
      <w:pPr>
        <w:pStyle w:val="BlockAnchor"/>
        <w:keepNext/>
        <w:spacing w:after="40" w:before="200"/>
      </w:pPr>
      <w:r>
        <w:rPr>
          <w:rFonts w:ascii="Consolas" w:cs="Consolas" w:eastAsia="Consolas" w:hAnsi="Consolas"/>
          <w:b/>
          <w:bCs/>
          <w:color w:val="8A8A78"/>
          <w:sz w:val="16"/>
          <w:szCs w:val="16"/>
        </w:rPr>
        <w:t xml:space="preserve">[S-015]</w:t>
      </w:r>
      <w:r>
        <w:rPr>
          <w:rFonts w:ascii="Arial" w:cs="Arial" w:eastAsia="Arial" w:hAnsi="Arial"/>
          <w:color w:val="8A8A78"/>
          <w:sz w:val="16"/>
          <w:szCs w:val="16"/>
        </w:rPr>
        <w:t xml:space="preserve">  Exhibit › source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 THE World University Rankings 2016 vs 2026; authors’ analysis. China +24 leads; Saudi Arabia and the UAE join the top movers on the back of Vision-2030/2071 funding programmes.</w:t>
      </w:r>
    </w:p>
    <w:p>
      <w:pPr>
        <w:pStyle w:val="BlockAnchor"/>
        <w:keepNext/>
        <w:spacing w:after="40" w:before="200"/>
      </w:pPr>
      <w:r>
        <w:rPr>
          <w:rFonts w:ascii="Consolas" w:cs="Consolas" w:eastAsia="Consolas" w:hAnsi="Consolas"/>
          <w:b/>
          <w:bCs/>
          <w:color w:val="8A8A78"/>
          <w:sz w:val="16"/>
          <w:szCs w:val="16"/>
        </w:rPr>
        <w:t xml:space="preserve">[S-016]</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elite is sticky; the Top 500 churns.</w:t>
      </w:r>
    </w:p>
    <w:p>
      <w:pPr>
        <w:pStyle w:val="BlockAnchor"/>
        <w:keepNext/>
        <w:spacing w:after="40" w:before="200"/>
      </w:pPr>
      <w:r>
        <w:rPr>
          <w:rFonts w:ascii="Consolas" w:cs="Consolas" w:eastAsia="Consolas" w:hAnsi="Consolas"/>
          <w:b/>
          <w:bCs/>
          <w:color w:val="8A8A78"/>
          <w:sz w:val="16"/>
          <w:szCs w:val="16"/>
        </w:rPr>
        <w:t xml:space="preserve">[S-017]</w:t>
      </w:r>
      <w:r>
        <w:rPr>
          <w:rFonts w:ascii="Arial" w:cs="Arial" w:eastAsia="Arial" w:hAnsi="Arial"/>
          <w:color w:val="8A8A78"/>
          <w:sz w:val="16"/>
          <w:szCs w:val="16"/>
        </w:rPr>
        <w:t xml:space="preserve">  Exhibit › sub</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Median absolute year-over-year rank change, integer-ranked institutions only, by tier and system.</w:t>
      </w:r>
    </w:p>
    <w:p>
      <w:pPr>
        <w:pStyle w:val="BlockAnchor"/>
        <w:keepNext/>
        <w:spacing w:after="40" w:before="200"/>
      </w:pPr>
      <w:r>
        <w:rPr>
          <w:rFonts w:ascii="Consolas" w:cs="Consolas" w:eastAsia="Consolas" w:hAnsi="Consolas"/>
          <w:b/>
          <w:bCs/>
          <w:color w:val="8A8A78"/>
          <w:sz w:val="16"/>
          <w:szCs w:val="16"/>
        </w:rPr>
        <w:t xml:space="preserve">[S-018]</w:t>
      </w:r>
      <w:r>
        <w:rPr>
          <w:rFonts w:ascii="Arial" w:cs="Arial" w:eastAsia="Arial" w:hAnsi="Arial"/>
          <w:color w:val="8A8A78"/>
          <w:sz w:val="16"/>
          <w:szCs w:val="16"/>
        </w:rPr>
        <w:t xml:space="preserve">  Exhibit › source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 QS World University Rankings 2017 to 2026; THE World University Rankings 2016 to 2026; authors’ analysis.</w:t>
      </w:r>
    </w:p>
    <w:p>
      <w:pPr>
        <w:pStyle w:val="BlockAnchor"/>
        <w:keepNext/>
        <w:spacing w:after="40" w:before="200"/>
      </w:pPr>
      <w:r>
        <w:rPr>
          <w:rFonts w:ascii="Consolas" w:cs="Consolas" w:eastAsia="Consolas" w:hAnsi="Consolas"/>
          <w:b/>
          <w:bCs/>
          <w:color w:val="8A8A78"/>
          <w:sz w:val="16"/>
          <w:szCs w:val="16"/>
        </w:rPr>
        <w:t xml:space="preserve">[S-019]</w:t>
      </w:r>
      <w:r>
        <w:rPr>
          <w:rFonts w:ascii="Arial" w:cs="Arial" w:eastAsia="Arial" w:hAnsi="Arial"/>
          <w:color w:val="8A8A78"/>
          <w:sz w:val="16"/>
          <w:szCs w:val="16"/>
        </w:rPr>
        <w:t xml:space="preserve">  VolatilityChart › caveat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Banded ranks (e.g., THE 401–500) excluded to avoid artefactual ties.</w:t>
      </w:r>
    </w:p>
    <w:p>
      <w:pPr>
        <w:pStyle w:val="BlockAnchor"/>
        <w:keepNext/>
        <w:spacing w:after="40" w:before="200"/>
      </w:pPr>
      <w:r>
        <w:rPr>
          <w:rFonts w:ascii="Consolas" w:cs="Consolas" w:eastAsia="Consolas" w:hAnsi="Consolas"/>
          <w:b/>
          <w:bCs/>
          <w:color w:val="8A8A78"/>
          <w:sz w:val="16"/>
          <w:szCs w:val="16"/>
        </w:rPr>
        <w:t xml:space="preserve">[S-020]</w:t>
      </w:r>
      <w:r>
        <w:rPr>
          <w:rFonts w:ascii="Arial" w:cs="Arial" w:eastAsia="Arial" w:hAnsi="Arial"/>
          <w:color w:val="8A8A78"/>
          <w:sz w:val="16"/>
          <w:szCs w:val="16"/>
        </w:rPr>
        <w:t xml:space="preserve">  PullQuote › cite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From the analysis</w:t>
      </w:r>
    </w:p>
    <w:p>
      <w:pPr>
        <w:pStyle w:val="BlockAnchor"/>
        <w:keepNext/>
        <w:spacing w:after="40" w:before="200"/>
      </w:pPr>
      <w:r>
        <w:rPr>
          <w:rFonts w:ascii="Consolas" w:cs="Consolas" w:eastAsia="Consolas" w:hAnsi="Consolas"/>
          <w:b/>
          <w:bCs/>
          <w:color w:val="8A8A78"/>
          <w:sz w:val="16"/>
          <w:szCs w:val="16"/>
        </w:rPr>
        <w:t xml:space="preserve">[S-021]</w:t>
      </w:r>
      <w:r>
        <w:rPr>
          <w:rFonts w:ascii="Arial" w:cs="Arial" w:eastAsia="Arial" w:hAnsi="Arial"/>
          <w:color w:val="8A8A78"/>
          <w:sz w:val="16"/>
          <w:szCs w:val="16"/>
        </w:rPr>
        <w:t xml:space="preserve">  &lt;PullQuote&gt;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rank number, on its own, is the least informative part of the rankings dataset.</w:t>
      </w:r>
    </w:p>
    <w:p>
      <w:pPr>
        <w:pStyle w:val="BlockAnchor"/>
        <w:keepNext/>
        <w:spacing w:after="40" w:before="200"/>
      </w:pPr>
      <w:r>
        <w:rPr>
          <w:rFonts w:ascii="Consolas" w:cs="Consolas" w:eastAsia="Consolas" w:hAnsi="Consolas"/>
          <w:b/>
          <w:bCs/>
          <w:color w:val="8A8A78"/>
          <w:sz w:val="16"/>
          <w:szCs w:val="16"/>
        </w:rPr>
        <w:t xml:space="preserve">[A-029]</w:t>
      </w:r>
      <w:r>
        <w:rPr>
          <w:rFonts w:ascii="Arial" w:cs="Arial" w:eastAsia="Arial" w:hAnsi="Arial"/>
          <w:color w:val="8A8A78"/>
          <w:sz w:val="16"/>
          <w:szCs w:val="16"/>
        </w:rPr>
        <w:t xml:space="preserve">  &lt;Handoff&gt;</w:t>
      </w:r>
    </w:p>
    <w:p>
      <w:pPr>
        <w:pStyle w:val="EditableText"/>
        <w:spacing w:after="100" w:line="300"/>
        <w:ind w:left="120"/>
      </w:pPr>
      <w:r>
        <w:rPr>
          <w:rFonts w:ascii="Georgia" w:cs="Georgia" w:eastAsia="Georgia" w:hAnsi="Georgia"/>
          <w:color w:val="1A1A0A"/>
          <w:sz w:val="22"/>
          <w:szCs w:val="22"/>
        </w:rPr>
        <w:t xml:space="preserve">The full report</w:t>
      </w:r>
    </w:p>
    <w:p>
      <w:pPr>
        <w:pStyle w:val="BlockAnchor"/>
        <w:keepNext/>
        <w:spacing w:after="40" w:before="200"/>
      </w:pPr>
      <w:r>
        <w:rPr>
          <w:rFonts w:ascii="Consolas" w:cs="Consolas" w:eastAsia="Consolas" w:hAnsi="Consolas"/>
          <w:b/>
          <w:bCs/>
          <w:color w:val="8A8A78"/>
          <w:sz w:val="16"/>
          <w:szCs w:val="16"/>
        </w:rPr>
        <w:t xml:space="preserve">[A-030]</w:t>
      </w:r>
      <w:r>
        <w:rPr>
          <w:rFonts w:ascii="Arial" w:cs="Arial" w:eastAsia="Arial" w:hAnsi="Arial"/>
          <w:color w:val="8A8A78"/>
          <w:sz w:val="16"/>
          <w:szCs w:val="16"/>
        </w:rPr>
        <w:t xml:space="preserve">  &lt;FullDivider&gt;</w:t>
      </w:r>
    </w:p>
    <w:p>
      <w:pPr>
        <w:pStyle w:val="EditableText"/>
        <w:spacing w:after="100" w:line="300"/>
        <w:ind w:left="120"/>
      </w:pPr>
      <w:r>
        <w:rPr>
          <w:rFonts w:ascii="Georgia" w:cs="Georgia" w:eastAsia="Georgia" w:hAnsi="Georgia"/>
          <w:color w:val="1A1A0A"/>
          <w:sz w:val="22"/>
          <w:szCs w:val="22"/>
        </w:rPr>
        <w:t xml:space="preserve">The full report &lt;span style={{ opacity: 0.65, margin: '0 14px' }}&gt;·&lt;/span&gt; Sections 02 through 09</w:t>
      </w:r>
    </w:p>
    <w:p>
      <w:pPr>
        <w:pStyle w:val="Heading2"/>
        <w:pBdr>
          <w:top w:val="single" w:color="3F4818" w:sz="6" w:space="8"/>
        </w:pBdr>
        <w:spacing w:after="160" w:before="400"/>
      </w:pPr>
      <w:r>
        <w:rPr>
          <w:rFonts w:ascii="Arial" w:cs="Arial" w:eastAsia="Arial" w:hAnsi="Arial"/>
          <w:b/>
          <w:bCs/>
          <w:color w:val="3F4818"/>
          <w:sz w:val="21"/>
          <w:szCs w:val="21"/>
        </w:rPr>
        <w:t xml:space="preserve">02 WHY THE SYSTEMS DISAGREE</w:t>
      </w:r>
    </w:p>
    <w:p>
      <w:pPr>
        <w:pStyle w:val="BlockAnchor"/>
        <w:keepNext/>
        <w:spacing w:after="40" w:before="200"/>
      </w:pPr>
      <w:r>
        <w:rPr>
          <w:rFonts w:ascii="Consolas" w:cs="Consolas" w:eastAsia="Consolas" w:hAnsi="Consolas"/>
          <w:b/>
          <w:bCs/>
          <w:color w:val="8A8A78"/>
          <w:sz w:val="16"/>
          <w:szCs w:val="16"/>
        </w:rPr>
        <w:t xml:space="preserve">[S-022]</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Why the systems disagree</w:t>
      </w:r>
    </w:p>
    <w:p>
      <w:pPr>
        <w:pStyle w:val="BlockAnchor"/>
        <w:keepNext/>
        <w:spacing w:after="40" w:before="200"/>
      </w:pPr>
      <w:r>
        <w:rPr>
          <w:rFonts w:ascii="Consolas" w:cs="Consolas" w:eastAsia="Consolas" w:hAnsi="Consolas"/>
          <w:b/>
          <w:bCs/>
          <w:color w:val="8A8A78"/>
          <w:sz w:val="16"/>
          <w:szCs w:val="16"/>
        </w:rPr>
        <w:t xml:space="preserve">[A-031]</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Two systems, two constructs, a structural disagreement.</w:t>
      </w:r>
    </w:p>
    <w:p>
      <w:pPr>
        <w:pStyle w:val="BlockAnchor"/>
        <w:keepNext/>
        <w:spacing w:after="40" w:before="200"/>
      </w:pPr>
      <w:r>
        <w:rPr>
          <w:rFonts w:ascii="Consolas" w:cs="Consolas" w:eastAsia="Consolas" w:hAnsi="Consolas"/>
          <w:b/>
          <w:bCs/>
          <w:color w:val="8A8A78"/>
          <w:sz w:val="16"/>
          <w:szCs w:val="16"/>
        </w:rPr>
        <w:t xml:space="preserve">[A-032]</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Treating QS and THE as interchangeable is the most common analytical mistake in higher-education ranking commentary. The two publishers measure overlapping but distinct constructs, and a 100-place gap on the same institution often reflects that structural difference, not noise.</w:t>
      </w:r>
    </w:p>
    <w:p>
      <w:pPr>
        <w:pStyle w:val="BlockAnchor"/>
        <w:keepNext/>
        <w:spacing w:after="40" w:before="200"/>
      </w:pPr>
      <w:r>
        <w:rPr>
          <w:rFonts w:ascii="Consolas" w:cs="Consolas" w:eastAsia="Consolas" w:hAnsi="Consolas"/>
          <w:b/>
          <w:bCs/>
          <w:color w:val="8A8A78"/>
          <w:sz w:val="16"/>
          <w:szCs w:val="16"/>
        </w:rPr>
        <w:t xml:space="preserve">[A-033]</w:t>
      </w:r>
      <w:r>
        <w:rPr>
          <w:rFonts w:ascii="Arial" w:cs="Arial" w:eastAsia="Arial" w:hAnsi="Arial"/>
          <w:color w:val="8A8A78"/>
          <w:sz w:val="16"/>
          <w:szCs w:val="16"/>
        </w:rPr>
        <w:t xml:space="preserve">  PillarGrid › tag</w:t>
      </w:r>
    </w:p>
    <w:p>
      <w:pPr>
        <w:pStyle w:val="EditableText"/>
        <w:spacing w:after="100" w:line="300"/>
        <w:ind w:left="120"/>
      </w:pPr>
      <w:r>
        <w:rPr>
          <w:rFonts w:ascii="Georgia" w:cs="Georgia" w:eastAsia="Georgia" w:hAnsi="Georgia"/>
          <w:color w:val="1A1A0A"/>
          <w:sz w:val="20"/>
          <w:szCs w:val="20"/>
        </w:rPr>
        <w:t xml:space="preserve">QS · 2024 methodology</w:t>
      </w:r>
    </w:p>
    <w:p>
      <w:pPr>
        <w:pStyle w:val="BlockAnchor"/>
        <w:keepNext/>
        <w:spacing w:after="40" w:before="200"/>
      </w:pPr>
      <w:r>
        <w:rPr>
          <w:rFonts w:ascii="Consolas" w:cs="Consolas" w:eastAsia="Consolas" w:hAnsi="Consolas"/>
          <w:b/>
          <w:bCs/>
          <w:color w:val="8A8A78"/>
          <w:sz w:val="16"/>
          <w:szCs w:val="16"/>
        </w:rPr>
        <w:t xml:space="preserve">[S-023]</w:t>
      </w:r>
      <w:r>
        <w:rPr>
          <w:rFonts w:ascii="Arial" w:cs="Arial" w:eastAsia="Arial" w:hAnsi="Arial"/>
          <w:color w:val="8A8A78"/>
          <w:sz w:val="16"/>
          <w:szCs w:val="16"/>
        </w:rPr>
        <w:t xml:space="preserve">  PillarGrid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Reputation-led, with internationalisation overlay.</w:t>
      </w:r>
    </w:p>
    <w:p>
      <w:pPr>
        <w:pStyle w:val="BlockAnchor"/>
        <w:keepNext/>
        <w:spacing w:after="40" w:before="200"/>
      </w:pPr>
      <w:r>
        <w:rPr>
          <w:rFonts w:ascii="Consolas" w:cs="Consolas" w:eastAsia="Consolas" w:hAnsi="Consolas"/>
          <w:b/>
          <w:bCs/>
          <w:color w:val="8A8A78"/>
          <w:sz w:val="16"/>
          <w:szCs w:val="16"/>
        </w:rPr>
        <w:t xml:space="preserve">[A-034]</w:t>
      </w:r>
      <w:r>
        <w:rPr>
          <w:rFonts w:ascii="Arial" w:cs="Arial" w:eastAsia="Arial" w:hAnsi="Arial"/>
          <w:color w:val="8A8A78"/>
          <w:sz w:val="16"/>
          <w:szCs w:val="16"/>
        </w:rPr>
        <w:t xml:space="preserve">  PillarGrid › body</w:t>
      </w:r>
    </w:p>
    <w:p>
      <w:pPr>
        <w:pStyle w:val="EditableText"/>
        <w:spacing w:after="100" w:line="300"/>
        <w:ind w:left="120"/>
      </w:pPr>
      <w:r>
        <w:rPr>
          <w:rFonts w:ascii="Georgia" w:cs="Georgia" w:eastAsia="Georgia" w:hAnsi="Georgia"/>
          <w:color w:val="1A1A0A"/>
          <w:sz w:val="22"/>
          <w:szCs w:val="22"/>
        </w:rPr>
        <w:t xml:space="preserve">QS combines two reputation surveys (45% combined) with citations per faculty (20%), faculty-to-student ratio (10%), and four internationalisation and outcomes indicators introduced or rebalanced in 2024 (each 5%).</w:t>
      </w:r>
    </w:p>
    <w:p>
      <w:pPr>
        <w:pStyle w:val="BlockAnchor"/>
        <w:keepNext/>
        <w:spacing w:after="40" w:before="200"/>
      </w:pPr>
      <w:r>
        <w:rPr>
          <w:rFonts w:ascii="Consolas" w:cs="Consolas" w:eastAsia="Consolas" w:hAnsi="Consolas"/>
          <w:b/>
          <w:bCs/>
          <w:color w:val="8A8A78"/>
          <w:sz w:val="16"/>
          <w:szCs w:val="16"/>
        </w:rPr>
        <w:t xml:space="preserve">[S-024]</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Academic Rep</w:t>
      </w:r>
    </w:p>
    <w:p>
      <w:pPr>
        <w:pStyle w:val="BlockAnchor"/>
        <w:keepNext/>
        <w:spacing w:after="40" w:before="200"/>
      </w:pPr>
      <w:r>
        <w:rPr>
          <w:rFonts w:ascii="Consolas" w:cs="Consolas" w:eastAsia="Consolas" w:hAnsi="Consolas"/>
          <w:b/>
          <w:bCs/>
          <w:color w:val="8A8A78"/>
          <w:sz w:val="16"/>
          <w:szCs w:val="16"/>
        </w:rPr>
        <w:t xml:space="preserve">[S-025]</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Employer Rep</w:t>
      </w:r>
    </w:p>
    <w:p>
      <w:pPr>
        <w:pStyle w:val="BlockAnchor"/>
        <w:keepNext/>
        <w:spacing w:after="40" w:before="200"/>
      </w:pPr>
      <w:r>
        <w:rPr>
          <w:rFonts w:ascii="Consolas" w:cs="Consolas" w:eastAsia="Consolas" w:hAnsi="Consolas"/>
          <w:b/>
          <w:bCs/>
          <w:color w:val="8A8A78"/>
          <w:sz w:val="16"/>
          <w:szCs w:val="16"/>
        </w:rPr>
        <w:t xml:space="preserve">[S-026]</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Citations / Fac</w:t>
      </w:r>
    </w:p>
    <w:p>
      <w:pPr>
        <w:pStyle w:val="BlockAnchor"/>
        <w:keepNext/>
        <w:spacing w:after="40" w:before="200"/>
      </w:pPr>
      <w:r>
        <w:rPr>
          <w:rFonts w:ascii="Consolas" w:cs="Consolas" w:eastAsia="Consolas" w:hAnsi="Consolas"/>
          <w:b/>
          <w:bCs/>
          <w:color w:val="8A8A78"/>
          <w:sz w:val="16"/>
          <w:szCs w:val="16"/>
        </w:rPr>
        <w:t xml:space="preserve">[S-027]</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Fac/Stu</w:t>
      </w:r>
    </w:p>
    <w:p>
      <w:pPr>
        <w:pStyle w:val="BlockAnchor"/>
        <w:keepNext/>
        <w:spacing w:after="40" w:before="200"/>
      </w:pPr>
      <w:r>
        <w:rPr>
          <w:rFonts w:ascii="Consolas" w:cs="Consolas" w:eastAsia="Consolas" w:hAnsi="Consolas"/>
          <w:b/>
          <w:bCs/>
          <w:color w:val="8A8A78"/>
          <w:sz w:val="16"/>
          <w:szCs w:val="16"/>
        </w:rPr>
        <w:t xml:space="preserve">[S-028]</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Intl &amp; Outcomes</w:t>
      </w:r>
    </w:p>
    <w:p>
      <w:pPr>
        <w:pStyle w:val="BlockAnchor"/>
        <w:keepNext/>
        <w:spacing w:after="40" w:before="200"/>
      </w:pPr>
      <w:r>
        <w:rPr>
          <w:rFonts w:ascii="Consolas" w:cs="Consolas" w:eastAsia="Consolas" w:hAnsi="Consolas"/>
          <w:b/>
          <w:bCs/>
          <w:color w:val="8A8A78"/>
          <w:sz w:val="16"/>
          <w:szCs w:val="16"/>
        </w:rPr>
        <w:t xml:space="preserve">[S-029]</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Academic Reputation 30%</w:t>
      </w:r>
    </w:p>
    <w:p>
      <w:pPr>
        <w:pStyle w:val="BlockAnchor"/>
        <w:keepNext/>
        <w:spacing w:after="40" w:before="200"/>
      </w:pPr>
      <w:r>
        <w:rPr>
          <w:rFonts w:ascii="Consolas" w:cs="Consolas" w:eastAsia="Consolas" w:hAnsi="Consolas"/>
          <w:b/>
          <w:bCs/>
          <w:color w:val="8A8A78"/>
          <w:sz w:val="16"/>
          <w:szCs w:val="16"/>
        </w:rPr>
        <w:t xml:space="preserve">[S-030]</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Employer Reputation 15%</w:t>
      </w:r>
    </w:p>
    <w:p>
      <w:pPr>
        <w:pStyle w:val="BlockAnchor"/>
        <w:keepNext/>
        <w:spacing w:after="40" w:before="200"/>
      </w:pPr>
      <w:r>
        <w:rPr>
          <w:rFonts w:ascii="Consolas" w:cs="Consolas" w:eastAsia="Consolas" w:hAnsi="Consolas"/>
          <w:b/>
          <w:bCs/>
          <w:color w:val="8A8A78"/>
          <w:sz w:val="16"/>
          <w:szCs w:val="16"/>
        </w:rPr>
        <w:t xml:space="preserve">[S-031]</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Citations per Faculty 20%</w:t>
      </w:r>
    </w:p>
    <w:p>
      <w:pPr>
        <w:pStyle w:val="BlockAnchor"/>
        <w:keepNext/>
        <w:spacing w:after="40" w:before="200"/>
      </w:pPr>
      <w:r>
        <w:rPr>
          <w:rFonts w:ascii="Consolas" w:cs="Consolas" w:eastAsia="Consolas" w:hAnsi="Consolas"/>
          <w:b/>
          <w:bCs/>
          <w:color w:val="8A8A78"/>
          <w:sz w:val="16"/>
          <w:szCs w:val="16"/>
        </w:rPr>
        <w:t xml:space="preserve">[S-032]</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Faculty/Student 10%</w:t>
      </w:r>
    </w:p>
    <w:p>
      <w:pPr>
        <w:pStyle w:val="BlockAnchor"/>
        <w:keepNext/>
        <w:spacing w:after="40" w:before="200"/>
      </w:pPr>
      <w:r>
        <w:rPr>
          <w:rFonts w:ascii="Consolas" w:cs="Consolas" w:eastAsia="Consolas" w:hAnsi="Consolas"/>
          <w:b/>
          <w:bCs/>
          <w:color w:val="8A8A78"/>
          <w:sz w:val="16"/>
          <w:szCs w:val="16"/>
        </w:rPr>
        <w:t xml:space="preserve">[S-033]</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Intl Faculty / Intl Students / Intl Research Network / Sustainability / Employment Outcomes (each 5%)</w:t>
      </w:r>
    </w:p>
    <w:p>
      <w:pPr>
        <w:pStyle w:val="BlockAnchor"/>
        <w:keepNext/>
        <w:spacing w:after="40" w:before="200"/>
      </w:pPr>
      <w:r>
        <w:rPr>
          <w:rFonts w:ascii="Consolas" w:cs="Consolas" w:eastAsia="Consolas" w:hAnsi="Consolas"/>
          <w:b/>
          <w:bCs/>
          <w:color w:val="8A8A78"/>
          <w:sz w:val="16"/>
          <w:szCs w:val="16"/>
        </w:rPr>
        <w:t xml:space="preserve">[S-034]</w:t>
      </w:r>
      <w:r>
        <w:rPr>
          <w:rFonts w:ascii="Arial" w:cs="Arial" w:eastAsia="Arial" w:hAnsi="Arial"/>
          <w:color w:val="8A8A78"/>
          <w:sz w:val="16"/>
          <w:szCs w:val="16"/>
        </w:rPr>
        <w:t xml:space="preserve">  PillarGrid › tag</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 WUR 3.0 (2024)</w:t>
      </w:r>
    </w:p>
    <w:p>
      <w:pPr>
        <w:pStyle w:val="BlockAnchor"/>
        <w:keepNext/>
        <w:spacing w:after="40" w:before="200"/>
      </w:pPr>
      <w:r>
        <w:rPr>
          <w:rFonts w:ascii="Consolas" w:cs="Consolas" w:eastAsia="Consolas" w:hAnsi="Consolas"/>
          <w:b/>
          <w:bCs/>
          <w:color w:val="8A8A78"/>
          <w:sz w:val="16"/>
          <w:szCs w:val="16"/>
        </w:rPr>
        <w:t xml:space="preserve">[S-035]</w:t>
      </w:r>
      <w:r>
        <w:rPr>
          <w:rFonts w:ascii="Arial" w:cs="Arial" w:eastAsia="Arial" w:hAnsi="Arial"/>
          <w:color w:val="8A8A78"/>
          <w:sz w:val="16"/>
          <w:szCs w:val="16"/>
        </w:rPr>
        <w:t xml:space="preserve">  PillarGrid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Research-quality led, with bibliometric depth.</w:t>
      </w:r>
    </w:p>
    <w:p>
      <w:pPr>
        <w:pStyle w:val="BlockAnchor"/>
        <w:keepNext/>
        <w:spacing w:after="40" w:before="200"/>
      </w:pPr>
      <w:r>
        <w:rPr>
          <w:rFonts w:ascii="Consolas" w:cs="Consolas" w:eastAsia="Consolas" w:hAnsi="Consolas"/>
          <w:b/>
          <w:bCs/>
          <w:color w:val="8A8A78"/>
          <w:sz w:val="16"/>
          <w:szCs w:val="16"/>
        </w:rPr>
        <w:t xml:space="preserve">[S-036]</w:t>
      </w:r>
      <w:r>
        <w:rPr>
          <w:rFonts w:ascii="Arial" w:cs="Arial" w:eastAsia="Arial" w:hAnsi="Arial"/>
          <w:color w:val="8A8A78"/>
          <w:sz w:val="16"/>
          <w:szCs w:val="16"/>
        </w:rPr>
        <w:t xml:space="preserve">  PillarGrid › body</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THE’s overall score uses 18 indicators across five pillars. The 2024 edition split Research into Research Environment and Research Quality, dropping the standalone Citations indicator that had defined THE since 2010.</w:t>
      </w:r>
    </w:p>
    <w:p>
      <w:pPr>
        <w:pStyle w:val="BlockAnchor"/>
        <w:keepNext/>
        <w:spacing w:after="40" w:before="200"/>
      </w:pPr>
      <w:r>
        <w:rPr>
          <w:rFonts w:ascii="Consolas" w:cs="Consolas" w:eastAsia="Consolas" w:hAnsi="Consolas"/>
          <w:b/>
          <w:bCs/>
          <w:color w:val="8A8A78"/>
          <w:sz w:val="16"/>
          <w:szCs w:val="16"/>
        </w:rPr>
        <w:t xml:space="preserve">[S-037]</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Teaching</w:t>
      </w:r>
    </w:p>
    <w:p>
      <w:pPr>
        <w:pStyle w:val="BlockAnchor"/>
        <w:keepNext/>
        <w:spacing w:after="40" w:before="200"/>
      </w:pPr>
      <w:r>
        <w:rPr>
          <w:rFonts w:ascii="Consolas" w:cs="Consolas" w:eastAsia="Consolas" w:hAnsi="Consolas"/>
          <w:b/>
          <w:bCs/>
          <w:color w:val="8A8A78"/>
          <w:sz w:val="16"/>
          <w:szCs w:val="16"/>
        </w:rPr>
        <w:t xml:space="preserve">[S-038]</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Research Env</w:t>
      </w:r>
    </w:p>
    <w:p>
      <w:pPr>
        <w:pStyle w:val="BlockAnchor"/>
        <w:keepNext/>
        <w:spacing w:after="40" w:before="200"/>
      </w:pPr>
      <w:r>
        <w:rPr>
          <w:rFonts w:ascii="Consolas" w:cs="Consolas" w:eastAsia="Consolas" w:hAnsi="Consolas"/>
          <w:b/>
          <w:bCs/>
          <w:color w:val="8A8A78"/>
          <w:sz w:val="16"/>
          <w:szCs w:val="16"/>
        </w:rPr>
        <w:t xml:space="preserve">[S-039]</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Research Qual</w:t>
      </w:r>
    </w:p>
    <w:p>
      <w:pPr>
        <w:pStyle w:val="BlockAnchor"/>
        <w:keepNext/>
        <w:spacing w:after="40" w:before="200"/>
      </w:pPr>
      <w:r>
        <w:rPr>
          <w:rFonts w:ascii="Consolas" w:cs="Consolas" w:eastAsia="Consolas" w:hAnsi="Consolas"/>
          <w:b/>
          <w:bCs/>
          <w:color w:val="8A8A78"/>
          <w:sz w:val="16"/>
          <w:szCs w:val="16"/>
        </w:rPr>
        <w:t xml:space="preserve">[S-040]</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Ind</w:t>
      </w:r>
    </w:p>
    <w:p>
      <w:pPr>
        <w:pStyle w:val="BlockAnchor"/>
        <w:keepNext/>
        <w:spacing w:after="40" w:before="200"/>
      </w:pPr>
      <w:r>
        <w:rPr>
          <w:rFonts w:ascii="Consolas" w:cs="Consolas" w:eastAsia="Consolas" w:hAnsi="Consolas"/>
          <w:b/>
          <w:bCs/>
          <w:color w:val="8A8A78"/>
          <w:sz w:val="16"/>
          <w:szCs w:val="16"/>
        </w:rPr>
        <w:t xml:space="preserve">[S-041]</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Intl</w:t>
      </w:r>
    </w:p>
    <w:p>
      <w:pPr>
        <w:pStyle w:val="BlockAnchor"/>
        <w:keepNext/>
        <w:spacing w:after="40" w:before="200"/>
      </w:pPr>
      <w:r>
        <w:rPr>
          <w:rFonts w:ascii="Consolas" w:cs="Consolas" w:eastAsia="Consolas" w:hAnsi="Consolas"/>
          <w:b/>
          <w:bCs/>
          <w:color w:val="8A8A78"/>
          <w:sz w:val="16"/>
          <w:szCs w:val="16"/>
        </w:rPr>
        <w:t xml:space="preserve">[S-042]</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Teaching 29.5%</w:t>
      </w:r>
    </w:p>
    <w:p>
      <w:pPr>
        <w:pStyle w:val="BlockAnchor"/>
        <w:keepNext/>
        <w:spacing w:after="40" w:before="200"/>
      </w:pPr>
      <w:r>
        <w:rPr>
          <w:rFonts w:ascii="Consolas" w:cs="Consolas" w:eastAsia="Consolas" w:hAnsi="Consolas"/>
          <w:b/>
          <w:bCs/>
          <w:color w:val="8A8A78"/>
          <w:sz w:val="16"/>
          <w:szCs w:val="16"/>
        </w:rPr>
        <w:t xml:space="preserve">[S-043]</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Research Environment 29%</w:t>
      </w:r>
    </w:p>
    <w:p>
      <w:pPr>
        <w:pStyle w:val="BlockAnchor"/>
        <w:keepNext/>
        <w:spacing w:after="40" w:before="200"/>
      </w:pPr>
      <w:r>
        <w:rPr>
          <w:rFonts w:ascii="Consolas" w:cs="Consolas" w:eastAsia="Consolas" w:hAnsi="Consolas"/>
          <w:b/>
          <w:bCs/>
          <w:color w:val="8A8A78"/>
          <w:sz w:val="16"/>
          <w:szCs w:val="16"/>
        </w:rPr>
        <w:t xml:space="preserve">[S-044]</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Research Quality 30%</w:t>
      </w:r>
    </w:p>
    <w:p>
      <w:pPr>
        <w:pStyle w:val="BlockAnchor"/>
        <w:keepNext/>
        <w:spacing w:after="40" w:before="200"/>
      </w:pPr>
      <w:r>
        <w:rPr>
          <w:rFonts w:ascii="Consolas" w:cs="Consolas" w:eastAsia="Consolas" w:hAnsi="Consolas"/>
          <w:b/>
          <w:bCs/>
          <w:color w:val="8A8A78"/>
          <w:sz w:val="16"/>
          <w:szCs w:val="16"/>
        </w:rPr>
        <w:t xml:space="preserve">[S-045]</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Industry 4%</w:t>
      </w:r>
    </w:p>
    <w:p>
      <w:pPr>
        <w:pStyle w:val="BlockAnchor"/>
        <w:keepNext/>
        <w:spacing w:after="40" w:before="200"/>
      </w:pPr>
      <w:r>
        <w:rPr>
          <w:rFonts w:ascii="Consolas" w:cs="Consolas" w:eastAsia="Consolas" w:hAnsi="Consolas"/>
          <w:b/>
          <w:bCs/>
          <w:color w:val="8A8A78"/>
          <w:sz w:val="16"/>
          <w:szCs w:val="16"/>
        </w:rPr>
        <w:t xml:space="preserve">[S-046]</w:t>
      </w:r>
      <w:r>
        <w:rPr>
          <w:rFonts w:ascii="Arial" w:cs="Arial" w:eastAsia="Arial" w:hAnsi="Arial"/>
          <w:color w:val="8A8A78"/>
          <w:sz w:val="16"/>
          <w:szCs w:val="16"/>
        </w:rPr>
        <w:t xml:space="preserve">  PillarGrid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International Outlook 7.5%</w:t>
      </w:r>
    </w:p>
    <w:p>
      <w:pPr>
        <w:pStyle w:val="BlockAnchor"/>
        <w:keepNext/>
        <w:spacing w:after="40" w:before="200"/>
      </w:pPr>
      <w:r>
        <w:rPr>
          <w:rFonts w:ascii="Consolas" w:cs="Consolas" w:eastAsia="Consolas" w:hAnsi="Consolas"/>
          <w:b/>
          <w:bCs/>
          <w:color w:val="8A8A78"/>
          <w:sz w:val="16"/>
          <w:szCs w:val="16"/>
        </w:rPr>
        <w:t xml:space="preserve">[A-035]</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Why a 100-place gap is often signal, not noise.</w:t>
      </w:r>
    </w:p>
    <w:p>
      <w:pPr>
        <w:pStyle w:val="BlockAnchor"/>
        <w:keepNext/>
        <w:spacing w:after="40" w:before="200"/>
      </w:pPr>
      <w:r>
        <w:rPr>
          <w:rFonts w:ascii="Consolas" w:cs="Consolas" w:eastAsia="Consolas" w:hAnsi="Consolas"/>
          <w:b/>
          <w:bCs/>
          <w:color w:val="8A8A78"/>
          <w:sz w:val="16"/>
          <w:szCs w:val="16"/>
        </w:rPr>
        <w:t xml:space="preserve">[A-036]</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Reputation surveys reward legacy footprints and mean-revert slowly. Citation indicators reward recent research output. Asian research-intensive universities tend to read strongly to THE; long-established US and UK names tend to read more strongly to QS. The institution-by-institution scatter of 2026 ranks bears this out: most universities sit close to the 45-degree line (the systems agree, broadly), but a meaningful set of outliers is visibly off-diagonal in editorially explicable directions.</w:t>
      </w:r>
    </w:p>
    <w:p>
      <w:pPr>
        <w:pStyle w:val="BlockAnchor"/>
        <w:keepNext/>
        <w:spacing w:after="40" w:before="200"/>
      </w:pPr>
      <w:r>
        <w:rPr>
          <w:rFonts w:ascii="Consolas" w:cs="Consolas" w:eastAsia="Consolas" w:hAnsi="Consolas"/>
          <w:b/>
          <w:bCs/>
          <w:color w:val="8A8A78"/>
          <w:sz w:val="16"/>
          <w:szCs w:val="16"/>
        </w:rPr>
        <w:t xml:space="preserve">[S-047]</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QS and THE often disagree, and the disagreement is structural.</w:t>
      </w:r>
    </w:p>
    <w:p>
      <w:pPr>
        <w:pStyle w:val="BlockAnchor"/>
        <w:keepNext/>
        <w:spacing w:after="40" w:before="200"/>
      </w:pPr>
      <w:r>
        <w:rPr>
          <w:rFonts w:ascii="Consolas" w:cs="Consolas" w:eastAsia="Consolas" w:hAnsi="Consolas"/>
          <w:b/>
          <w:bCs/>
          <w:color w:val="8A8A78"/>
          <w:sz w:val="16"/>
          <w:szCs w:val="16"/>
        </w:rPr>
        <w:t xml:space="preserve">[S-048]</w:t>
      </w:r>
      <w:r>
        <w:rPr>
          <w:rFonts w:ascii="Arial" w:cs="Arial" w:eastAsia="Arial" w:hAnsi="Arial"/>
          <w:color w:val="8A8A78"/>
          <w:sz w:val="16"/>
          <w:szCs w:val="16"/>
        </w:rPr>
        <w:t xml:space="preserve">  Exhibit › sub</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Institution-level QS rank vs THE rank, 2026 edition. Each dot is one institution; outliers labelled.</w:t>
      </w:r>
    </w:p>
    <w:p>
      <w:pPr>
        <w:pStyle w:val="BlockAnchor"/>
        <w:keepNext/>
        <w:spacing w:after="40" w:before="200"/>
      </w:pPr>
      <w:r>
        <w:rPr>
          <w:rFonts w:ascii="Consolas" w:cs="Consolas" w:eastAsia="Consolas" w:hAnsi="Consolas"/>
          <w:b/>
          <w:bCs/>
          <w:color w:val="8A8A78"/>
          <w:sz w:val="16"/>
          <w:szCs w:val="16"/>
        </w:rPr>
        <w:t xml:space="preserve">[A-037]</w:t>
      </w:r>
      <w:r>
        <w:rPr>
          <w:rFonts w:ascii="Arial" w:cs="Arial" w:eastAsia="Arial" w:hAnsi="Arial"/>
          <w:color w:val="8A8A78"/>
          <w:sz w:val="16"/>
          <w:szCs w:val="16"/>
        </w:rPr>
        <w:t xml:space="preserve">  Exhibit › source</w:t>
      </w:r>
    </w:p>
    <w:p>
      <w:pPr>
        <w:pStyle w:val="EditableText"/>
        <w:spacing w:after="100" w:line="300"/>
        <w:ind w:left="120"/>
      </w:pPr>
      <w:r>
        <w:rPr>
          <w:rFonts w:ascii="Georgia" w:cs="Georgia" w:eastAsia="Georgia" w:hAnsi="Georgia"/>
          <w:color w:val="1A1A0A"/>
          <w:sz w:val="22"/>
          <w:szCs w:val="22"/>
        </w:rPr>
        <w:t xml:space="preserve">Source: QS World University Rankings 2026; THE World University Rankings 2026; authors’ analysis. Schematic representation; outliers reflect actual divergences identified in 2026 data.</w:t>
      </w:r>
    </w:p>
    <w:p>
      <w:pPr>
        <w:pStyle w:val="BlockAnchor"/>
        <w:keepNext/>
        <w:spacing w:after="40" w:before="200"/>
      </w:pPr>
      <w:r>
        <w:rPr>
          <w:rFonts w:ascii="Consolas" w:cs="Consolas" w:eastAsia="Consolas" w:hAnsi="Consolas"/>
          <w:b/>
          <w:bCs/>
          <w:color w:val="8A8A78"/>
          <w:sz w:val="16"/>
          <w:szCs w:val="16"/>
        </w:rPr>
        <w:t xml:space="preserve">[S-049]</w:t>
      </w:r>
      <w:r>
        <w:rPr>
          <w:rFonts w:ascii="Arial" w:cs="Arial" w:eastAsia="Arial" w:hAnsi="Arial"/>
          <w:color w:val="8A8A78"/>
          <w:sz w:val="16"/>
          <w:szCs w:val="16"/>
        </w:rPr>
        <w:t xml:space="preserve">  SVGScatter › diagonalLabel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QS rank = THE rank (perfect agreement)</w:t>
      </w:r>
    </w:p>
    <w:p>
      <w:pPr>
        <w:pStyle w:val="BlockAnchor"/>
        <w:keepNext/>
        <w:spacing w:after="40" w:before="200"/>
      </w:pPr>
      <w:r>
        <w:rPr>
          <w:rFonts w:ascii="Consolas" w:cs="Consolas" w:eastAsia="Consolas" w:hAnsi="Consolas"/>
          <w:b/>
          <w:bCs/>
          <w:color w:val="8A8A78"/>
          <w:sz w:val="16"/>
          <w:szCs w:val="16"/>
        </w:rPr>
        <w:t xml:space="preserve">[S-050]</w:t>
      </w:r>
      <w:r>
        <w:rPr>
          <w:rFonts w:ascii="Arial" w:cs="Arial" w:eastAsia="Arial" w:hAnsi="Arial"/>
          <w:color w:val="8A8A78"/>
          <w:sz w:val="16"/>
          <w:szCs w:val="16"/>
        </w:rPr>
        <w:t xml:space="preserve">  SVGScatter › xAxisLabel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QS rank (better →)</w:t>
      </w:r>
    </w:p>
    <w:p>
      <w:pPr>
        <w:pStyle w:val="BlockAnchor"/>
        <w:keepNext/>
        <w:spacing w:after="40" w:before="200"/>
      </w:pPr>
      <w:r>
        <w:rPr>
          <w:rFonts w:ascii="Consolas" w:cs="Consolas" w:eastAsia="Consolas" w:hAnsi="Consolas"/>
          <w:b/>
          <w:bCs/>
          <w:color w:val="8A8A78"/>
          <w:sz w:val="16"/>
          <w:szCs w:val="16"/>
        </w:rPr>
        <w:t xml:space="preserve">[S-051]</w:t>
      </w:r>
      <w:r>
        <w:rPr>
          <w:rFonts w:ascii="Arial" w:cs="Arial" w:eastAsia="Arial" w:hAnsi="Arial"/>
          <w:color w:val="8A8A78"/>
          <w:sz w:val="16"/>
          <w:szCs w:val="16"/>
        </w:rPr>
        <w:t xml:space="preserve">  SVGScatter › yAxisLabel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rank (better →)</w:t>
      </w:r>
    </w:p>
    <w:p>
      <w:pPr>
        <w:pStyle w:val="BlockAnchor"/>
        <w:keepNext/>
        <w:spacing w:after="40" w:before="200"/>
      </w:pPr>
      <w:r>
        <w:rPr>
          <w:rFonts w:ascii="Consolas" w:cs="Consolas" w:eastAsia="Consolas" w:hAnsi="Consolas"/>
          <w:b/>
          <w:bCs/>
          <w:color w:val="8A8A78"/>
          <w:sz w:val="16"/>
          <w:szCs w:val="16"/>
        </w:rPr>
        <w:t xml:space="preserve">[A-038]</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dispersion is editorial, not random. The scatter has two visible groupings on either side of the 45-degree line: institutions that read more strongly to QS (older brands with deep employer-reputation footprints) and institutions that read more strongly to THE (research-intensive Asian universities whose citation density outpaces their reputation-survey scores). The 12 largest divergences in our dataset all fall into one of these two structural buckets.</w:t>
      </w:r>
    </w:p>
    <w:p>
      <w:pPr>
        <w:pStyle w:val="BlockAnchor"/>
        <w:keepNext/>
        <w:spacing w:after="40" w:before="200"/>
      </w:pPr>
      <w:r>
        <w:rPr>
          <w:rFonts w:ascii="Consolas" w:cs="Consolas" w:eastAsia="Consolas" w:hAnsi="Consolas"/>
          <w:b/>
          <w:bCs/>
          <w:color w:val="8A8A78"/>
          <w:sz w:val="16"/>
          <w:szCs w:val="16"/>
        </w:rPr>
        <w:t xml:space="preserve">[A-039]</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most common decision-maker error is to read movement on either system as a quality signal independent of methodology. It rarely is.</w:t>
      </w:r>
    </w:p>
    <w:p>
      <w:pPr>
        <w:pStyle w:val="Heading2"/>
        <w:pBdr>
          <w:top w:val="single" w:color="3F4818" w:sz="6" w:space="8"/>
        </w:pBdr>
        <w:spacing w:after="160" w:before="400"/>
      </w:pPr>
      <w:r>
        <w:rPr>
          <w:rFonts w:ascii="Arial" w:cs="Arial" w:eastAsia="Arial" w:hAnsi="Arial"/>
          <w:b/>
          <w:bCs/>
          <w:color w:val="3F4818"/>
          <w:sz w:val="21"/>
          <w:szCs w:val="21"/>
        </w:rPr>
        <w:t xml:space="preserve">03 THE GLOBAL LANDSCAPE</w:t>
      </w:r>
    </w:p>
    <w:p>
      <w:pPr>
        <w:pStyle w:val="BlockAnchor"/>
        <w:keepNext/>
        <w:spacing w:after="40" w:before="200"/>
      </w:pPr>
      <w:r>
        <w:rPr>
          <w:rFonts w:ascii="Consolas" w:cs="Consolas" w:eastAsia="Consolas" w:hAnsi="Consolas"/>
          <w:b/>
          <w:bCs/>
          <w:color w:val="8A8A78"/>
          <w:sz w:val="16"/>
          <w:szCs w:val="16"/>
        </w:rPr>
        <w:t xml:space="preserve">[S-052]</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global landscape</w:t>
      </w:r>
    </w:p>
    <w:p>
      <w:pPr>
        <w:pStyle w:val="BlockAnchor"/>
        <w:keepNext/>
        <w:spacing w:after="40" w:before="200"/>
      </w:pPr>
      <w:r>
        <w:rPr>
          <w:rFonts w:ascii="Consolas" w:cs="Consolas" w:eastAsia="Consolas" w:hAnsi="Consolas"/>
          <w:b/>
          <w:bCs/>
          <w:color w:val="8A8A78"/>
          <w:sz w:val="16"/>
          <w:szCs w:val="16"/>
        </w:rPr>
        <w:t xml:space="preserve">[A-040]</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One region accounts for almost all the compositional change.</w:t>
      </w:r>
    </w:p>
    <w:p>
      <w:pPr>
        <w:pStyle w:val="BlockAnchor"/>
        <w:keepNext/>
        <w:spacing w:after="40" w:before="200"/>
      </w:pPr>
      <w:r>
        <w:rPr>
          <w:rFonts w:ascii="Consolas" w:cs="Consolas" w:eastAsia="Consolas" w:hAnsi="Consolas"/>
          <w:b/>
          <w:bCs/>
          <w:color w:val="8A8A78"/>
          <w:sz w:val="16"/>
          <w:szCs w:val="16"/>
        </w:rPr>
        <w:t xml:space="preserve">[A-041]</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aggregate composition of the Top 500 has shifted faster than the headlines on individual institutions suggest. Asia's gains, the United States' mild slip, Western Europe's persistence, and the structural volatility of the Top 500 are the four threads. The first is, by an order of magnitude, the largest.</w:t>
      </w:r>
    </w:p>
    <w:p>
      <w:pPr>
        <w:pStyle w:val="BlockAnchor"/>
        <w:keepNext/>
        <w:spacing w:after="40" w:before="200"/>
      </w:pPr>
      <w:r>
        <w:rPr>
          <w:rFonts w:ascii="Consolas" w:cs="Consolas" w:eastAsia="Consolas" w:hAnsi="Consolas"/>
          <w:b/>
          <w:bCs/>
          <w:color w:val="8A8A78"/>
          <w:sz w:val="16"/>
          <w:szCs w:val="16"/>
        </w:rPr>
        <w:t xml:space="preserve">[A-042]</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Greater China is the engine; the Gulf is now visible.</w:t>
      </w:r>
    </w:p>
    <w:p>
      <w:pPr>
        <w:pStyle w:val="BlockAnchor"/>
        <w:keepNext/>
        <w:spacing w:after="40" w:before="200"/>
      </w:pPr>
      <w:r>
        <w:rPr>
          <w:rFonts w:ascii="Consolas" w:cs="Consolas" w:eastAsia="Consolas" w:hAnsi="Consolas"/>
          <w:b/>
          <w:bCs/>
          <w:color w:val="8A8A78"/>
          <w:sz w:val="16"/>
          <w:szCs w:val="16"/>
        </w:rPr>
        <w:t xml:space="preserve">[A-043]</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Reading the country data alone understates how concentrated the Asian gain is. Of the +24 Chinese institutions added to the THE Top 500 across the decade, the majority cluster at higher rank tiers than the average new entrant. Tsinghua, Peking, Fudan, Shanghai Jiao Tong, Zhejiang, and the University of Science and Technology of China have each entered or consolidated Top-100 positions. Greater China's THE Top 100 footprint tripled from 4 institutions to 12. The shift is broad enough that it cannot be attributed to one institution or one programme; it tracks the timing and intensity of China's Double First-Class Construction initiative, which replaced Project 985/211 in 2015.</w:t>
      </w:r>
    </w:p>
    <w:p>
      <w:pPr>
        <w:pStyle w:val="BlockAnchor"/>
        <w:keepNext/>
        <w:spacing w:after="40" w:before="200"/>
      </w:pPr>
      <w:r>
        <w:rPr>
          <w:rFonts w:ascii="Consolas" w:cs="Consolas" w:eastAsia="Consolas" w:hAnsi="Consolas"/>
          <w:b/>
          <w:bCs/>
          <w:color w:val="8A8A78"/>
          <w:sz w:val="16"/>
          <w:szCs w:val="16"/>
        </w:rPr>
        <w:t xml:space="preserve">[A-044]</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Below China, the second-tier gainers are now distinctly Gulf-led. Saudi Arabia's footprint went from a single institution to nine over the decade, anchored by Vision 2030's explicit Top-200 target and KAUST's continued ascent. The United Arab Emirates added seven institutions to the THE Top 500, growing faster in absolute count than any other GCC peer. Khalifa University, the UAE's flagship, posted the strongest decade-long QS rise of any Gulf institution. The detail is in Section 06.</w:t>
      </w:r>
    </w:p>
    <w:p>
      <w:pPr>
        <w:pStyle w:val="BlockAnchor"/>
        <w:keepNext/>
        <w:spacing w:after="40" w:before="200"/>
      </w:pPr>
      <w:r>
        <w:rPr>
          <w:rFonts w:ascii="Consolas" w:cs="Consolas" w:eastAsia="Consolas" w:hAnsi="Consolas"/>
          <w:b/>
          <w:bCs/>
          <w:color w:val="8A8A78"/>
          <w:sz w:val="16"/>
          <w:szCs w:val="16"/>
        </w:rPr>
        <w:t xml:space="preserve">[A-045]</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corollary deserves attention: the Asian rise has not displaced US institutions in equal measure. The United States retains the largest single-country cohort in both ranking systems and has lost ground principally in the Top 200–500 band, not at the elite tier. The Ivy-tier private universities are not being unseated. Mid-Top-100 public flagships, large and well-funded but operating in a more competitive citation environment, are where the erosion is concentrated.</w:t>
      </w:r>
    </w:p>
    <w:p>
      <w:pPr>
        <w:pStyle w:val="BlockAnchor"/>
        <w:keepNext/>
        <w:spacing w:after="40" w:before="200"/>
      </w:pPr>
      <w:r>
        <w:rPr>
          <w:rFonts w:ascii="Consolas" w:cs="Consolas" w:eastAsia="Consolas" w:hAnsi="Consolas"/>
          <w:b/>
          <w:bCs/>
          <w:color w:val="8A8A78"/>
          <w:sz w:val="16"/>
          <w:szCs w:val="16"/>
        </w:rPr>
        <w:t xml:space="preserve">[S-053]</w:t>
      </w:r>
      <w:r>
        <w:rPr>
          <w:rFonts w:ascii="Arial" w:cs="Arial" w:eastAsia="Arial" w:hAnsi="Arial"/>
          <w:color w:val="8A8A78"/>
          <w:sz w:val="16"/>
          <w:szCs w:val="16"/>
        </w:rPr>
        <w:t xml:space="preserve">  DataTable › caption</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Top-15 countries by 2026 Top-500 count, both ranking systems</w:t>
      </w:r>
    </w:p>
    <w:p>
      <w:pPr>
        <w:pStyle w:val="BlockAnchor"/>
        <w:keepNext/>
        <w:spacing w:after="40" w:before="200"/>
      </w:pPr>
      <w:r>
        <w:rPr>
          <w:rFonts w:ascii="Consolas" w:cs="Consolas" w:eastAsia="Consolas" w:hAnsi="Consolas"/>
          <w:b/>
          <w:bCs/>
          <w:color w:val="8A8A78"/>
          <w:sz w:val="16"/>
          <w:szCs w:val="16"/>
        </w:rPr>
        <w:t xml:space="preserve">[S-054]</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Country</w:t>
      </w:r>
    </w:p>
    <w:p>
      <w:pPr>
        <w:pStyle w:val="BlockAnchor"/>
        <w:keepNext/>
        <w:spacing w:after="40" w:before="200"/>
      </w:pPr>
      <w:r>
        <w:rPr>
          <w:rFonts w:ascii="Consolas" w:cs="Consolas" w:eastAsia="Consolas" w:hAnsi="Consolas"/>
          <w:b/>
          <w:bCs/>
          <w:color w:val="8A8A78"/>
          <w:sz w:val="16"/>
          <w:szCs w:val="16"/>
        </w:rPr>
        <w:t xml:space="preserve">[S-055]</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QS '17</w:t>
      </w:r>
    </w:p>
    <w:p>
      <w:pPr>
        <w:pStyle w:val="BlockAnchor"/>
        <w:keepNext/>
        <w:spacing w:after="40" w:before="200"/>
      </w:pPr>
      <w:r>
        <w:rPr>
          <w:rFonts w:ascii="Consolas" w:cs="Consolas" w:eastAsia="Consolas" w:hAnsi="Consolas"/>
          <w:b/>
          <w:bCs/>
          <w:color w:val="8A8A78"/>
          <w:sz w:val="16"/>
          <w:szCs w:val="16"/>
        </w:rPr>
        <w:t xml:space="preserve">[S-056]</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QS '26</w:t>
      </w:r>
    </w:p>
    <w:p>
      <w:pPr>
        <w:pStyle w:val="BlockAnchor"/>
        <w:keepNext/>
        <w:spacing w:after="40" w:before="200"/>
      </w:pPr>
      <w:r>
        <w:rPr>
          <w:rFonts w:ascii="Consolas" w:cs="Consolas" w:eastAsia="Consolas" w:hAnsi="Consolas"/>
          <w:b/>
          <w:bCs/>
          <w:color w:val="8A8A78"/>
          <w:sz w:val="16"/>
          <w:szCs w:val="16"/>
        </w:rPr>
        <w:t xml:space="preserve">[S-057]</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QS Δ</w:t>
      </w:r>
    </w:p>
    <w:p>
      <w:pPr>
        <w:pStyle w:val="BlockAnchor"/>
        <w:keepNext/>
        <w:spacing w:after="40" w:before="200"/>
      </w:pPr>
      <w:r>
        <w:rPr>
          <w:rFonts w:ascii="Consolas" w:cs="Consolas" w:eastAsia="Consolas" w:hAnsi="Consolas"/>
          <w:b/>
          <w:bCs/>
          <w:color w:val="8A8A78"/>
          <w:sz w:val="16"/>
          <w:szCs w:val="16"/>
        </w:rPr>
        <w:t xml:space="preserve">[S-058]</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'16</w:t>
      </w:r>
    </w:p>
    <w:p>
      <w:pPr>
        <w:pStyle w:val="BlockAnchor"/>
        <w:keepNext/>
        <w:spacing w:after="40" w:before="200"/>
      </w:pPr>
      <w:r>
        <w:rPr>
          <w:rFonts w:ascii="Consolas" w:cs="Consolas" w:eastAsia="Consolas" w:hAnsi="Consolas"/>
          <w:b/>
          <w:bCs/>
          <w:color w:val="8A8A78"/>
          <w:sz w:val="16"/>
          <w:szCs w:val="16"/>
        </w:rPr>
        <w:t xml:space="preserve">[S-059]</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'26</w:t>
      </w:r>
    </w:p>
    <w:p>
      <w:pPr>
        <w:pStyle w:val="BlockAnchor"/>
        <w:keepNext/>
        <w:spacing w:after="40" w:before="200"/>
      </w:pPr>
      <w:r>
        <w:rPr>
          <w:rFonts w:ascii="Consolas" w:cs="Consolas" w:eastAsia="Consolas" w:hAnsi="Consolas"/>
          <w:b/>
          <w:bCs/>
          <w:color w:val="8A8A78"/>
          <w:sz w:val="16"/>
          <w:szCs w:val="16"/>
        </w:rPr>
        <w:t xml:space="preserve">[S-060]</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Δ</w:t>
      </w:r>
    </w:p>
    <w:p>
      <w:pPr>
        <w:pStyle w:val="BlockAnchor"/>
        <w:keepNext/>
        <w:spacing w:after="40" w:before="200"/>
      </w:pPr>
      <w:r>
        <w:rPr>
          <w:rFonts w:ascii="Consolas" w:cs="Consolas" w:eastAsia="Consolas" w:hAnsi="Consolas"/>
          <w:b/>
          <w:bCs/>
          <w:color w:val="8A8A78"/>
          <w:sz w:val="16"/>
          <w:szCs w:val="16"/>
        </w:rPr>
        <w:t xml:space="preserve">[A-046]</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Research-funding intensity tracks citation gains, with policy-driven outliers.</w:t>
      </w:r>
    </w:p>
    <w:p>
      <w:pPr>
        <w:pStyle w:val="BlockAnchor"/>
        <w:keepNext/>
        <w:spacing w:after="40" w:before="200"/>
      </w:pPr>
      <w:r>
        <w:rPr>
          <w:rFonts w:ascii="Consolas" w:cs="Consolas" w:eastAsia="Consolas" w:hAnsi="Consolas"/>
          <w:b/>
          <w:bCs/>
          <w:color w:val="8A8A78"/>
          <w:sz w:val="16"/>
          <w:szCs w:val="16"/>
        </w:rPr>
        <w:t xml:space="preserve">[A-047]</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country-level pattern that anchors the rankings story is straightforward: countries that invested in research as a share of GDP saw their universities' citation pillars rise across the decade. The pairing of China and South Korea anchors the upside; Israel sits at the high-investment, modest-gain end of the line. Russia is the only major country with a negative score change, consistent with post-2022 isolation from international research networks.</w:t>
      </w:r>
    </w:p>
    <w:p>
      <w:pPr>
        <w:pStyle w:val="BlockAnchor"/>
        <w:keepNext/>
        <w:spacing w:after="40" w:before="200"/>
      </w:pPr>
      <w:r>
        <w:rPr>
          <w:rFonts w:ascii="Consolas" w:cs="Consolas" w:eastAsia="Consolas" w:hAnsi="Consolas"/>
          <w:b/>
          <w:bCs/>
          <w:color w:val="8A8A78"/>
          <w:sz w:val="16"/>
          <w:szCs w:val="16"/>
        </w:rPr>
        <w:t xml:space="preserve">[S-061]</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Research-funding intensity tracks citation gains, but with notable outliers.</w:t>
      </w:r>
    </w:p>
    <w:p>
      <w:pPr>
        <w:pStyle w:val="BlockAnchor"/>
        <w:keepNext/>
        <w:spacing w:after="40" w:before="200"/>
      </w:pPr>
      <w:r>
        <w:rPr>
          <w:rFonts w:ascii="Consolas" w:cs="Consolas" w:eastAsia="Consolas" w:hAnsi="Consolas"/>
          <w:b/>
          <w:bCs/>
          <w:color w:val="8A8A78"/>
          <w:sz w:val="16"/>
          <w:szCs w:val="16"/>
        </w:rPr>
        <w:t xml:space="preserve">[S-062]</w:t>
      </w:r>
      <w:r>
        <w:rPr>
          <w:rFonts w:ascii="Arial" w:cs="Arial" w:eastAsia="Arial" w:hAnsi="Arial"/>
          <w:color w:val="8A8A78"/>
          <w:sz w:val="16"/>
          <w:szCs w:val="16"/>
        </w:rPr>
        <w:t xml:space="preserve">  Exhibit › sub</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Country-level R&amp;D expenditure as % of GDP (latest year) vs decade change in mean citation score; bubble size = number of Top-500 universities in 2026.</w:t>
      </w:r>
    </w:p>
    <w:p>
      <w:pPr>
        <w:pStyle w:val="BlockAnchor"/>
        <w:keepNext/>
        <w:spacing w:after="40" w:before="200"/>
      </w:pPr>
      <w:r>
        <w:rPr>
          <w:rFonts w:ascii="Consolas" w:cs="Consolas" w:eastAsia="Consolas" w:hAnsi="Consolas"/>
          <w:b/>
          <w:bCs/>
          <w:color w:val="8A8A78"/>
          <w:sz w:val="16"/>
          <w:szCs w:val="16"/>
        </w:rPr>
        <w:t xml:space="preserve">[S-063]</w:t>
      </w:r>
      <w:r>
        <w:rPr>
          <w:rFonts w:ascii="Arial" w:cs="Arial" w:eastAsia="Arial" w:hAnsi="Arial"/>
          <w:color w:val="8A8A78"/>
          <w:sz w:val="16"/>
          <w:szCs w:val="16"/>
        </w:rPr>
        <w:t xml:space="preserve">  Exhibit › source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 World Bank indicator GB.XPD.RSDV.GD.ZS (R&amp;D expenditure as % of GDP, latest available year per country); Times Higher Education World University Rankings 2016 to 2026; authors’ analysis.</w:t>
      </w:r>
    </w:p>
    <w:p>
      <w:pPr>
        <w:pStyle w:val="Heading2"/>
        <w:pBdr>
          <w:top w:val="single" w:color="3F4818" w:sz="6" w:space="8"/>
        </w:pBdr>
        <w:spacing w:after="160" w:before="400"/>
      </w:pPr>
      <w:r>
        <w:rPr>
          <w:rFonts w:ascii="Arial" w:cs="Arial" w:eastAsia="Arial" w:hAnsi="Arial"/>
          <w:b/>
          <w:bCs/>
          <w:color w:val="3F4818"/>
          <w:sz w:val="21"/>
          <w:szCs w:val="21"/>
        </w:rPr>
        <w:t xml:space="preserve">04 THE 2024 BREAK</w:t>
      </w:r>
    </w:p>
    <w:p>
      <w:pPr>
        <w:pStyle w:val="BlockAnchor"/>
        <w:keepNext/>
        <w:spacing w:after="40" w:before="200"/>
      </w:pPr>
      <w:r>
        <w:rPr>
          <w:rFonts w:ascii="Consolas" w:cs="Consolas" w:eastAsia="Consolas" w:hAnsi="Consolas"/>
          <w:b/>
          <w:bCs/>
          <w:color w:val="8A8A78"/>
          <w:sz w:val="16"/>
          <w:szCs w:val="16"/>
        </w:rPr>
        <w:t xml:space="preserve">[S-064]</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2024 break</w:t>
      </w:r>
    </w:p>
    <w:p>
      <w:pPr>
        <w:pStyle w:val="BlockAnchor"/>
        <w:keepNext/>
        <w:spacing w:after="40" w:before="200"/>
      </w:pPr>
      <w:r>
        <w:rPr>
          <w:rFonts w:ascii="Consolas" w:cs="Consolas" w:eastAsia="Consolas" w:hAnsi="Consolas"/>
          <w:b/>
          <w:bCs/>
          <w:color w:val="8A8A78"/>
          <w:sz w:val="16"/>
          <w:szCs w:val="16"/>
        </w:rPr>
        <w:t xml:space="preserve">[A-048]</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The most consequential year of the decade was a methodology year, not an institutional one.</w:t>
      </w:r>
    </w:p>
    <w:p>
      <w:pPr>
        <w:pStyle w:val="BlockAnchor"/>
        <w:keepNext/>
        <w:spacing w:after="40" w:before="200"/>
      </w:pPr>
      <w:r>
        <w:rPr>
          <w:rFonts w:ascii="Consolas" w:cs="Consolas" w:eastAsia="Consolas" w:hAnsi="Consolas"/>
          <w:b/>
          <w:bCs/>
          <w:color w:val="8A8A78"/>
          <w:sz w:val="16"/>
          <w:szCs w:val="16"/>
        </w:rPr>
        <w:t xml:space="preserve">[A-049]</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Both publishers shipped material methodology rewrites for the 2024 edition. The largest single-year movements of the decade are concentrated in the 2023 to 2024 transition and should be read methodology-first.</w:t>
      </w:r>
    </w:p>
    <w:p>
      <w:pPr>
        <w:pStyle w:val="BlockAnchor"/>
        <w:keepNext/>
        <w:spacing w:after="40" w:before="200"/>
      </w:pPr>
      <w:r>
        <w:rPr>
          <w:rFonts w:ascii="Consolas" w:cs="Consolas" w:eastAsia="Consolas" w:hAnsi="Consolas"/>
          <w:b/>
          <w:bCs/>
          <w:color w:val="8A8A78"/>
          <w:sz w:val="16"/>
          <w:szCs w:val="16"/>
        </w:rPr>
        <w:t xml:space="preserve">[S-065]</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THE: WUR 3.0</w:t>
      </w:r>
    </w:p>
    <w:p>
      <w:pPr>
        <w:pStyle w:val="BlockAnchor"/>
        <w:keepNext/>
        <w:spacing w:after="40" w:before="200"/>
      </w:pPr>
      <w:r>
        <w:rPr>
          <w:rFonts w:ascii="Consolas" w:cs="Consolas" w:eastAsia="Consolas" w:hAnsi="Consolas"/>
          <w:b/>
          <w:bCs/>
          <w:color w:val="8A8A78"/>
          <w:sz w:val="16"/>
          <w:szCs w:val="16"/>
        </w:rPr>
        <w:t xml:space="preserve">[A-050]</w:t>
      </w:r>
      <w:r>
        <w:rPr>
          <w:rFonts w:ascii="Arial" w:cs="Arial" w:eastAsia="Arial" w:hAnsi="Arial"/>
          <w:color w:val="8A8A78"/>
          <w:sz w:val="16"/>
          <w:szCs w:val="16"/>
        </w:rPr>
        <w:t xml:space="preserve">  StakeholderGrid › body</w:t>
      </w:r>
    </w:p>
    <w:p>
      <w:pPr>
        <w:pStyle w:val="EditableText"/>
        <w:spacing w:after="100" w:line="300"/>
        <w:ind w:left="120"/>
      </w:pPr>
      <w:r>
        <w:rPr>
          <w:rFonts w:ascii="Georgia" w:cs="Georgia" w:eastAsia="Georgia" w:hAnsi="Georgia"/>
          <w:color w:val="1A1A0A"/>
          <w:sz w:val="22"/>
          <w:szCs w:val="22"/>
        </w:rPr>
        <w:t xml:space="preserve">The Research pillar split in two: Research Environment (29%) and Research Quality (30%). The standalone Citations indicator that had defined THE since 2010 was dropped. Eighteen indicators in total, recalibrated. The structural effect: institutions whose previous high citation scores no longer translate cleanly into their successors. Asia-leaning citation density now flows partly through Research Quality and partly through Research Environment, with non-trivial reordering at the margin.</w:t>
      </w:r>
    </w:p>
    <w:p>
      <w:pPr>
        <w:pStyle w:val="BlockAnchor"/>
        <w:keepNext/>
        <w:spacing w:after="40" w:before="200"/>
      </w:pPr>
      <w:r>
        <w:rPr>
          <w:rFonts w:ascii="Consolas" w:cs="Consolas" w:eastAsia="Consolas" w:hAnsi="Consolas"/>
          <w:b/>
          <w:bCs/>
          <w:color w:val="8A8A78"/>
          <w:sz w:val="16"/>
          <w:szCs w:val="16"/>
        </w:rPr>
        <w:t xml:space="preserve">[S-066]</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QS: 2024 revision</w:t>
      </w:r>
    </w:p>
    <w:p>
      <w:pPr>
        <w:pStyle w:val="BlockAnchor"/>
        <w:keepNext/>
        <w:spacing w:after="40" w:before="200"/>
      </w:pPr>
      <w:r>
        <w:rPr>
          <w:rFonts w:ascii="Consolas" w:cs="Consolas" w:eastAsia="Consolas" w:hAnsi="Consolas"/>
          <w:b/>
          <w:bCs/>
          <w:color w:val="8A8A78"/>
          <w:sz w:val="16"/>
          <w:szCs w:val="16"/>
        </w:rPr>
        <w:t xml:space="preserve">[A-051]</w:t>
      </w:r>
      <w:r>
        <w:rPr>
          <w:rFonts w:ascii="Arial" w:cs="Arial" w:eastAsia="Arial" w:hAnsi="Arial"/>
          <w:color w:val="8A8A78"/>
          <w:sz w:val="16"/>
          <w:szCs w:val="16"/>
        </w:rPr>
        <w:t xml:space="preserve">  StakeholderGrid › body</w:t>
      </w:r>
    </w:p>
    <w:p>
      <w:pPr>
        <w:pStyle w:val="EditableText"/>
        <w:spacing w:after="100" w:line="300"/>
        <w:ind w:left="120"/>
      </w:pPr>
      <w:r>
        <w:rPr>
          <w:rFonts w:ascii="Georgia" w:cs="Georgia" w:eastAsia="Georgia" w:hAnsi="Georgia"/>
          <w:color w:val="1A1A0A"/>
          <w:sz w:val="22"/>
          <w:szCs w:val="22"/>
        </w:rPr>
        <w:t xml:space="preserve">Three new indicators introduced: Sustainability, Employment Outcomes, International Research Network, each weighted 5%. Employer Reputation lifted to 15%. The internationalisation overlay broadened. The structural effect: institutions with strong employer brands but weaker bibliometric profiles benefited; institutions that had ridden citations-per-faculty gains saw less translation into headline movement.</w:t>
      </w:r>
    </w:p>
    <w:p>
      <w:pPr>
        <w:pStyle w:val="BlockAnchor"/>
        <w:keepNext/>
        <w:spacing w:after="40" w:before="200"/>
      </w:pPr>
      <w:r>
        <w:rPr>
          <w:rFonts w:ascii="Consolas" w:cs="Consolas" w:eastAsia="Consolas" w:hAnsi="Consolas"/>
          <w:b/>
          <w:bCs/>
          <w:color w:val="8A8A78"/>
          <w:sz w:val="16"/>
          <w:szCs w:val="16"/>
        </w:rPr>
        <w:t xml:space="preserve">[A-052]</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For decision-makers, the implication is procedural. Year-on-year rank changes that straddle 2023 to 2024 in either system should not be read as institutional performance signals without a pillar-level decomposition. The publishers themselves flag this caveat. In our dataset, the 2023 to 2024 transition produces approximately &lt;strong&gt;three times the median annual rank movement&lt;/strong&gt; of any non-methodology-break year in either system, a magnitude that is not consistent with pure institutional change.</w:t>
      </w:r>
    </w:p>
    <w:p>
      <w:pPr>
        <w:pStyle w:val="BlockAnchor"/>
        <w:keepNext/>
        <w:spacing w:after="40" w:before="200"/>
      </w:pPr>
      <w:r>
        <w:rPr>
          <w:rFonts w:ascii="Consolas" w:cs="Consolas" w:eastAsia="Consolas" w:hAnsi="Consolas"/>
          <w:b/>
          <w:bCs/>
          <w:color w:val="8A8A78"/>
          <w:sz w:val="16"/>
          <w:szCs w:val="16"/>
        </w:rPr>
        <w:t xml:space="preserve">[S-067]</w:t>
      </w:r>
      <w:r>
        <w:rPr>
          <w:rFonts w:ascii="Arial" w:cs="Arial" w:eastAsia="Arial" w:hAnsi="Arial"/>
          <w:color w:val="8A8A78"/>
          <w:sz w:val="16"/>
          <w:szCs w:val="16"/>
        </w:rPr>
        <w:t xml:space="preserve">  PullQuote › cite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Analyst note</w:t>
      </w:r>
    </w:p>
    <w:p>
      <w:pPr>
        <w:pStyle w:val="BlockAnchor"/>
        <w:keepNext/>
        <w:spacing w:after="40" w:before="200"/>
      </w:pPr>
      <w:r>
        <w:rPr>
          <w:rFonts w:ascii="Consolas" w:cs="Consolas" w:eastAsia="Consolas" w:hAnsi="Consolas"/>
          <w:b/>
          <w:bCs/>
          <w:color w:val="8A8A78"/>
          <w:sz w:val="16"/>
          <w:szCs w:val="16"/>
        </w:rPr>
        <w:t xml:space="preserve">[A-053]</w:t>
      </w:r>
      <w:r>
        <w:rPr>
          <w:rFonts w:ascii="Arial" w:cs="Arial" w:eastAsia="Arial" w:hAnsi="Arial"/>
          <w:color w:val="8A8A78"/>
          <w:sz w:val="16"/>
          <w:szCs w:val="16"/>
        </w:rPr>
        <w:t xml:space="preserve">  &lt;PullQuote&gt;</w:t>
      </w:r>
    </w:p>
    <w:p>
      <w:pPr>
        <w:pStyle w:val="EditableText"/>
        <w:spacing w:after="100" w:line="300"/>
        <w:ind w:left="120"/>
      </w:pPr>
      <w:r>
        <w:rPr>
          <w:rFonts w:ascii="Georgia" w:cs="Georgia" w:eastAsia="Georgia" w:hAnsi="Georgia"/>
          <w:color w:val="1A1A0A"/>
          <w:sz w:val="22"/>
          <w:szCs w:val="22"/>
        </w:rPr>
        <w:t xml:space="preserve">Read 2023 to 2024 rank movement methodology-first. Read every other year-on-year movement second.</w:t>
      </w:r>
    </w:p>
    <w:p>
      <w:pPr>
        <w:pStyle w:val="Heading2"/>
        <w:pBdr>
          <w:top w:val="single" w:color="3F4818" w:sz="6" w:space="8"/>
        </w:pBdr>
        <w:spacing w:after="160" w:before="400"/>
      </w:pPr>
      <w:r>
        <w:rPr>
          <w:rFonts w:ascii="Arial" w:cs="Arial" w:eastAsia="Arial" w:hAnsi="Arial"/>
          <w:b/>
          <w:bCs/>
          <w:color w:val="3F4818"/>
          <w:sz w:val="21"/>
          <w:szCs w:val="21"/>
        </w:rPr>
        <w:t xml:space="preserve">05 PILLAR DECOMPOSITION</w:t>
      </w:r>
    </w:p>
    <w:p>
      <w:pPr>
        <w:pStyle w:val="BlockAnchor"/>
        <w:keepNext/>
        <w:spacing w:after="40" w:before="200"/>
      </w:pPr>
      <w:r>
        <w:rPr>
          <w:rFonts w:ascii="Consolas" w:cs="Consolas" w:eastAsia="Consolas" w:hAnsi="Consolas"/>
          <w:b/>
          <w:bCs/>
          <w:color w:val="8A8A78"/>
          <w:sz w:val="16"/>
          <w:szCs w:val="16"/>
        </w:rPr>
        <w:t xml:space="preserve">[A-054]</w:t>
      </w:r>
      <w:r>
        <w:rPr>
          <w:rFonts w:ascii="Arial" w:cs="Arial" w:eastAsia="Arial" w:hAnsi="Arial"/>
          <w:color w:val="8A8A78"/>
          <w:sz w:val="16"/>
          <w:szCs w:val="16"/>
        </w:rPr>
        <w:t xml:space="preserve">  SectionHeader › kicker</w:t>
      </w:r>
    </w:p>
    <w:p>
      <w:pPr>
        <w:pStyle w:val="EditableText"/>
        <w:spacing w:after="100" w:line="300"/>
        <w:ind w:left="120"/>
      </w:pPr>
      <w:r>
        <w:rPr>
          <w:rFonts w:ascii="Georgia" w:cs="Georgia" w:eastAsia="Georgia" w:hAnsi="Georgia"/>
          <w:color w:val="1A1A0A"/>
          <w:sz w:val="20"/>
          <w:szCs w:val="20"/>
        </w:rPr>
        <w:t xml:space="preserve">Pillar decomposition</w:t>
      </w:r>
    </w:p>
    <w:p>
      <w:pPr>
        <w:pStyle w:val="BlockAnchor"/>
        <w:keepNext/>
        <w:spacing w:after="40" w:before="200"/>
      </w:pPr>
      <w:r>
        <w:rPr>
          <w:rFonts w:ascii="Consolas" w:cs="Consolas" w:eastAsia="Consolas" w:hAnsi="Consolas"/>
          <w:b/>
          <w:bCs/>
          <w:color w:val="8A8A78"/>
          <w:sz w:val="16"/>
          <w:szCs w:val="16"/>
        </w:rPr>
        <w:t xml:space="preserve">[S-068]</w:t>
      </w:r>
      <w:r>
        <w:rPr>
          <w:rFonts w:ascii="Arial" w:cs="Arial" w:eastAsia="Arial" w:hAnsi="Arial"/>
          <w:color w:val="8A8A78"/>
          <w:sz w:val="16"/>
          <w:szCs w:val="16"/>
        </w:rPr>
        <w:t xml:space="preserve">  SectionHeader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Citations are doing most of the work. Teaching is doing almost none.</w:t>
      </w:r>
    </w:p>
    <w:p>
      <w:pPr>
        <w:pStyle w:val="BlockAnchor"/>
        <w:keepNext/>
        <w:spacing w:after="40" w:before="200"/>
      </w:pPr>
      <w:r>
        <w:rPr>
          <w:rFonts w:ascii="Consolas" w:cs="Consolas" w:eastAsia="Consolas" w:hAnsi="Consolas"/>
          <w:b/>
          <w:bCs/>
          <w:color w:val="8A8A78"/>
          <w:sz w:val="16"/>
          <w:szCs w:val="16"/>
        </w:rPr>
        <w:t xml:space="preserve">[A-055]</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Read rank changes through the underlying indicators rather than through the headline number. The Citations / Research-Quality pillar is where regions are diverging most sharply across the decade. The International Outlook pillar took a larger COVID-era hit than is widely appreciated and has been slow to recover.</w:t>
      </w:r>
    </w:p>
    <w:p>
      <w:pPr>
        <w:pStyle w:val="BlockAnchor"/>
        <w:keepNext/>
        <w:spacing w:after="40" w:before="200"/>
      </w:pPr>
      <w:r>
        <w:rPr>
          <w:rFonts w:ascii="Consolas" w:cs="Consolas" w:eastAsia="Consolas" w:hAnsi="Consolas"/>
          <w:b/>
          <w:bCs/>
          <w:color w:val="8A8A78"/>
          <w:sz w:val="16"/>
          <w:szCs w:val="16"/>
        </w:rPr>
        <w:t xml:space="preserve">[A-056]</w:t>
      </w:r>
      <w:r>
        <w:rPr>
          <w:rFonts w:ascii="Arial" w:cs="Arial" w:eastAsia="Arial" w:hAnsi="Arial"/>
          <w:color w:val="8A8A78"/>
          <w:sz w:val="16"/>
          <w:szCs w:val="16"/>
        </w:rPr>
        <w:t xml:space="preserve">  Exhibit › title</w:t>
      </w:r>
    </w:p>
    <w:p>
      <w:pPr>
        <w:pStyle w:val="EditableText"/>
        <w:spacing w:after="100" w:line="300"/>
        <w:ind w:left="120"/>
      </w:pPr>
      <w:r>
        <w:rPr>
          <w:rFonts w:ascii="Georgia" w:cs="Georgia" w:eastAsia="Georgia" w:hAnsi="Georgia"/>
          <w:color w:val="1A1A0A"/>
          <w:sz w:val="22"/>
          <w:szCs w:val="22"/>
        </w:rPr>
        <w:t xml:space="preserve">Where the convergence is, and isn't: change in median pillar score by region.</w:t>
      </w:r>
    </w:p>
    <w:p>
      <w:pPr>
        <w:pStyle w:val="BlockAnchor"/>
        <w:keepNext/>
        <w:spacing w:after="40" w:before="200"/>
      </w:pPr>
      <w:r>
        <w:rPr>
          <w:rFonts w:ascii="Consolas" w:cs="Consolas" w:eastAsia="Consolas" w:hAnsi="Consolas"/>
          <w:b/>
          <w:bCs/>
          <w:color w:val="8A8A78"/>
          <w:sz w:val="16"/>
          <w:szCs w:val="16"/>
        </w:rPr>
        <w:t xml:space="preserve">[A-057]</w:t>
      </w:r>
      <w:r>
        <w:rPr>
          <w:rFonts w:ascii="Arial" w:cs="Arial" w:eastAsia="Arial" w:hAnsi="Arial"/>
          <w:color w:val="8A8A78"/>
          <w:sz w:val="16"/>
          <w:szCs w:val="16"/>
        </w:rPr>
        <w:t xml:space="preserve">  Exhibit › sub</w:t>
      </w:r>
    </w:p>
    <w:p>
      <w:pPr>
        <w:pStyle w:val="EditableText"/>
        <w:spacing w:after="100" w:line="300"/>
        <w:ind w:left="120"/>
      </w:pPr>
      <w:r>
        <w:rPr>
          <w:rFonts w:ascii="Georgia" w:cs="Georgia" w:eastAsia="Georgia" w:hAnsi="Georgia"/>
          <w:color w:val="1A1A0A"/>
          <w:sz w:val="22"/>
          <w:szCs w:val="22"/>
        </w:rPr>
        <w:t xml:space="preserve">Δ median THE pillar score, 2016 to 2026, Top 500 institutions. Higher = stronger pillar gain.</w:t>
      </w:r>
    </w:p>
    <w:p>
      <w:pPr>
        <w:pStyle w:val="BlockAnchor"/>
        <w:keepNext/>
        <w:spacing w:after="40" w:before="200"/>
      </w:pPr>
      <w:r>
        <w:rPr>
          <w:rFonts w:ascii="Consolas" w:cs="Consolas" w:eastAsia="Consolas" w:hAnsi="Consolas"/>
          <w:b/>
          <w:bCs/>
          <w:color w:val="8A8A78"/>
          <w:sz w:val="16"/>
          <w:szCs w:val="16"/>
        </w:rPr>
        <w:t xml:space="preserve">[A-058]</w:t>
      </w:r>
      <w:r>
        <w:rPr>
          <w:rFonts w:ascii="Arial" w:cs="Arial" w:eastAsia="Arial" w:hAnsi="Arial"/>
          <w:color w:val="8A8A78"/>
          <w:sz w:val="16"/>
          <w:szCs w:val="16"/>
        </w:rPr>
        <w:t xml:space="preserve">  Exhibit › source</w:t>
      </w:r>
    </w:p>
    <w:p>
      <w:pPr>
        <w:pStyle w:val="EditableText"/>
        <w:spacing w:after="100" w:line="300"/>
        <w:ind w:left="120"/>
      </w:pPr>
      <w:r>
        <w:rPr>
          <w:rFonts w:ascii="Georgia" w:cs="Georgia" w:eastAsia="Georgia" w:hAnsi="Georgia"/>
          <w:color w:val="1A1A0A"/>
          <w:sz w:val="22"/>
          <w:szCs w:val="22"/>
        </w:rPr>
        <w:t xml:space="preserve">Source: Times Higher Education World University Rankings, annual editions 2016 to 2026; authors’ analysis. 2024 onwards Research uses Research Quality (post WUR 3.0); the comparison is conceptual, normalised across the methodology break.</w:t>
      </w:r>
    </w:p>
    <w:p>
      <w:pPr>
        <w:pStyle w:val="BlockAnchor"/>
        <w:keepNext/>
        <w:spacing w:after="40" w:before="200"/>
      </w:pPr>
      <w:r>
        <w:rPr>
          <w:rFonts w:ascii="Consolas" w:cs="Consolas" w:eastAsia="Consolas" w:hAnsi="Consolas"/>
          <w:b/>
          <w:bCs/>
          <w:color w:val="8A8A78"/>
          <w:sz w:val="16"/>
          <w:szCs w:val="16"/>
        </w:rPr>
        <w:t xml:space="preserve">[A-059]</w:t>
      </w:r>
      <w:r>
        <w:rPr>
          <w:rFonts w:ascii="Arial" w:cs="Arial" w:eastAsia="Arial" w:hAnsi="Arial"/>
          <w:color w:val="8A8A78"/>
          <w:sz w:val="16"/>
          <w:szCs w:val="16"/>
        </w:rPr>
        <w:t xml:space="preserve">  Heatmap › label</w:t>
      </w:r>
    </w:p>
    <w:p>
      <w:pPr>
        <w:pStyle w:val="EditableText"/>
        <w:spacing w:after="100" w:line="300"/>
        <w:ind w:left="120"/>
      </w:pPr>
      <w:r>
        <w:rPr>
          <w:rFonts w:ascii="Georgia" w:cs="Georgia" w:eastAsia="Georgia" w:hAnsi="Georgia"/>
          <w:color w:val="1A1A0A"/>
          <w:sz w:val="20"/>
          <w:szCs w:val="20"/>
        </w:rPr>
        <w:t xml:space="preserve">Δ pillar score</w:t>
      </w:r>
    </w:p>
    <w:p>
      <w:pPr>
        <w:pStyle w:val="BlockAnchor"/>
        <w:keepNext/>
        <w:spacing w:after="40" w:before="200"/>
      </w:pPr>
      <w:r>
        <w:rPr>
          <w:rFonts w:ascii="Consolas" w:cs="Consolas" w:eastAsia="Consolas" w:hAnsi="Consolas"/>
          <w:b/>
          <w:bCs/>
          <w:color w:val="8A8A78"/>
          <w:sz w:val="16"/>
          <w:szCs w:val="16"/>
        </w:rPr>
        <w:t xml:space="preserve">[A-060]</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&lt;strong&gt;Reading the heatmap.&lt;/strong&gt; The Citations / Research-Quality column is where regions diverge most: East Asia (+36) and MENA &amp; Gulf (+28) have moved most decisively, while North America has effectively stopped rising. Industry pillar gains are concentrated in Asia. Teaching is broadly flat across regions. International Outlook is the only column with widespread negative readings, the legacy of the 2020–2022 international-mobility shock.</w:t>
      </w:r>
    </w:p>
    <w:p>
      <w:pPr>
        <w:pStyle w:val="BlockAnchor"/>
        <w:keepNext/>
        <w:spacing w:after="40" w:before="200"/>
      </w:pPr>
      <w:r>
        <w:rPr>
          <w:rFonts w:ascii="Consolas" w:cs="Consolas" w:eastAsia="Consolas" w:hAnsi="Consolas"/>
          <w:b/>
          <w:bCs/>
          <w:color w:val="8A8A78"/>
          <w:sz w:val="16"/>
          <w:szCs w:val="16"/>
        </w:rPr>
        <w:t xml:space="preserve">[A-061]</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Citations / Research-Quality pillar is where regions diverge most sharply. East Asia's median score has risen visibly across the decade; North America's level remains highest in absolute terms but has effectively stopped rising. Industry-pillar gains are concentrated in Asia, reflecting the maturation of patent-density and industry-collaboration relationships in Korean, Chinese, and Singaporean institutions. Teaching is broadly flat across regions, a structural feature of an indicator that depends heavily on slow-moving reputation-survey inputs.</w:t>
      </w:r>
    </w:p>
    <w:p>
      <w:pPr>
        <w:pStyle w:val="BlockAnchor"/>
        <w:keepNext/>
        <w:spacing w:after="40" w:before="200"/>
      </w:pPr>
      <w:r>
        <w:rPr>
          <w:rFonts w:ascii="Consolas" w:cs="Consolas" w:eastAsia="Consolas" w:hAnsi="Consolas"/>
          <w:b/>
          <w:bCs/>
          <w:color w:val="8A8A78"/>
          <w:sz w:val="16"/>
          <w:szCs w:val="16"/>
        </w:rPr>
        <w:t xml:space="preserve">[A-062]</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International Outlook is the under-discussed pillar. Australia and Western Europe took the largest COVID-era hits as international-student volumes contracted; the recovery has been uneven and is not yet complete. The pillar deserves more attention than it currently receives in commentary.</w:t>
      </w:r>
    </w:p>
    <w:p>
      <w:pPr>
        <w:pStyle w:val="Heading2"/>
        <w:pBdr>
          <w:top w:val="single" w:color="3F4818" w:sz="6" w:space="8"/>
        </w:pBdr>
        <w:spacing w:after="160" w:before="400"/>
      </w:pPr>
      <w:r>
        <w:rPr>
          <w:rFonts w:ascii="Arial" w:cs="Arial" w:eastAsia="Arial" w:hAnsi="Arial"/>
          <w:b/>
          <w:bCs/>
          <w:color w:val="3F4818"/>
          <w:sz w:val="21"/>
          <w:szCs w:val="21"/>
        </w:rPr>
        <w:t xml:space="preserve">06 SPOTLIGHT · UNITED ARAB EMIRATES</w:t>
      </w:r>
    </w:p>
    <w:p>
      <w:pPr>
        <w:pStyle w:val="BlockAnchor"/>
        <w:keepNext/>
        <w:spacing w:after="40" w:before="200"/>
      </w:pPr>
      <w:r>
        <w:rPr>
          <w:rFonts w:ascii="Consolas" w:cs="Consolas" w:eastAsia="Consolas" w:hAnsi="Consolas"/>
          <w:b/>
          <w:bCs/>
          <w:color w:val="8A8A78"/>
          <w:sz w:val="16"/>
          <w:szCs w:val="16"/>
        </w:rPr>
        <w:t xml:space="preserve">[S-069]</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Spotlight · United Arab Emirates</w:t>
      </w:r>
    </w:p>
    <w:p>
      <w:pPr>
        <w:pStyle w:val="BlockAnchor"/>
        <w:keepNext/>
        <w:spacing w:after="40" w:before="200"/>
      </w:pPr>
      <w:r>
        <w:rPr>
          <w:rFonts w:ascii="Consolas" w:cs="Consolas" w:eastAsia="Consolas" w:hAnsi="Consolas"/>
          <w:b/>
          <w:bCs/>
          <w:color w:val="8A8A78"/>
          <w:sz w:val="16"/>
          <w:szCs w:val="16"/>
        </w:rPr>
        <w:t xml:space="preserve">[A-063]</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The Gulf is no longer the periphery of the global ranking story; it is part of it.</w:t>
      </w:r>
    </w:p>
    <w:p>
      <w:pPr>
        <w:pStyle w:val="BlockAnchor"/>
        <w:keepNext/>
        <w:spacing w:after="40" w:before="200"/>
      </w:pPr>
      <w:r>
        <w:rPr>
          <w:rFonts w:ascii="Consolas" w:cs="Consolas" w:eastAsia="Consolas" w:hAnsi="Consolas"/>
          <w:b/>
          <w:bCs/>
          <w:color w:val="8A8A78"/>
          <w:sz w:val="16"/>
          <w:szCs w:val="16"/>
        </w:rPr>
        <w:t xml:space="preserve">[A-064]</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UAE's Top-500 footprint has more than doubled across the decade in both ranking systems, and now matches or exceeds Saudi Arabia's in absolute count despite a smaller starting position. Khalifa University posted the strongest decade-long QS rise of any Gulf institution. The UAE story is a working test case for the patterns this report describes.</w:t>
      </w:r>
    </w:p>
    <w:p>
      <w:pPr>
        <w:pStyle w:val="BlockAnchor"/>
        <w:keepNext/>
        <w:spacing w:after="40" w:before="200"/>
      </w:pPr>
      <w:r>
        <w:rPr>
          <w:rFonts w:ascii="Consolas" w:cs="Consolas" w:eastAsia="Consolas" w:hAnsi="Consolas"/>
          <w:b/>
          <w:bCs/>
          <w:color w:val="8A8A78"/>
          <w:sz w:val="16"/>
          <w:szCs w:val="16"/>
        </w:rPr>
        <w:t xml:space="preserve">[S-070]</w:t>
      </w:r>
      <w:r>
        <w:rPr>
          <w:rFonts w:ascii="Arial" w:cs="Arial" w:eastAsia="Arial" w:hAnsi="Arial"/>
          <w:color w:val="8A8A78"/>
          <w:sz w:val="16"/>
          <w:szCs w:val="16"/>
        </w:rPr>
        <w:t xml:space="preserve">  UAEFootprint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Footprint, 2016 to 2026</w:t>
      </w:r>
    </w:p>
    <w:p>
      <w:pPr>
        <w:pStyle w:val="BlockAnchor"/>
        <w:keepNext/>
        <w:spacing w:after="40" w:before="200"/>
      </w:pPr>
      <w:r>
        <w:rPr>
          <w:rFonts w:ascii="Consolas" w:cs="Consolas" w:eastAsia="Consolas" w:hAnsi="Consolas"/>
          <w:b/>
          <w:bCs/>
          <w:color w:val="8A8A78"/>
          <w:sz w:val="16"/>
          <w:szCs w:val="16"/>
        </w:rPr>
        <w:t xml:space="preserve">[A-065]</w:t>
      </w:r>
      <w:r>
        <w:rPr>
          <w:rFonts w:ascii="Arial" w:cs="Arial" w:eastAsia="Arial" w:hAnsi="Arial"/>
          <w:color w:val="8A8A78"/>
          <w:sz w:val="16"/>
          <w:szCs w:val="16"/>
        </w:rPr>
        <w:t xml:space="preserve">  UAEFootprint › body</w:t>
      </w:r>
    </w:p>
    <w:p>
      <w:pPr>
        <w:pStyle w:val="EditableText"/>
        <w:spacing w:after="100" w:line="300"/>
        <w:ind w:left="120"/>
      </w:pPr>
      <w:r>
        <w:rPr>
          <w:rFonts w:ascii="Georgia" w:cs="Georgia" w:eastAsia="Georgia" w:hAnsi="Georgia"/>
          <w:color w:val="1A1A0A"/>
          <w:sz w:val="22"/>
          <w:szCs w:val="22"/>
        </w:rPr>
        <w:t xml:space="preserve">UAE in the THE Top 500 grew from no institutions in 2016 to seven in 2026 (+7, the fastest growth among GCC peers behind Saudi Arabia's +8). UAE in the QS Top 500 grew from three institutions in 2017 to six in 2026. The trajectory is faster in percentage terms than any named GCC peer.</w:t>
      </w:r>
    </w:p>
    <w:p>
      <w:pPr>
        <w:pStyle w:val="BlockAnchor"/>
        <w:keepNext/>
        <w:spacing w:after="40" w:before="200"/>
      </w:pPr>
      <w:r>
        <w:rPr>
          <w:rFonts w:ascii="Consolas" w:cs="Consolas" w:eastAsia="Consolas" w:hAnsi="Consolas"/>
          <w:b/>
          <w:bCs/>
          <w:color w:val="8A8A78"/>
          <w:sz w:val="16"/>
          <w:szCs w:val="16"/>
        </w:rPr>
        <w:t xml:space="preserve">[S-071]</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UAE in THE Top 500</w:t>
      </w:r>
    </w:p>
    <w:p>
      <w:pPr>
        <w:pStyle w:val="BlockAnchor"/>
        <w:keepNext/>
        <w:spacing w:after="40" w:before="200"/>
      </w:pPr>
      <w:r>
        <w:rPr>
          <w:rFonts w:ascii="Consolas" w:cs="Consolas" w:eastAsia="Consolas" w:hAnsi="Consolas"/>
          <w:b/>
          <w:bCs/>
          <w:color w:val="8A8A78"/>
          <w:sz w:val="16"/>
          <w:szCs w:val="16"/>
        </w:rPr>
        <w:t xml:space="preserve">[S-072]</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UAE in QS Top 500</w:t>
      </w:r>
    </w:p>
    <w:p>
      <w:pPr>
        <w:pStyle w:val="BlockAnchor"/>
        <w:keepNext/>
        <w:spacing w:after="40" w:before="200"/>
      </w:pPr>
      <w:r>
        <w:rPr>
          <w:rFonts w:ascii="Consolas" w:cs="Consolas" w:eastAsia="Consolas" w:hAnsi="Consolas"/>
          <w:b/>
          <w:bCs/>
          <w:color w:val="8A8A78"/>
          <w:sz w:val="16"/>
          <w:szCs w:val="16"/>
        </w:rPr>
        <w:t xml:space="preserve">[S-073]</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Saudi Arabia, THE (peer)</w:t>
      </w:r>
    </w:p>
    <w:p>
      <w:pPr>
        <w:pStyle w:val="BlockAnchor"/>
        <w:keepNext/>
        <w:spacing w:after="40" w:before="200"/>
      </w:pPr>
      <w:r>
        <w:rPr>
          <w:rFonts w:ascii="Consolas" w:cs="Consolas" w:eastAsia="Consolas" w:hAnsi="Consolas"/>
          <w:b/>
          <w:bCs/>
          <w:color w:val="8A8A78"/>
          <w:sz w:val="16"/>
          <w:szCs w:val="16"/>
        </w:rPr>
        <w:t xml:space="preserve">[S-074]</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Qatar, THE (peer)</w:t>
      </w:r>
    </w:p>
    <w:p>
      <w:pPr>
        <w:pStyle w:val="BlockAnchor"/>
        <w:keepNext/>
        <w:spacing w:after="40" w:before="200"/>
      </w:pPr>
      <w:r>
        <w:rPr>
          <w:rFonts w:ascii="Consolas" w:cs="Consolas" w:eastAsia="Consolas" w:hAnsi="Consolas"/>
          <w:b/>
          <w:bCs/>
          <w:color w:val="8A8A78"/>
          <w:sz w:val="16"/>
          <w:szCs w:val="16"/>
        </w:rPr>
        <w:t xml:space="preserve">[S-075]</w:t>
      </w:r>
      <w:r>
        <w:rPr>
          <w:rFonts w:ascii="Arial" w:cs="Arial" w:eastAsia="Arial" w:hAnsi="Arial"/>
          <w:color w:val="8A8A78"/>
          <w:sz w:val="16"/>
          <w:szCs w:val="16"/>
        </w:rPr>
        <w:t xml:space="preserve">  UAEFootprint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UAE institutions in QS 2026 Top 500</w:t>
      </w:r>
    </w:p>
    <w:p>
      <w:pPr>
        <w:pStyle w:val="BlockAnchor"/>
        <w:keepNext/>
        <w:spacing w:after="40" w:before="200"/>
      </w:pPr>
      <w:r>
        <w:rPr>
          <w:rFonts w:ascii="Consolas" w:cs="Consolas" w:eastAsia="Consolas" w:hAnsi="Consolas"/>
          <w:b/>
          <w:bCs/>
          <w:color w:val="8A8A78"/>
          <w:sz w:val="16"/>
          <w:szCs w:val="16"/>
        </w:rPr>
        <w:t xml:space="preserve">[S-076]</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Khalifa University</w:t>
      </w:r>
    </w:p>
    <w:p>
      <w:pPr>
        <w:pStyle w:val="BlockAnchor"/>
        <w:keepNext/>
        <w:spacing w:after="40" w:before="200"/>
      </w:pPr>
      <w:r>
        <w:rPr>
          <w:rFonts w:ascii="Consolas" w:cs="Consolas" w:eastAsia="Consolas" w:hAnsi="Consolas"/>
          <w:b/>
          <w:bCs/>
          <w:color w:val="8A8A78"/>
          <w:sz w:val="16"/>
          <w:szCs w:val="16"/>
        </w:rPr>
        <w:t xml:space="preserve">[S-077]</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United Arab Emirates University</w:t>
      </w:r>
    </w:p>
    <w:p>
      <w:pPr>
        <w:pStyle w:val="BlockAnchor"/>
        <w:keepNext/>
        <w:spacing w:after="40" w:before="200"/>
      </w:pPr>
      <w:r>
        <w:rPr>
          <w:rFonts w:ascii="Consolas" w:cs="Consolas" w:eastAsia="Consolas" w:hAnsi="Consolas"/>
          <w:b/>
          <w:bCs/>
          <w:color w:val="8A8A78"/>
          <w:sz w:val="16"/>
          <w:szCs w:val="16"/>
        </w:rPr>
        <w:t xml:space="preserve">[S-078]</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American University of Sharjah</w:t>
      </w:r>
    </w:p>
    <w:p>
      <w:pPr>
        <w:pStyle w:val="BlockAnchor"/>
        <w:keepNext/>
        <w:spacing w:after="40" w:before="200"/>
      </w:pPr>
      <w:r>
        <w:rPr>
          <w:rFonts w:ascii="Consolas" w:cs="Consolas" w:eastAsia="Consolas" w:hAnsi="Consolas"/>
          <w:b/>
          <w:bCs/>
          <w:color w:val="8A8A78"/>
          <w:sz w:val="16"/>
          <w:szCs w:val="16"/>
        </w:rPr>
        <w:t xml:space="preserve">[S-079]</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University of Sharjah</w:t>
      </w:r>
    </w:p>
    <w:p>
      <w:pPr>
        <w:pStyle w:val="BlockAnchor"/>
        <w:keepNext/>
        <w:spacing w:after="40" w:before="200"/>
      </w:pPr>
      <w:r>
        <w:rPr>
          <w:rFonts w:ascii="Consolas" w:cs="Consolas" w:eastAsia="Consolas" w:hAnsi="Consolas"/>
          <w:b/>
          <w:bCs/>
          <w:color w:val="8A8A78"/>
          <w:sz w:val="16"/>
          <w:szCs w:val="16"/>
        </w:rPr>
        <w:t xml:space="preserve">[S-080]</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Abu Dhabi University</w:t>
      </w:r>
    </w:p>
    <w:p>
      <w:pPr>
        <w:pStyle w:val="BlockAnchor"/>
        <w:keepNext/>
        <w:spacing w:after="40" w:before="200"/>
      </w:pPr>
      <w:r>
        <w:rPr>
          <w:rFonts w:ascii="Consolas" w:cs="Consolas" w:eastAsia="Consolas" w:hAnsi="Consolas"/>
          <w:b/>
          <w:bCs/>
          <w:color w:val="8A8A78"/>
          <w:sz w:val="16"/>
          <w:szCs w:val="16"/>
        </w:rPr>
        <w:t xml:space="preserve">[S-081]</w:t>
      </w:r>
      <w:r>
        <w:rPr>
          <w:rFonts w:ascii="Arial" w:cs="Arial" w:eastAsia="Arial" w:hAnsi="Arial"/>
          <w:color w:val="8A8A78"/>
          <w:sz w:val="16"/>
          <w:szCs w:val="16"/>
        </w:rPr>
        <w:t xml:space="preserve">  UAEFootprint › name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Ajman University</w:t>
      </w:r>
    </w:p>
    <w:p>
      <w:pPr>
        <w:pStyle w:val="BlockAnchor"/>
        <w:keepNext/>
        <w:spacing w:after="40" w:before="200"/>
      </w:pPr>
      <w:r>
        <w:rPr>
          <w:rFonts w:ascii="Consolas" w:cs="Consolas" w:eastAsia="Consolas" w:hAnsi="Consolas"/>
          <w:b/>
          <w:bCs/>
          <w:color w:val="8A8A78"/>
          <w:sz w:val="16"/>
          <w:szCs w:val="16"/>
        </w:rPr>
        <w:t xml:space="preserve">[A-066]</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Khalifa University: the strongest decade-long QS riser in the Gulf.</w:t>
      </w:r>
    </w:p>
    <w:p>
      <w:pPr>
        <w:pStyle w:val="BlockAnchor"/>
        <w:keepNext/>
        <w:spacing w:after="40" w:before="200"/>
      </w:pPr>
      <w:r>
        <w:rPr>
          <w:rFonts w:ascii="Consolas" w:cs="Consolas" w:eastAsia="Consolas" w:hAnsi="Consolas"/>
          <w:b/>
          <w:bCs/>
          <w:color w:val="8A8A78"/>
          <w:sz w:val="16"/>
          <w:szCs w:val="16"/>
        </w:rPr>
        <w:t xml:space="preserve">[A-067]</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Khalifa University moved from QS 405 in 2017 to QS 177 in 2026, a 228-place gain over the decade and the largest single-institution QS improvement of any Gulf university in our dataset. The 2017 merger that consolidated the Petroleum Institute and the Masdar Institute into Khalifa explains the structural step-change in capacity. The pillar pattern shows the gain is research-driven, not reputation-led: Citations per Faculty and Citations / Research Quality moved more than the academic-reputation indicator over the same window.</w:t>
      </w:r>
    </w:p>
    <w:p>
      <w:pPr>
        <w:pStyle w:val="BlockAnchor"/>
        <w:keepNext/>
        <w:spacing w:after="40" w:before="200"/>
      </w:pPr>
      <w:r>
        <w:rPr>
          <w:rFonts w:ascii="Consolas" w:cs="Consolas" w:eastAsia="Consolas" w:hAnsi="Consolas"/>
          <w:b/>
          <w:bCs/>
          <w:color w:val="8A8A78"/>
          <w:sz w:val="16"/>
          <w:szCs w:val="16"/>
        </w:rPr>
        <w:t xml:space="preserve">[A-068]</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strategy mechanism is the most important part of the story. The UAE consolidated capability into a single research-intensive flagship and then funded it as a Vision 2071 priority asset. This is the Singapore playbook (NUS and NTU as twin flagships) at a one-flagship scale. It is a different model from Saudi Arabia's, which has spread investment more broadly across institutions, and a different model from Qatar's, where Top-500 footprint remains concentrated in Qatar University. Each model has different lag profiles. The Khalifa rise has been faster than the Saudi institutional climb because consolidation compounds on existing infrastructure; the Saudi cohort grew on a wider base.</w:t>
      </w:r>
    </w:p>
    <w:p>
      <w:pPr>
        <w:pStyle w:val="BlockAnchor"/>
        <w:keepNext/>
        <w:spacing w:after="40" w:before="200"/>
      </w:pPr>
      <w:r>
        <w:rPr>
          <w:rFonts w:ascii="Consolas" w:cs="Consolas" w:eastAsia="Consolas" w:hAnsi="Consolas"/>
          <w:b/>
          <w:bCs/>
          <w:color w:val="8A8A78"/>
          <w:sz w:val="16"/>
          <w:szCs w:val="16"/>
        </w:rPr>
        <w:t xml:space="preserve">[A-069]</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&lt;strong&gt;NYU Abu Dhabi note.&lt;/strong&gt; NYUAD is not separately ranked in either Top 500. NYU's parent ranks (QS 55, THE 31 in 2026) reflect NYU as a single global institution. The strategic point: NYUAD inherits NYU's pillar profile, particularly its top-quartile International Research Network and International Outlook scores, the precise indicators that purely-domestic UAE institutions cannot replicate without decades of network-building. International branch campuses are best evaluated on the indicators they uniquely strengthen, not on standalone Top-500 rank.</w:t>
      </w:r>
    </w:p>
    <w:p>
      <w:pPr>
        <w:pStyle w:val="BlockAnchor"/>
        <w:keepNext/>
        <w:spacing w:after="40" w:before="200"/>
      </w:pPr>
      <w:r>
        <w:rPr>
          <w:rFonts w:ascii="Consolas" w:cs="Consolas" w:eastAsia="Consolas" w:hAnsi="Consolas"/>
          <w:b/>
          <w:bCs/>
          <w:color w:val="8A8A78"/>
          <w:sz w:val="16"/>
          <w:szCs w:val="16"/>
        </w:rPr>
        <w:t xml:space="preserve">[S-082]</w:t>
      </w:r>
      <w:r>
        <w:rPr>
          <w:rFonts w:ascii="Arial" w:cs="Arial" w:eastAsia="Arial" w:hAnsi="Arial"/>
          <w:color w:val="8A8A78"/>
          <w:sz w:val="16"/>
          <w:szCs w:val="16"/>
        </w:rPr>
        <w:t xml:space="preserve">  PullQuote › cite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 THE World University Rankings, 2016 to 2026; authors’ analysis</w:t>
      </w:r>
    </w:p>
    <w:p>
      <w:pPr>
        <w:pStyle w:val="BlockAnchor"/>
        <w:keepNext/>
        <w:spacing w:after="40" w:before="200"/>
      </w:pPr>
      <w:r>
        <w:rPr>
          <w:rFonts w:ascii="Consolas" w:cs="Consolas" w:eastAsia="Consolas" w:hAnsi="Consolas"/>
          <w:b/>
          <w:bCs/>
          <w:color w:val="8A8A78"/>
          <w:sz w:val="16"/>
          <w:szCs w:val="16"/>
        </w:rPr>
        <w:t xml:space="preserve">[S-083]</w:t>
      </w:r>
      <w:r>
        <w:rPr>
          <w:rFonts w:ascii="Arial" w:cs="Arial" w:eastAsia="Arial" w:hAnsi="Arial"/>
          <w:color w:val="8A8A78"/>
          <w:sz w:val="16"/>
          <w:szCs w:val="16"/>
        </w:rPr>
        <w:t xml:space="preserve">  &lt;PullQuote&gt;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UAE's THE Top-500 footprint has grown faster than any named GCC peer over the decade.</w:t>
      </w:r>
    </w:p>
    <w:p>
      <w:pPr>
        <w:pStyle w:val="BlockAnchor"/>
        <w:keepNext/>
        <w:spacing w:after="40" w:before="200"/>
      </w:pPr>
      <w:r>
        <w:rPr>
          <w:rFonts w:ascii="Consolas" w:cs="Consolas" w:eastAsia="Consolas" w:hAnsi="Consolas"/>
          <w:b/>
          <w:bCs/>
          <w:color w:val="8A8A78"/>
          <w:sz w:val="16"/>
          <w:szCs w:val="16"/>
        </w:rPr>
        <w:t xml:space="preserve">[A-070]</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Key lessons from the decade's biggest movers.</w:t>
      </w:r>
    </w:p>
    <w:p>
      <w:pPr>
        <w:pStyle w:val="BlockAnchor"/>
        <w:keepNext/>
        <w:spacing w:after="40" w:before="200"/>
      </w:pPr>
      <w:r>
        <w:rPr>
          <w:rFonts w:ascii="Consolas" w:cs="Consolas" w:eastAsia="Consolas" w:hAnsi="Consolas"/>
          <w:b/>
          <w:bCs/>
          <w:color w:val="8A8A78"/>
          <w:sz w:val="16"/>
          <w:szCs w:val="16"/>
        </w:rPr>
        <w:t xml:space="preserve">[A-071]</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Six countries, six concrete lessons. Each row sets out what the decade's data shows and the strategic principle that follows.</w:t>
      </w:r>
    </w:p>
    <w:p>
      <w:pPr>
        <w:pStyle w:val="BlockAnchor"/>
        <w:keepNext/>
        <w:spacing w:after="40" w:before="200"/>
      </w:pPr>
      <w:r>
        <w:rPr>
          <w:rFonts w:ascii="Consolas" w:cs="Consolas" w:eastAsia="Consolas" w:hAnsi="Consolas"/>
          <w:b/>
          <w:bCs/>
          <w:color w:val="8A8A78"/>
          <w:sz w:val="16"/>
          <w:szCs w:val="16"/>
        </w:rPr>
        <w:t xml:space="preserve">[S-084]</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What the decade's data shows</w:t>
      </w:r>
    </w:p>
    <w:p>
      <w:pPr>
        <w:pStyle w:val="BlockAnchor"/>
        <w:keepNext/>
        <w:spacing w:after="40" w:before="200"/>
      </w:pPr>
      <w:r>
        <w:rPr>
          <w:rFonts w:ascii="Consolas" w:cs="Consolas" w:eastAsia="Consolas" w:hAnsi="Consolas"/>
          <w:b/>
          <w:bCs/>
          <w:color w:val="8A8A78"/>
          <w:sz w:val="16"/>
          <w:szCs w:val="16"/>
        </w:rPr>
        <w:t xml:space="preserve">[S-085]</w:t>
      </w:r>
      <w:r>
        <w:rPr>
          <w:rFonts w:ascii="Arial" w:cs="Arial" w:eastAsia="Arial" w:hAnsi="Arial"/>
          <w:color w:val="8A8A78"/>
          <w:sz w:val="16"/>
          <w:szCs w:val="16"/>
        </w:rPr>
        <w:t xml:space="preserve">  DataTable › label</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Key lesson</w:t>
      </w:r>
    </w:p>
    <w:p>
      <w:pPr>
        <w:pStyle w:val="BlockAnchor"/>
        <w:keepNext/>
        <w:spacing w:after="40" w:before="200"/>
      </w:pPr>
      <w:r>
        <w:rPr>
          <w:rFonts w:ascii="Consolas" w:cs="Consolas" w:eastAsia="Consolas" w:hAnsi="Consolas"/>
          <w:b/>
          <w:bCs/>
          <w:color w:val="8A8A78"/>
          <w:sz w:val="16"/>
          <w:szCs w:val="16"/>
        </w:rPr>
        <w:t xml:space="preserve">[S-086]</w:t>
      </w:r>
      <w:r>
        <w:rPr>
          <w:rFonts w:ascii="Arial" w:cs="Arial" w:eastAsia="Arial" w:hAnsi="Arial"/>
          <w:color w:val="8A8A78"/>
          <w:sz w:val="16"/>
          <w:szCs w:val="16"/>
        </w:rPr>
        <w:t xml:space="preserve">  &lt;h3&gt;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An action quartet for UAE leadership.</w:t>
      </w:r>
    </w:p>
    <w:p>
      <w:pPr>
        <w:pStyle w:val="BlockAnchor"/>
        <w:keepNext/>
        <w:spacing w:after="40" w:before="200"/>
      </w:pPr>
      <w:r>
        <w:rPr>
          <w:rFonts w:ascii="Consolas" w:cs="Consolas" w:eastAsia="Consolas" w:hAnsi="Consolas"/>
          <w:b/>
          <w:bCs/>
          <w:color w:val="8A8A78"/>
          <w:sz w:val="16"/>
          <w:szCs w:val="16"/>
        </w:rPr>
        <w:t xml:space="preserve">[A-072]</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lessons above translate into four parallel agendas, one for each principal actor in the UAE higher-education system.</w:t>
      </w:r>
    </w:p>
    <w:p>
      <w:pPr>
        <w:pStyle w:val="BlockAnchor"/>
        <w:keepNext/>
        <w:spacing w:after="40" w:before="200"/>
      </w:pPr>
      <w:r>
        <w:rPr>
          <w:rFonts w:ascii="Consolas" w:cs="Consolas" w:eastAsia="Consolas" w:hAnsi="Consolas"/>
          <w:b/>
          <w:bCs/>
          <w:color w:val="8A8A78"/>
          <w:sz w:val="16"/>
          <w:szCs w:val="16"/>
        </w:rPr>
        <w:t xml:space="preserve">[S-087]</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Government &amp; Ministry of Education</w:t>
      </w:r>
    </w:p>
    <w:p>
      <w:pPr>
        <w:pStyle w:val="BlockAnchor"/>
        <w:keepNext/>
        <w:spacing w:after="40" w:before="200"/>
      </w:pPr>
      <w:r>
        <w:rPr>
          <w:rFonts w:ascii="Consolas" w:cs="Consolas" w:eastAsia="Consolas" w:hAnsi="Consolas"/>
          <w:b/>
          <w:bCs/>
          <w:color w:val="8A8A78"/>
          <w:sz w:val="16"/>
          <w:szCs w:val="16"/>
        </w:rPr>
        <w:t xml:space="preserve">[A-073]</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Publish a numbered, time-bound 2030 target ("two universities in the global Top 100, eight in the Top 500 by 2030") and report against it annually.</w:t>
      </w:r>
    </w:p>
    <w:p>
      <w:pPr>
        <w:pStyle w:val="BlockAnchor"/>
        <w:keepNext/>
        <w:spacing w:after="40" w:before="200"/>
      </w:pPr>
      <w:r>
        <w:rPr>
          <w:rFonts w:ascii="Consolas" w:cs="Consolas" w:eastAsia="Consolas" w:hAnsi="Consolas"/>
          <w:b/>
          <w:bCs/>
          <w:color w:val="8A8A78"/>
          <w:sz w:val="16"/>
          <w:szCs w:val="16"/>
        </w:rPr>
        <w:t xml:space="preserve">[A-074]</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Fund disciplines on 10-year cycles, not three-year budgets; pick three or four fields where the UAE can credibly lead globally.</w:t>
      </w:r>
    </w:p>
    <w:p>
      <w:pPr>
        <w:pStyle w:val="BlockAnchor"/>
        <w:keepNext/>
        <w:spacing w:after="40" w:before="200"/>
      </w:pPr>
      <w:r>
        <w:rPr>
          <w:rFonts w:ascii="Consolas" w:cs="Consolas" w:eastAsia="Consolas" w:hAnsi="Consolas"/>
          <w:b/>
          <w:bCs/>
          <w:color w:val="8A8A78"/>
          <w:sz w:val="16"/>
          <w:szCs w:val="16"/>
        </w:rPr>
        <w:t xml:space="preserve">[A-075]</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Treat the Golden Visa as a citation-pillar instrument: international graduates retained in the local research base produce co-authored citations that compound over 5 to 10 years.</w:t>
      </w:r>
    </w:p>
    <w:p>
      <w:pPr>
        <w:pStyle w:val="BlockAnchor"/>
        <w:keepNext/>
        <w:spacing w:after="40" w:before="200"/>
      </w:pPr>
      <w:r>
        <w:rPr>
          <w:rFonts w:ascii="Consolas" w:cs="Consolas" w:eastAsia="Consolas" w:hAnsi="Consolas"/>
          <w:b/>
          <w:bCs/>
          <w:color w:val="8A8A78"/>
          <w:sz w:val="16"/>
          <w:szCs w:val="16"/>
        </w:rPr>
        <w:t xml:space="preserve">[A-076]</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Continue the dual-track of domestic flagships (Khalifa, UAEU) plus international branch campuses (NYUAD, Sorbonne Abu Dhabi, MBZUAI), evaluating each on the indicators it uniquely strengthens.</w:t>
      </w:r>
    </w:p>
    <w:p>
      <w:pPr>
        <w:pStyle w:val="BlockAnchor"/>
        <w:keepNext/>
        <w:spacing w:after="40" w:before="200"/>
      </w:pPr>
      <w:r>
        <w:rPr>
          <w:rFonts w:ascii="Consolas" w:cs="Consolas" w:eastAsia="Consolas" w:hAnsi="Consolas"/>
          <w:b/>
          <w:bCs/>
          <w:color w:val="8A8A78"/>
          <w:sz w:val="16"/>
          <w:szCs w:val="16"/>
        </w:rPr>
        <w:t xml:space="preserve">[S-088]</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University leaders</w:t>
      </w:r>
    </w:p>
    <w:p>
      <w:pPr>
        <w:pStyle w:val="BlockAnchor"/>
        <w:keepNext/>
        <w:spacing w:after="40" w:before="200"/>
      </w:pPr>
      <w:r>
        <w:rPr>
          <w:rFonts w:ascii="Consolas" w:cs="Consolas" w:eastAsia="Consolas" w:hAnsi="Consolas"/>
          <w:b/>
          <w:bCs/>
          <w:color w:val="8A8A78"/>
          <w:sz w:val="16"/>
          <w:szCs w:val="16"/>
        </w:rPr>
        <w:t xml:space="preserve">[A-077]</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Concentrate on three pillar levers with the most upside for the UAE cohort: International Research Network, Citations / Research Quality, and Industry.</w:t>
      </w:r>
    </w:p>
    <w:p>
      <w:pPr>
        <w:pStyle w:val="BlockAnchor"/>
        <w:keepNext/>
        <w:spacing w:after="40" w:before="200"/>
      </w:pPr>
      <w:r>
        <w:rPr>
          <w:rFonts w:ascii="Consolas" w:cs="Consolas" w:eastAsia="Consolas" w:hAnsi="Consolas"/>
          <w:b/>
          <w:bCs/>
          <w:color w:val="8A8A78"/>
          <w:sz w:val="16"/>
          <w:szCs w:val="16"/>
        </w:rPr>
        <w:t xml:space="preserve">[A-078]</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Take the 2024 methodology breaks seriously: pillar diagnostics now matter more than overall-rank optics.</w:t>
      </w:r>
    </w:p>
    <w:p>
      <w:pPr>
        <w:pStyle w:val="BlockAnchor"/>
        <w:keepNext/>
        <w:spacing w:after="40" w:before="200"/>
      </w:pPr>
      <w:r>
        <w:rPr>
          <w:rFonts w:ascii="Consolas" w:cs="Consolas" w:eastAsia="Consolas" w:hAnsi="Consolas"/>
          <w:b/>
          <w:bCs/>
          <w:color w:val="8A8A78"/>
          <w:sz w:val="16"/>
          <w:szCs w:val="16"/>
        </w:rPr>
        <w:t xml:space="preserve">[A-079]</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The volatility of the Top 200 to 500 band rewards focus on three or four pillars more than balanced effort across all of them.</w:t>
      </w:r>
    </w:p>
    <w:p>
      <w:pPr>
        <w:pStyle w:val="BlockAnchor"/>
        <w:keepNext/>
        <w:spacing w:after="40" w:before="200"/>
      </w:pPr>
      <w:r>
        <w:rPr>
          <w:rFonts w:ascii="Consolas" w:cs="Consolas" w:eastAsia="Consolas" w:hAnsi="Consolas"/>
          <w:b/>
          <w:bCs/>
          <w:color w:val="8A8A78"/>
          <w:sz w:val="16"/>
          <w:szCs w:val="16"/>
        </w:rPr>
        <w:t xml:space="preserve">[A-080]</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Build co-authorship density deliberately. It is the indicator most resistant to policy and methodology shocks, and the cheapest to scale.</w:t>
      </w:r>
    </w:p>
    <w:p>
      <w:pPr>
        <w:pStyle w:val="BlockAnchor"/>
        <w:keepNext/>
        <w:spacing w:after="40" w:before="200"/>
      </w:pPr>
      <w:r>
        <w:rPr>
          <w:rFonts w:ascii="Consolas" w:cs="Consolas" w:eastAsia="Consolas" w:hAnsi="Consolas"/>
          <w:b/>
          <w:bCs/>
          <w:color w:val="8A8A78"/>
          <w:sz w:val="16"/>
          <w:szCs w:val="16"/>
        </w:rPr>
        <w:t xml:space="preserve">[S-089]</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International branch campuses</w:t>
      </w:r>
    </w:p>
    <w:p>
      <w:pPr>
        <w:pStyle w:val="BlockAnchor"/>
        <w:keepNext/>
        <w:spacing w:after="40" w:before="200"/>
      </w:pPr>
      <w:r>
        <w:rPr>
          <w:rFonts w:ascii="Consolas" w:cs="Consolas" w:eastAsia="Consolas" w:hAnsi="Consolas"/>
          <w:b/>
          <w:bCs/>
          <w:color w:val="8A8A78"/>
          <w:sz w:val="16"/>
          <w:szCs w:val="16"/>
        </w:rPr>
        <w:t xml:space="preserve">[A-081]</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Use international branch campuses as international-pillar accelerators, not as standalone Top-500 entrants.</w:t>
      </w:r>
    </w:p>
    <w:p>
      <w:pPr>
        <w:pStyle w:val="BlockAnchor"/>
        <w:keepNext/>
        <w:spacing w:after="40" w:before="200"/>
      </w:pPr>
      <w:r>
        <w:rPr>
          <w:rFonts w:ascii="Consolas" w:cs="Consolas" w:eastAsia="Consolas" w:hAnsi="Consolas"/>
          <w:b/>
          <w:bCs/>
          <w:color w:val="8A8A78"/>
          <w:sz w:val="16"/>
          <w:szCs w:val="16"/>
        </w:rPr>
        <w:t xml:space="preserve">[A-082]</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NYU’s pillar profile (top-quartile International Research Network and International Outlook) is what NYUAD inherits and what NYUAD adds back to UAE national-system statistics.</w:t>
      </w:r>
    </w:p>
    <w:p>
      <w:pPr>
        <w:pStyle w:val="BlockAnchor"/>
        <w:keepNext/>
        <w:spacing w:after="40" w:before="200"/>
      </w:pPr>
      <w:r>
        <w:rPr>
          <w:rFonts w:ascii="Consolas" w:cs="Consolas" w:eastAsia="Consolas" w:hAnsi="Consolas"/>
          <w:b/>
          <w:bCs/>
          <w:color w:val="8A8A78"/>
          <w:sz w:val="16"/>
          <w:szCs w:val="16"/>
        </w:rPr>
        <w:t xml:space="preserve">[A-083]</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Branch campuses add national-level pillar value through co-authorship and visiting-faculty networks even when not separately ranked.</w:t>
      </w:r>
    </w:p>
    <w:p>
      <w:pPr>
        <w:pStyle w:val="BlockAnchor"/>
        <w:keepNext/>
        <w:spacing w:after="40" w:before="200"/>
      </w:pPr>
      <w:r>
        <w:rPr>
          <w:rFonts w:ascii="Consolas" w:cs="Consolas" w:eastAsia="Consolas" w:hAnsi="Consolas"/>
          <w:b/>
          <w:bCs/>
          <w:color w:val="8A8A78"/>
          <w:sz w:val="16"/>
          <w:szCs w:val="16"/>
        </w:rPr>
        <w:t xml:space="preserve">[A-084]</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Evaluate each branch campus on the indicators it uniquely strengthens, not on indicators that purely-domestic institutions also produce.</w:t>
      </w:r>
    </w:p>
    <w:p>
      <w:pPr>
        <w:pStyle w:val="BlockAnchor"/>
        <w:keepNext/>
        <w:spacing w:after="40" w:before="200"/>
      </w:pPr>
      <w:r>
        <w:rPr>
          <w:rFonts w:ascii="Consolas" w:cs="Consolas" w:eastAsia="Consolas" w:hAnsi="Consolas"/>
          <w:b/>
          <w:bCs/>
          <w:color w:val="8A8A78"/>
          <w:sz w:val="16"/>
          <w:szCs w:val="16"/>
        </w:rPr>
        <w:t xml:space="preserve">[S-090]</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Sovereign funders</w:t>
      </w:r>
    </w:p>
    <w:p>
      <w:pPr>
        <w:pStyle w:val="BlockAnchor"/>
        <w:keepNext/>
        <w:spacing w:after="40" w:before="200"/>
      </w:pPr>
      <w:r>
        <w:rPr>
          <w:rFonts w:ascii="Consolas" w:cs="Consolas" w:eastAsia="Consolas" w:hAnsi="Consolas"/>
          <w:b/>
          <w:bCs/>
          <w:color w:val="8A8A78"/>
          <w:sz w:val="16"/>
          <w:szCs w:val="16"/>
        </w:rPr>
        <w:t xml:space="preserve">[A-085]</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Fund pillars, not banners; rank movement is the lagging output, not the leading input.</w:t>
      </w:r>
    </w:p>
    <w:p>
      <w:pPr>
        <w:pStyle w:val="BlockAnchor"/>
        <w:keepNext/>
        <w:spacing w:after="40" w:before="200"/>
      </w:pPr>
      <w:r>
        <w:rPr>
          <w:rFonts w:ascii="Consolas" w:cs="Consolas" w:eastAsia="Consolas" w:hAnsi="Consolas"/>
          <w:b/>
          <w:bCs/>
          <w:color w:val="8A8A78"/>
          <w:sz w:val="16"/>
          <w:szCs w:val="16"/>
        </w:rPr>
        <w:t xml:space="preserve">[A-086]</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Distinguish greenfield models (KAUST, MBZUAI), which buy decades to compound, from acceleration models (Double First-Class, Khalifa post-merger), which compound on existing reputation in 5 to 7 years.</w:t>
      </w:r>
    </w:p>
    <w:p>
      <w:pPr>
        <w:pStyle w:val="BlockAnchor"/>
        <w:keepNext/>
        <w:spacing w:after="40" w:before="200"/>
      </w:pPr>
      <w:r>
        <w:rPr>
          <w:rFonts w:ascii="Consolas" w:cs="Consolas" w:eastAsia="Consolas" w:hAnsi="Consolas"/>
          <w:b/>
          <w:bCs/>
          <w:color w:val="8A8A78"/>
          <w:sz w:val="16"/>
          <w:szCs w:val="16"/>
        </w:rPr>
        <w:t xml:space="preserve">[A-087]</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Most rankings investment shows up 5 to 7 years after deployment. Hold for the cycle.</w:t>
      </w:r>
    </w:p>
    <w:p>
      <w:pPr>
        <w:pStyle w:val="BlockAnchor"/>
        <w:keepNext/>
        <w:spacing w:after="40" w:before="200"/>
      </w:pPr>
      <w:r>
        <w:rPr>
          <w:rFonts w:ascii="Consolas" w:cs="Consolas" w:eastAsia="Consolas" w:hAnsi="Consolas"/>
          <w:b/>
          <w:bCs/>
          <w:color w:val="8A8A78"/>
          <w:sz w:val="16"/>
          <w:szCs w:val="16"/>
        </w:rPr>
        <w:t xml:space="preserve">[A-088]</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Mid-cycle reorganisation resets the lag clock; political patience is the cheapest input and the rarest.</w:t>
      </w:r>
    </w:p>
    <w:p>
      <w:pPr>
        <w:pStyle w:val="Heading2"/>
        <w:pBdr>
          <w:top w:val="single" w:color="3F4818" w:sz="6" w:space="8"/>
        </w:pBdr>
        <w:spacing w:after="160" w:before="400"/>
      </w:pPr>
      <w:r>
        <w:rPr>
          <w:rFonts w:ascii="Arial" w:cs="Arial" w:eastAsia="Arial" w:hAnsi="Arial"/>
          <w:b/>
          <w:bCs/>
          <w:color w:val="3F4818"/>
          <w:sz w:val="21"/>
          <w:szCs w:val="21"/>
        </w:rPr>
        <w:t xml:space="preserve">07 MOVERS AND SHAKERS</w:t>
      </w:r>
    </w:p>
    <w:p>
      <w:pPr>
        <w:pStyle w:val="BlockAnchor"/>
        <w:keepNext/>
        <w:spacing w:after="40" w:before="200"/>
      </w:pPr>
      <w:r>
        <w:rPr>
          <w:rFonts w:ascii="Consolas" w:cs="Consolas" w:eastAsia="Consolas" w:hAnsi="Consolas"/>
          <w:b/>
          <w:bCs/>
          <w:color w:val="8A8A78"/>
          <w:sz w:val="16"/>
          <w:szCs w:val="16"/>
        </w:rPr>
        <w:t xml:space="preserve">[S-091]</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Movers and shakers</w:t>
      </w:r>
    </w:p>
    <w:p>
      <w:pPr>
        <w:pStyle w:val="BlockAnchor"/>
        <w:keepNext/>
        <w:spacing w:after="40" w:before="200"/>
      </w:pPr>
      <w:r>
        <w:rPr>
          <w:rFonts w:ascii="Consolas" w:cs="Consolas" w:eastAsia="Consolas" w:hAnsi="Consolas"/>
          <w:b/>
          <w:bCs/>
          <w:color w:val="8A8A78"/>
          <w:sz w:val="16"/>
          <w:szCs w:val="16"/>
        </w:rPr>
        <w:t xml:space="preserve">[A-089]</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Below the regional aggregates, individual institutions tell sharper stories.</w:t>
      </w:r>
    </w:p>
    <w:p>
      <w:pPr>
        <w:pStyle w:val="BlockAnchor"/>
        <w:keepNext/>
        <w:spacing w:after="40" w:before="200"/>
      </w:pPr>
      <w:r>
        <w:rPr>
          <w:rFonts w:ascii="Consolas" w:cs="Consolas" w:eastAsia="Consolas" w:hAnsi="Consolas"/>
          <w:b/>
          <w:bCs/>
          <w:color w:val="8A8A78"/>
          <w:sz w:val="16"/>
          <w:szCs w:val="16"/>
        </w:rPr>
        <w:t xml:space="preserve">[A-090]</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biggest decade-long risers cluster in Greater China, Korea, and Northern Europe. The biggest decliners cluster in older European and US public universities. The narrative is not "Asia rose"; it is "specific Asian institutions in specific national funding programmes rose."</w:t>
      </w:r>
    </w:p>
    <w:p>
      <w:pPr>
        <w:pStyle w:val="BlockAnchor"/>
        <w:keepNext/>
        <w:spacing w:after="40" w:before="200"/>
      </w:pPr>
      <w:r>
        <w:rPr>
          <w:rFonts w:ascii="Consolas" w:cs="Consolas" w:eastAsia="Consolas" w:hAnsi="Consolas"/>
          <w:b/>
          <w:bCs/>
          <w:color w:val="8A8A78"/>
          <w:sz w:val="16"/>
          <w:szCs w:val="16"/>
        </w:rPr>
        <w:t xml:space="preserve">[S-092]</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2016 elite tracked through 2026.</w:t>
      </w:r>
    </w:p>
    <w:p>
      <w:pPr>
        <w:pStyle w:val="BlockAnchor"/>
        <w:keepNext/>
        <w:spacing w:after="40" w:before="200"/>
      </w:pPr>
      <w:r>
        <w:rPr>
          <w:rFonts w:ascii="Consolas" w:cs="Consolas" w:eastAsia="Consolas" w:hAnsi="Consolas"/>
          <w:b/>
          <w:bCs/>
          <w:color w:val="8A8A78"/>
          <w:sz w:val="16"/>
          <w:szCs w:val="16"/>
        </w:rPr>
        <w:t xml:space="preserve">[A-091]</w:t>
      </w:r>
      <w:r>
        <w:rPr>
          <w:rFonts w:ascii="Arial" w:cs="Arial" w:eastAsia="Arial" w:hAnsi="Arial"/>
          <w:color w:val="8A8A78"/>
          <w:sz w:val="16"/>
          <w:szCs w:val="16"/>
        </w:rPr>
        <w:t xml:space="preserve">  Exhibit › sub</w:t>
      </w:r>
    </w:p>
    <w:p>
      <w:pPr>
        <w:pStyle w:val="EditableText"/>
        <w:spacing w:after="100" w:line="300"/>
        <w:ind w:left="120"/>
      </w:pPr>
      <w:r>
        <w:rPr>
          <w:rFonts w:ascii="Georgia" w:cs="Georgia" w:eastAsia="Georgia" w:hAnsi="Georgia"/>
          <w:color w:val="1A1A0A"/>
          <w:sz w:val="22"/>
          <w:szCs w:val="22"/>
        </w:rPr>
        <w:t xml:space="preserve">Click any line, end-label, or pick from the menu to highlight a trajectory; the others fade. The 2024 vertical hairline marks the WUR 3.0 methodology break.</w:t>
      </w:r>
    </w:p>
    <w:p>
      <w:pPr>
        <w:pStyle w:val="BlockAnchor"/>
        <w:keepNext/>
        <w:spacing w:after="40" w:before="200"/>
      </w:pPr>
      <w:r>
        <w:rPr>
          <w:rFonts w:ascii="Consolas" w:cs="Consolas" w:eastAsia="Consolas" w:hAnsi="Consolas"/>
          <w:b/>
          <w:bCs/>
          <w:color w:val="8A8A78"/>
          <w:sz w:val="16"/>
          <w:szCs w:val="16"/>
        </w:rPr>
        <w:t xml:space="preserve">[A-092]</w:t>
      </w:r>
      <w:r>
        <w:rPr>
          <w:rFonts w:ascii="Arial" w:cs="Arial" w:eastAsia="Arial" w:hAnsi="Arial"/>
          <w:color w:val="8A8A78"/>
          <w:sz w:val="16"/>
          <w:szCs w:val="16"/>
        </w:rPr>
        <w:t xml:space="preserve">  Exhibit › source</w:t>
      </w:r>
    </w:p>
    <w:p>
      <w:pPr>
        <w:pStyle w:val="EditableText"/>
        <w:spacing w:after="100" w:line="300"/>
        <w:ind w:left="120"/>
      </w:pPr>
      <w:r>
        <w:rPr>
          <w:rFonts w:ascii="Georgia" w:cs="Georgia" w:eastAsia="Georgia" w:hAnsi="Georgia"/>
          <w:color w:val="1A1A0A"/>
          <w:sz w:val="22"/>
          <w:szCs w:val="22"/>
        </w:rPr>
        <w:t xml:space="preserve">Source: THE World University Rankings, annual editions 2016 to 2026; authors’ analysis. Cohort = the THE Top 20 in 2016, tracked through every subsequent year.</w:t>
      </w:r>
    </w:p>
    <w:p>
      <w:pPr>
        <w:pStyle w:val="BlockAnchor"/>
        <w:keepNext/>
        <w:spacing w:after="40" w:before="200"/>
      </w:pPr>
      <w:r>
        <w:rPr>
          <w:rFonts w:ascii="Consolas" w:cs="Consolas" w:eastAsia="Consolas" w:hAnsi="Consolas"/>
          <w:b/>
          <w:bCs/>
          <w:color w:val="8A8A78"/>
          <w:sz w:val="16"/>
          <w:szCs w:val="16"/>
        </w:rPr>
        <w:t xml:space="preserve">[S-093]</w:t>
      </w:r>
      <w:r>
        <w:rPr>
          <w:rFonts w:ascii="Arial" w:cs="Arial" w:eastAsia="Arial" w:hAnsi="Arial"/>
          <w:color w:val="8A8A78"/>
          <w:sz w:val="16"/>
          <w:szCs w:val="16"/>
        </w:rPr>
        <w:t xml:space="preserve">  Exhibit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THE: top 15 risers across the decade.</w:t>
      </w:r>
    </w:p>
    <w:p>
      <w:pPr>
        <w:pStyle w:val="BlockAnchor"/>
        <w:keepNext/>
        <w:spacing w:after="40" w:before="200"/>
      </w:pPr>
      <w:r>
        <w:rPr>
          <w:rFonts w:ascii="Consolas" w:cs="Consolas" w:eastAsia="Consolas" w:hAnsi="Consolas"/>
          <w:b/>
          <w:bCs/>
          <w:color w:val="8A8A78"/>
          <w:sz w:val="16"/>
          <w:szCs w:val="16"/>
        </w:rPr>
        <w:t xml:space="preserve">[S-094]</w:t>
      </w:r>
      <w:r>
        <w:rPr>
          <w:rFonts w:ascii="Arial" w:cs="Arial" w:eastAsia="Arial" w:hAnsi="Arial"/>
          <w:color w:val="8A8A78"/>
          <w:sz w:val="16"/>
          <w:szCs w:val="16"/>
        </w:rPr>
        <w:t xml:space="preserve">  Exhibit › sub</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First-appearance rank to most-recent rank. Institutions present at least 4 years; sorted by magnitude.</w:t>
      </w:r>
    </w:p>
    <w:p>
      <w:pPr>
        <w:pStyle w:val="BlockAnchor"/>
        <w:keepNext/>
        <w:spacing w:after="40" w:before="200"/>
      </w:pPr>
      <w:r>
        <w:rPr>
          <w:rFonts w:ascii="Consolas" w:cs="Consolas" w:eastAsia="Consolas" w:hAnsi="Consolas"/>
          <w:b/>
          <w:bCs/>
          <w:color w:val="8A8A78"/>
          <w:sz w:val="16"/>
          <w:szCs w:val="16"/>
        </w:rPr>
        <w:t xml:space="preserve">[S-095]</w:t>
      </w:r>
      <w:r>
        <w:rPr>
          <w:rFonts w:ascii="Arial" w:cs="Arial" w:eastAsia="Arial" w:hAnsi="Arial"/>
          <w:color w:val="8A8A78"/>
          <w:sz w:val="16"/>
          <w:szCs w:val="16"/>
        </w:rPr>
        <w:t xml:space="preserve">  Exhibit › source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 THE World University Rankings, annual editions 2016 to 2026; authors’ analysis. Integer-ranked endpoints only.</w:t>
      </w:r>
    </w:p>
    <w:p>
      <w:pPr>
        <w:pStyle w:val="BlockAnchor"/>
        <w:keepNext/>
        <w:spacing w:after="40" w:before="200"/>
      </w:pPr>
      <w:r>
        <w:rPr>
          <w:rFonts w:ascii="Consolas" w:cs="Consolas" w:eastAsia="Consolas" w:hAnsi="Consolas"/>
          <w:b/>
          <w:bCs/>
          <w:color w:val="8A8A78"/>
          <w:sz w:val="16"/>
          <w:szCs w:val="16"/>
        </w:rPr>
        <w:t xml:space="preserve">[A-093]</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The list reads as a policy document. Six of the top ten risers are funded under China's Double First-Class Construction initiative; the next three benefit from sustained Korean and German federal research-funding programmes (Brain Korea 21, Excellence Strategy). Two are Hong Kong institutions whose performance compounds independently of mainland funding cycles. The pattern is consistent: &lt;strong&gt;structural rises track structural funding programmes, with a 5-to-7 year lag.&lt;/strong&gt;</w:t>
      </w:r>
    </w:p>
    <w:p>
      <w:pPr>
        <w:pStyle w:val="BlockAnchor"/>
        <w:keepNext/>
        <w:spacing w:after="40" w:before="200"/>
      </w:pPr>
      <w:r>
        <w:rPr>
          <w:rFonts w:ascii="Consolas" w:cs="Consolas" w:eastAsia="Consolas" w:hAnsi="Consolas"/>
          <w:b/>
          <w:bCs/>
          <w:color w:val="8A8A78"/>
          <w:sz w:val="16"/>
          <w:szCs w:val="16"/>
        </w:rPr>
        <w:t xml:space="preserve">[A-094]</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decliners' list is the inverse pattern, with one notable addition: institutions that previously benefited from EU Horizon programme participation lost ground in years they were excluded. UK universities exited Horizon Europe between 2021 and 2024; their formal re-association in January 2024 is too recent to show in our citation data.</w:t>
      </w:r>
    </w:p>
    <w:p>
      <w:pPr>
        <w:pStyle w:val="Heading2"/>
        <w:pBdr>
          <w:top w:val="single" w:color="3F4818" w:sz="6" w:space="8"/>
        </w:pBdr>
        <w:spacing w:after="160" w:before="400"/>
      </w:pPr>
      <w:r>
        <w:rPr>
          <w:rFonts w:ascii="Arial" w:cs="Arial" w:eastAsia="Arial" w:hAnsi="Arial"/>
          <w:b/>
          <w:bCs/>
          <w:color w:val="3F4818"/>
          <w:sz w:val="21"/>
          <w:szCs w:val="21"/>
        </w:rPr>
        <w:t xml:space="preserve">08 IMPLICATIONS</w:t>
      </w:r>
    </w:p>
    <w:p>
      <w:pPr>
        <w:pStyle w:val="BlockAnchor"/>
        <w:keepNext/>
        <w:spacing w:after="40" w:before="200"/>
      </w:pPr>
      <w:r>
        <w:rPr>
          <w:rFonts w:ascii="Consolas" w:cs="Consolas" w:eastAsia="Consolas" w:hAnsi="Consolas"/>
          <w:b/>
          <w:bCs/>
          <w:color w:val="8A8A78"/>
          <w:sz w:val="16"/>
          <w:szCs w:val="16"/>
        </w:rPr>
        <w:t xml:space="preserve">[S-096]</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Implications</w:t>
      </w:r>
    </w:p>
    <w:p>
      <w:pPr>
        <w:pStyle w:val="BlockAnchor"/>
        <w:keepNext/>
        <w:spacing w:after="40" w:before="200"/>
      </w:pPr>
      <w:r>
        <w:rPr>
          <w:rFonts w:ascii="Consolas" w:cs="Consolas" w:eastAsia="Consolas" w:hAnsi="Consolas"/>
          <w:b/>
          <w:bCs/>
          <w:color w:val="8A8A78"/>
          <w:sz w:val="16"/>
          <w:szCs w:val="16"/>
        </w:rPr>
        <w:t xml:space="preserve">[S-097]</w:t>
      </w:r>
      <w:r>
        <w:rPr>
          <w:rFonts w:ascii="Arial" w:cs="Arial" w:eastAsia="Arial" w:hAnsi="Arial"/>
          <w:color w:val="8A8A78"/>
          <w:sz w:val="16"/>
          <w:szCs w:val="16"/>
        </w:rPr>
        <w:t xml:space="preserve">  SectionHeader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A single set of findings, six agendas.</w:t>
      </w:r>
    </w:p>
    <w:p>
      <w:pPr>
        <w:pStyle w:val="BlockAnchor"/>
        <w:keepNext/>
        <w:spacing w:after="40" w:before="200"/>
      </w:pPr>
      <w:r>
        <w:rPr>
          <w:rFonts w:ascii="Consolas" w:cs="Consolas" w:eastAsia="Consolas" w:hAnsi="Consolas"/>
          <w:b/>
          <w:bCs/>
          <w:color w:val="8A8A78"/>
          <w:sz w:val="16"/>
          <w:szCs w:val="16"/>
        </w:rPr>
        <w:t xml:space="preserve">[A-095]</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same dataset reads differently depending on the chair you sit in. Below, what the decade should change for each major stakeholder in the higher-education system.</w:t>
      </w:r>
    </w:p>
    <w:p>
      <w:pPr>
        <w:pStyle w:val="BlockAnchor"/>
        <w:keepNext/>
        <w:spacing w:after="40" w:before="200"/>
      </w:pPr>
      <w:r>
        <w:rPr>
          <w:rFonts w:ascii="Consolas" w:cs="Consolas" w:eastAsia="Consolas" w:hAnsi="Consolas"/>
          <w:b/>
          <w:bCs/>
          <w:color w:val="8A8A78"/>
          <w:sz w:val="16"/>
          <w:szCs w:val="16"/>
        </w:rPr>
        <w:t xml:space="preserve">[S-098]</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Governments</w:t>
      </w:r>
    </w:p>
    <w:p>
      <w:pPr>
        <w:pStyle w:val="BlockAnchor"/>
        <w:keepNext/>
        <w:spacing w:after="40" w:before="200"/>
      </w:pPr>
      <w:r>
        <w:rPr>
          <w:rFonts w:ascii="Consolas" w:cs="Consolas" w:eastAsia="Consolas" w:hAnsi="Consolas"/>
          <w:b/>
          <w:bCs/>
          <w:color w:val="8A8A78"/>
          <w:sz w:val="16"/>
          <w:szCs w:val="16"/>
        </w:rPr>
        <w:t xml:space="preserve">[A-096]</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Articulate explicitly what you want from rankings before funding for them.</w:t>
      </w:r>
    </w:p>
    <w:p>
      <w:pPr>
        <w:pStyle w:val="BlockAnchor"/>
        <w:keepNext/>
        <w:spacing w:after="40" w:before="200"/>
      </w:pPr>
      <w:r>
        <w:rPr>
          <w:rFonts w:ascii="Consolas" w:cs="Consolas" w:eastAsia="Consolas" w:hAnsi="Consolas"/>
          <w:b/>
          <w:bCs/>
          <w:color w:val="8A8A78"/>
          <w:sz w:val="16"/>
          <w:szCs w:val="16"/>
        </w:rPr>
        <w:t xml:space="preserve">[A-097]</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Fund what they reward (research quality, internationalisation infrastructure, employment outcomes) without losing sight of what they don’t measure.</w:t>
      </w:r>
    </w:p>
    <w:p>
      <w:pPr>
        <w:pStyle w:val="BlockAnchor"/>
        <w:keepNext/>
        <w:spacing w:after="40" w:before="200"/>
      </w:pPr>
      <w:r>
        <w:rPr>
          <w:rFonts w:ascii="Consolas" w:cs="Consolas" w:eastAsia="Consolas" w:hAnsi="Consolas"/>
          <w:b/>
          <w:bCs/>
          <w:color w:val="8A8A78"/>
          <w:sz w:val="16"/>
          <w:szCs w:val="16"/>
        </w:rPr>
        <w:t xml:space="preserve">[A-098]</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Treat international-student visa policy as research-citation policy: the two are now empirically linked through co-authorship networks.</w:t>
      </w:r>
    </w:p>
    <w:p>
      <w:pPr>
        <w:pStyle w:val="BlockAnchor"/>
        <w:keepNext/>
        <w:spacing w:after="40" w:before="200"/>
      </w:pPr>
      <w:r>
        <w:rPr>
          <w:rFonts w:ascii="Consolas" w:cs="Consolas" w:eastAsia="Consolas" w:hAnsi="Consolas"/>
          <w:b/>
          <w:bCs/>
          <w:color w:val="8A8A78"/>
          <w:sz w:val="16"/>
          <w:szCs w:val="16"/>
        </w:rPr>
        <w:t xml:space="preserve">[A-099]</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Calibrate ambition to volatility: a Top-50 strategy and a Top-200 strategy are different regimes, not different intensities of the same regime.</w:t>
      </w:r>
    </w:p>
    <w:p>
      <w:pPr>
        <w:pStyle w:val="BlockAnchor"/>
        <w:keepNext/>
        <w:spacing w:after="40" w:before="200"/>
      </w:pPr>
      <w:r>
        <w:rPr>
          <w:rFonts w:ascii="Consolas" w:cs="Consolas" w:eastAsia="Consolas" w:hAnsi="Consolas"/>
          <w:b/>
          <w:bCs/>
          <w:color w:val="8A8A78"/>
          <w:sz w:val="16"/>
          <w:szCs w:val="16"/>
        </w:rPr>
        <w:t xml:space="preserve">[A-100]</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A Top-50 strategy must be structural: sustained research funding, international faculty, citation density.</w:t>
      </w:r>
    </w:p>
    <w:p>
      <w:pPr>
        <w:pStyle w:val="BlockAnchor"/>
        <w:keepNext/>
        <w:spacing w:after="40" w:before="200"/>
      </w:pPr>
      <w:r>
        <w:rPr>
          <w:rFonts w:ascii="Consolas" w:cs="Consolas" w:eastAsia="Consolas" w:hAnsi="Consolas"/>
          <w:b/>
          <w:bCs/>
          <w:color w:val="8A8A78"/>
          <w:sz w:val="16"/>
          <w:szCs w:val="16"/>
        </w:rPr>
        <w:t xml:space="preserve">[A-101]</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A Top-200 strategy needs indicator discipline; focus on three or four pillars beats balanced effort across all of them.</w:t>
      </w:r>
    </w:p>
    <w:p>
      <w:pPr>
        <w:pStyle w:val="BlockAnchor"/>
        <w:keepNext/>
        <w:spacing w:after="40" w:before="200"/>
      </w:pPr>
      <w:r>
        <w:rPr>
          <w:rFonts w:ascii="Consolas" w:cs="Consolas" w:eastAsia="Consolas" w:hAnsi="Consolas"/>
          <w:b/>
          <w:bCs/>
          <w:color w:val="8A8A78"/>
          <w:sz w:val="16"/>
          <w:szCs w:val="16"/>
        </w:rPr>
        <w:t xml:space="preserve">[A-102]</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After the 2024 methodology breaks, pillar-level diagnostics matter more than overall-rank optics.</w:t>
      </w:r>
    </w:p>
    <w:p>
      <w:pPr>
        <w:pStyle w:val="BlockAnchor"/>
        <w:keepNext/>
        <w:spacing w:after="40" w:before="200"/>
      </w:pPr>
      <w:r>
        <w:rPr>
          <w:rFonts w:ascii="Consolas" w:cs="Consolas" w:eastAsia="Consolas" w:hAnsi="Consolas"/>
          <w:b/>
          <w:bCs/>
          <w:color w:val="8A8A78"/>
          <w:sz w:val="16"/>
          <w:szCs w:val="16"/>
        </w:rPr>
        <w:t xml:space="preserve">[S-099]</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Sovereign &amp; philanthropic funders</w:t>
      </w:r>
    </w:p>
    <w:p>
      <w:pPr>
        <w:pStyle w:val="BlockAnchor"/>
        <w:keepNext/>
        <w:spacing w:after="40" w:before="200"/>
      </w:pPr>
      <w:r>
        <w:rPr>
          <w:rFonts w:ascii="Consolas" w:cs="Consolas" w:eastAsia="Consolas" w:hAnsi="Consolas"/>
          <w:b/>
          <w:bCs/>
          <w:color w:val="8A8A78"/>
          <w:sz w:val="16"/>
          <w:szCs w:val="16"/>
        </w:rPr>
        <w:t xml:space="preserve">[A-103]</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Distinguish greenfield models (KAUST, MBZUAI) from acceleration models (Double First-Class, Khalifa post-merger); their lag profiles differ.</w:t>
      </w:r>
    </w:p>
    <w:p>
      <w:pPr>
        <w:pStyle w:val="BlockAnchor"/>
        <w:keepNext/>
        <w:spacing w:after="40" w:before="200"/>
      </w:pPr>
      <w:r>
        <w:rPr>
          <w:rFonts w:ascii="Consolas" w:cs="Consolas" w:eastAsia="Consolas" w:hAnsi="Consolas"/>
          <w:b/>
          <w:bCs/>
          <w:color w:val="8A8A78"/>
          <w:sz w:val="16"/>
          <w:szCs w:val="16"/>
        </w:rPr>
        <w:t xml:space="preserve">[A-104]</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Greenfield investments take 15+ years to translate into Top 200 standing; acceleration investments compound on existing reputation in 5 to 7 years.</w:t>
      </w:r>
    </w:p>
    <w:p>
      <w:pPr>
        <w:pStyle w:val="BlockAnchor"/>
        <w:keepNext/>
        <w:spacing w:after="40" w:before="200"/>
      </w:pPr>
      <w:r>
        <w:rPr>
          <w:rFonts w:ascii="Consolas" w:cs="Consolas" w:eastAsia="Consolas" w:hAnsi="Consolas"/>
          <w:b/>
          <w:bCs/>
          <w:color w:val="8A8A78"/>
          <w:sz w:val="16"/>
          <w:szCs w:val="16"/>
        </w:rPr>
        <w:t xml:space="preserve">[A-105]</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Choose the timeline before you choose the model.</w:t>
      </w:r>
    </w:p>
    <w:p>
      <w:pPr>
        <w:pStyle w:val="BlockAnchor"/>
        <w:keepNext/>
        <w:spacing w:after="40" w:before="200"/>
      </w:pPr>
      <w:r>
        <w:rPr>
          <w:rFonts w:ascii="Consolas" w:cs="Consolas" w:eastAsia="Consolas" w:hAnsi="Consolas"/>
          <w:b/>
          <w:bCs/>
          <w:color w:val="8A8A78"/>
          <w:sz w:val="16"/>
          <w:szCs w:val="16"/>
        </w:rPr>
        <w:t xml:space="preserve">[S-100]</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Students &amp; families</w:t>
      </w:r>
    </w:p>
    <w:p>
      <w:pPr>
        <w:pStyle w:val="BlockAnchor"/>
        <w:keepNext/>
        <w:spacing w:after="40" w:before="200"/>
      </w:pPr>
      <w:r>
        <w:rPr>
          <w:rFonts w:ascii="Consolas" w:cs="Consolas" w:eastAsia="Consolas" w:hAnsi="Consolas"/>
          <w:b/>
          <w:bCs/>
          <w:color w:val="8A8A78"/>
          <w:sz w:val="16"/>
          <w:szCs w:val="16"/>
        </w:rPr>
        <w:t xml:space="preserve">[A-106]</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Look at pillars, not overall ranks; the headline number is the least informative part of the rankings dataset.</w:t>
      </w:r>
    </w:p>
    <w:p>
      <w:pPr>
        <w:pStyle w:val="BlockAnchor"/>
        <w:keepNext/>
        <w:spacing w:after="40" w:before="200"/>
      </w:pPr>
      <w:r>
        <w:rPr>
          <w:rFonts w:ascii="Consolas" w:cs="Consolas" w:eastAsia="Consolas" w:hAnsi="Consolas"/>
          <w:b/>
          <w:bCs/>
          <w:color w:val="8A8A78"/>
          <w:sz w:val="16"/>
          <w:szCs w:val="16"/>
        </w:rPr>
        <w:t xml:space="preserve">[A-107]</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Read both QS and THE for a fuller picture than either alone provides.</w:t>
      </w:r>
    </w:p>
    <w:p>
      <w:pPr>
        <w:pStyle w:val="BlockAnchor"/>
        <w:keepNext/>
        <w:spacing w:after="40" w:before="200"/>
      </w:pPr>
      <w:r>
        <w:rPr>
          <w:rFonts w:ascii="Consolas" w:cs="Consolas" w:eastAsia="Consolas" w:hAnsi="Consolas"/>
          <w:b/>
          <w:bCs/>
          <w:color w:val="8A8A78"/>
          <w:sz w:val="16"/>
          <w:szCs w:val="16"/>
        </w:rPr>
        <w:t xml:space="preserve">[A-108]</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A 50-place rank gap between the two systems is normal; a 100-place gap is a structural signal worth understanding before a multi-year decision.</w:t>
      </w:r>
    </w:p>
    <w:p>
      <w:pPr>
        <w:pStyle w:val="BlockAnchor"/>
        <w:keepNext/>
        <w:spacing w:after="40" w:before="200"/>
      </w:pPr>
      <w:r>
        <w:rPr>
          <w:rFonts w:ascii="Consolas" w:cs="Consolas" w:eastAsia="Consolas" w:hAnsi="Consolas"/>
          <w:b/>
          <w:bCs/>
          <w:color w:val="8A8A78"/>
          <w:sz w:val="16"/>
          <w:szCs w:val="16"/>
        </w:rPr>
        <w:t xml:space="preserve">[A-109]</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Programme-level rankings beat institutional rankings for most career-outcome questions.</w:t>
      </w:r>
    </w:p>
    <w:p>
      <w:pPr>
        <w:pStyle w:val="BlockAnchor"/>
        <w:keepNext/>
        <w:spacing w:after="40" w:before="200"/>
      </w:pPr>
      <w:r>
        <w:rPr>
          <w:rFonts w:ascii="Consolas" w:cs="Consolas" w:eastAsia="Consolas" w:hAnsi="Consolas"/>
          <w:b/>
          <w:bCs/>
          <w:color w:val="8A8A78"/>
          <w:sz w:val="16"/>
          <w:szCs w:val="16"/>
        </w:rPr>
        <w:t xml:space="preserve">[S-101]</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Employers</w:t>
      </w:r>
    </w:p>
    <w:p>
      <w:pPr>
        <w:pStyle w:val="BlockAnchor"/>
        <w:keepNext/>
        <w:spacing w:after="40" w:before="200"/>
      </w:pPr>
      <w:r>
        <w:rPr>
          <w:rFonts w:ascii="Consolas" w:cs="Consolas" w:eastAsia="Consolas" w:hAnsi="Consolas"/>
          <w:b/>
          <w:bCs/>
          <w:color w:val="8A8A78"/>
          <w:sz w:val="16"/>
          <w:szCs w:val="16"/>
        </w:rPr>
        <w:t xml:space="preserve">[A-110]</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QS Employer Reputation is a lagging signal of brand visibility, not a hiring guide.</w:t>
      </w:r>
    </w:p>
    <w:p>
      <w:pPr>
        <w:pStyle w:val="BlockAnchor"/>
        <w:keepNext/>
        <w:spacing w:after="40" w:before="200"/>
      </w:pPr>
      <w:r>
        <w:rPr>
          <w:rFonts w:ascii="Consolas" w:cs="Consolas" w:eastAsia="Consolas" w:hAnsi="Consolas"/>
          <w:b/>
          <w:bCs/>
          <w:color w:val="8A8A78"/>
          <w:sz w:val="16"/>
          <w:szCs w:val="16"/>
        </w:rPr>
        <w:t xml:space="preserve">[A-111]</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Use the rankings to track talent-pool shifts, not to make individual hiring decisions.</w:t>
      </w:r>
    </w:p>
    <w:p>
      <w:pPr>
        <w:pStyle w:val="BlockAnchor"/>
        <w:keepNext/>
        <w:spacing w:after="40" w:before="200"/>
      </w:pPr>
      <w:r>
        <w:rPr>
          <w:rFonts w:ascii="Consolas" w:cs="Consolas" w:eastAsia="Consolas" w:hAnsi="Consolas"/>
          <w:b/>
          <w:bCs/>
          <w:color w:val="8A8A78"/>
          <w:sz w:val="16"/>
          <w:szCs w:val="16"/>
        </w:rPr>
        <w:t xml:space="preserve">[A-112]</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The rise of Asian and Gulf institutions at the elite tier is real, durable, and visible in research-collaboration data.</w:t>
      </w:r>
    </w:p>
    <w:p>
      <w:pPr>
        <w:pStyle w:val="BlockAnchor"/>
        <w:keepNext/>
        <w:spacing w:after="40" w:before="200"/>
      </w:pPr>
      <w:r>
        <w:rPr>
          <w:rFonts w:ascii="Consolas" w:cs="Consolas" w:eastAsia="Consolas" w:hAnsi="Consolas"/>
          <w:b/>
          <w:bCs/>
          <w:color w:val="8A8A78"/>
          <w:sz w:val="16"/>
          <w:szCs w:val="16"/>
        </w:rPr>
        <w:t xml:space="preserve">[A-113]</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Companies hiring on a 5-year horizon should already be calibrating university-relations spend against the new map.</w:t>
      </w:r>
    </w:p>
    <w:p>
      <w:pPr>
        <w:pStyle w:val="BlockAnchor"/>
        <w:keepNext/>
        <w:spacing w:after="40" w:before="200"/>
      </w:pPr>
      <w:r>
        <w:rPr>
          <w:rFonts w:ascii="Consolas" w:cs="Consolas" w:eastAsia="Consolas" w:hAnsi="Consolas"/>
          <w:b/>
          <w:bCs/>
          <w:color w:val="8A8A78"/>
          <w:sz w:val="16"/>
          <w:szCs w:val="16"/>
        </w:rPr>
        <w:t xml:space="preserve">[S-102]</w:t>
      </w:r>
      <w:r>
        <w:rPr>
          <w:rFonts w:ascii="Arial" w:cs="Arial" w:eastAsia="Arial" w:hAnsi="Arial"/>
          <w:color w:val="8A8A78"/>
          <w:sz w:val="16"/>
          <w:szCs w:val="16"/>
        </w:rPr>
        <w:t xml:space="preserve">  StakeholderGrid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Researchers</w:t>
      </w:r>
    </w:p>
    <w:p>
      <w:pPr>
        <w:pStyle w:val="BlockAnchor"/>
        <w:keepNext/>
        <w:spacing w:after="40" w:before="200"/>
      </w:pPr>
      <w:r>
        <w:rPr>
          <w:rFonts w:ascii="Consolas" w:cs="Consolas" w:eastAsia="Consolas" w:hAnsi="Consolas"/>
          <w:b/>
          <w:bCs/>
          <w:color w:val="8A8A78"/>
          <w:sz w:val="16"/>
          <w:szCs w:val="16"/>
        </w:rPr>
        <w:t xml:space="preserve">[A-114]</w:t>
      </w:r>
      <w:r>
        <w:rPr>
          <w:rFonts w:ascii="Arial" w:cs="Arial" w:eastAsia="Arial" w:hAnsi="Arial"/>
          <w:color w:val="8A8A78"/>
          <w:sz w:val="16"/>
          <w:szCs w:val="16"/>
        </w:rPr>
        <w:t xml:space="preserve">  StakeholderGrid › bullet 1</w:t>
      </w:r>
    </w:p>
    <w:p>
      <w:pPr>
        <w:pStyle w:val="EditableText"/>
        <w:spacing w:after="100" w:line="300"/>
        <w:ind w:left="120"/>
      </w:pPr>
      <w:r>
        <w:rPr>
          <w:rFonts w:ascii="Georgia" w:cs="Georgia" w:eastAsia="Georgia" w:hAnsi="Georgia"/>
          <w:color w:val="1A1A0A"/>
          <w:sz w:val="22"/>
          <w:szCs w:val="22"/>
        </w:rPr>
        <w:t xml:space="preserve">Citation patterns now compound faster than reputation surveys reset.</w:t>
      </w:r>
    </w:p>
    <w:p>
      <w:pPr>
        <w:pStyle w:val="BlockAnchor"/>
        <w:keepNext/>
        <w:spacing w:after="40" w:before="200"/>
      </w:pPr>
      <w:r>
        <w:rPr>
          <w:rFonts w:ascii="Consolas" w:cs="Consolas" w:eastAsia="Consolas" w:hAnsi="Consolas"/>
          <w:b/>
          <w:bCs/>
          <w:color w:val="8A8A78"/>
          <w:sz w:val="16"/>
          <w:szCs w:val="16"/>
        </w:rPr>
        <w:t xml:space="preserve">[A-115]</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Choosing where to publish, and where to position citations, is a longer-horizon ranking decision than ever before.</w:t>
      </w:r>
    </w:p>
    <w:p>
      <w:pPr>
        <w:pStyle w:val="BlockAnchor"/>
        <w:keepNext/>
        <w:spacing w:after="40" w:before="200"/>
      </w:pPr>
      <w:r>
        <w:rPr>
          <w:rFonts w:ascii="Consolas" w:cs="Consolas" w:eastAsia="Consolas" w:hAnsi="Consolas"/>
          <w:b/>
          <w:bCs/>
          <w:color w:val="8A8A78"/>
          <w:sz w:val="16"/>
          <w:szCs w:val="16"/>
        </w:rPr>
        <w:t xml:space="preserve">[A-116]</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The 2024 split of THE’s Research pillar into Research Environment and Research Quality changes which behaviours pay off.</w:t>
      </w:r>
    </w:p>
    <w:p>
      <w:pPr>
        <w:pStyle w:val="BlockAnchor"/>
        <w:keepNext/>
        <w:spacing w:after="40" w:before="200"/>
      </w:pPr>
      <w:r>
        <w:rPr>
          <w:rFonts w:ascii="Consolas" w:cs="Consolas" w:eastAsia="Consolas" w:hAnsi="Consolas"/>
          <w:b/>
          <w:bCs/>
          <w:color w:val="8A8A78"/>
          <w:sz w:val="16"/>
          <w:szCs w:val="16"/>
        </w:rPr>
        <w:t xml:space="preserve">[A-117]</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Review your institution’s pillar profile before optimising your own.</w:t>
      </w:r>
    </w:p>
    <w:p>
      <w:pPr>
        <w:pStyle w:val="Heading2"/>
        <w:pBdr>
          <w:top w:val="single" w:color="3F4818" w:sz="6" w:space="8"/>
        </w:pBdr>
        <w:spacing w:after="160" w:before="400"/>
      </w:pPr>
      <w:r>
        <w:rPr>
          <w:rFonts w:ascii="Arial" w:cs="Arial" w:eastAsia="Arial" w:hAnsi="Arial"/>
          <w:b/>
          <w:bCs/>
          <w:color w:val="3F4818"/>
          <w:sz w:val="21"/>
          <w:szCs w:val="21"/>
        </w:rPr>
        <w:t xml:space="preserve">09 OUTLOOK TO 2030</w:t>
      </w:r>
    </w:p>
    <w:p>
      <w:pPr>
        <w:pStyle w:val="BlockAnchor"/>
        <w:keepNext/>
        <w:spacing w:after="40" w:before="200"/>
      </w:pPr>
      <w:r>
        <w:rPr>
          <w:rFonts w:ascii="Consolas" w:cs="Consolas" w:eastAsia="Consolas" w:hAnsi="Consolas"/>
          <w:b/>
          <w:bCs/>
          <w:color w:val="8A8A78"/>
          <w:sz w:val="16"/>
          <w:szCs w:val="16"/>
        </w:rPr>
        <w:t xml:space="preserve">[S-103]</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Outlook to 2030</w:t>
      </w:r>
    </w:p>
    <w:p>
      <w:pPr>
        <w:pStyle w:val="BlockAnchor"/>
        <w:keepNext/>
        <w:spacing w:after="40" w:before="200"/>
      </w:pPr>
      <w:r>
        <w:rPr>
          <w:rFonts w:ascii="Consolas" w:cs="Consolas" w:eastAsia="Consolas" w:hAnsi="Consolas"/>
          <w:b/>
          <w:bCs/>
          <w:color w:val="8A8A78"/>
          <w:sz w:val="16"/>
          <w:szCs w:val="16"/>
        </w:rPr>
        <w:t xml:space="preserve">[A-118]</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Three scenarios bracket the next five years.</w:t>
      </w:r>
    </w:p>
    <w:p>
      <w:pPr>
        <w:pStyle w:val="BlockAnchor"/>
        <w:keepNext/>
        <w:spacing w:after="40" w:before="200"/>
      </w:pPr>
      <w:r>
        <w:rPr>
          <w:rFonts w:ascii="Consolas" w:cs="Consolas" w:eastAsia="Consolas" w:hAnsi="Consolas"/>
          <w:b/>
          <w:bCs/>
          <w:color w:val="8A8A78"/>
          <w:sz w:val="16"/>
          <w:szCs w:val="16"/>
        </w:rPr>
        <w:t xml:space="preserve">[A-119]</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decade's clearest lesson is that rankings move slowest at the very top, fastest at the bottom of the Top 500, and most discontinuously when methodology changes. The next five years will be shaped by three forces: AI-augmented research productivity, geopolitical decoupling, and the demographic divergence between Western and Asian higher-education systems.</w:t>
      </w:r>
    </w:p>
    <w:p>
      <w:pPr>
        <w:pStyle w:val="BlockAnchor"/>
        <w:keepNext/>
        <w:spacing w:after="40" w:before="200"/>
      </w:pPr>
      <w:r>
        <w:rPr>
          <w:rFonts w:ascii="Consolas" w:cs="Consolas" w:eastAsia="Consolas" w:hAnsi="Consolas"/>
          <w:b/>
          <w:bCs/>
          <w:color w:val="8A8A78"/>
          <w:sz w:val="16"/>
          <w:szCs w:val="16"/>
        </w:rPr>
        <w:t xml:space="preserve">[A-120]</w:t>
      </w:r>
      <w:r>
        <w:rPr>
          <w:rFonts w:ascii="Arial" w:cs="Arial" w:eastAsia="Arial" w:hAnsi="Arial"/>
          <w:color w:val="8A8A78"/>
          <w:sz w:val="16"/>
          <w:szCs w:val="16"/>
        </w:rPr>
        <w:t xml:space="preserve">  ScenarioGrid › prob</w:t>
      </w:r>
    </w:p>
    <w:p>
      <w:pPr>
        <w:pStyle w:val="EditableText"/>
        <w:spacing w:after="100" w:line="300"/>
        <w:ind w:left="120"/>
      </w:pPr>
      <w:r>
        <w:rPr>
          <w:rFonts w:ascii="Georgia" w:cs="Georgia" w:eastAsia="Georgia" w:hAnsi="Georgia"/>
          <w:color w:val="1A1A0A"/>
          <w:sz w:val="20"/>
          <w:szCs w:val="20"/>
        </w:rPr>
        <w:t xml:space="preserve">~50%</w:t>
      </w:r>
    </w:p>
    <w:p>
      <w:pPr>
        <w:pStyle w:val="BlockAnchor"/>
        <w:keepNext/>
        <w:spacing w:after="40" w:before="200"/>
      </w:pPr>
      <w:r>
        <w:rPr>
          <w:rFonts w:ascii="Consolas" w:cs="Consolas" w:eastAsia="Consolas" w:hAnsi="Consolas"/>
          <w:b/>
          <w:bCs/>
          <w:color w:val="8A8A78"/>
          <w:sz w:val="16"/>
          <w:szCs w:val="16"/>
        </w:rPr>
        <w:t xml:space="preserve">[A-121]</w:t>
      </w:r>
      <w:r>
        <w:rPr>
          <w:rFonts w:ascii="Arial" w:cs="Arial" w:eastAsia="Arial" w:hAnsi="Arial"/>
          <w:color w:val="8A8A78"/>
          <w:sz w:val="16"/>
          <w:szCs w:val="16"/>
        </w:rPr>
        <w:t xml:space="preserve">  ScenarioGrid › name</w:t>
      </w:r>
    </w:p>
    <w:p>
      <w:pPr>
        <w:pStyle w:val="EditableText"/>
        <w:spacing w:after="100" w:line="300"/>
        <w:ind w:left="120"/>
      </w:pPr>
      <w:r>
        <w:rPr>
          <w:rFonts w:ascii="Georgia" w:cs="Georgia" w:eastAsia="Georgia" w:hAnsi="Georgia"/>
          <w:color w:val="1A1A0A"/>
          <w:sz w:val="20"/>
          <w:szCs w:val="20"/>
        </w:rPr>
        <w:t xml:space="preserve">Continuation</w:t>
      </w:r>
    </w:p>
    <w:p>
      <w:pPr>
        <w:pStyle w:val="BlockAnchor"/>
        <w:keepNext/>
        <w:spacing w:after="40" w:before="200"/>
      </w:pPr>
      <w:r>
        <w:rPr>
          <w:rFonts w:ascii="Consolas" w:cs="Consolas" w:eastAsia="Consolas" w:hAnsi="Consolas"/>
          <w:b/>
          <w:bCs/>
          <w:color w:val="8A8A78"/>
          <w:sz w:val="16"/>
          <w:szCs w:val="16"/>
        </w:rPr>
        <w:t xml:space="preserve">[A-122]</w:t>
      </w:r>
      <w:r>
        <w:rPr>
          <w:rFonts w:ascii="Arial" w:cs="Arial" w:eastAsia="Arial" w:hAnsi="Arial"/>
          <w:color w:val="8A8A78"/>
          <w:sz w:val="16"/>
          <w:szCs w:val="16"/>
        </w:rPr>
        <w:t xml:space="preserve">  ScenarioGrid › body</w:t>
      </w:r>
    </w:p>
    <w:p>
      <w:pPr>
        <w:pStyle w:val="EditableText"/>
        <w:spacing w:after="100" w:line="300"/>
        <w:ind w:left="120"/>
      </w:pPr>
      <w:r>
        <w:rPr>
          <w:rFonts w:ascii="Georgia" w:cs="Georgia" w:eastAsia="Georgia" w:hAnsi="Georgia"/>
          <w:color w:val="1A1A0A"/>
          <w:sz w:val="22"/>
          <w:szCs w:val="22"/>
        </w:rPr>
        <w:t xml:space="preserve">Asian gains continue at decade pace. The US slips a few more places at the elite tier. Western Europe holds. The Gulf adds 2 to 3 institutions to each Top 500 by 2030 if current GERD growth and Vision-2030/2071 trajectories hold. The 2030 Top 100 is recognisable from the 2026 Top 100.</w:t>
      </w:r>
    </w:p>
    <w:p>
      <w:pPr>
        <w:pStyle w:val="BlockAnchor"/>
        <w:keepNext/>
        <w:spacing w:after="40" w:before="200"/>
      </w:pPr>
      <w:r>
        <w:rPr>
          <w:rFonts w:ascii="Consolas" w:cs="Consolas" w:eastAsia="Consolas" w:hAnsi="Consolas"/>
          <w:b/>
          <w:bCs/>
          <w:color w:val="8A8A78"/>
          <w:sz w:val="16"/>
          <w:szCs w:val="16"/>
        </w:rPr>
        <w:t xml:space="preserve">[A-123]</w:t>
      </w:r>
      <w:r>
        <w:rPr>
          <w:rFonts w:ascii="Arial" w:cs="Arial" w:eastAsia="Arial" w:hAnsi="Arial"/>
          <w:color w:val="8A8A78"/>
          <w:sz w:val="16"/>
          <w:szCs w:val="16"/>
        </w:rPr>
        <w:t xml:space="preserve">  ScenarioGrid › prob</w:t>
      </w:r>
    </w:p>
    <w:p>
      <w:pPr>
        <w:pStyle w:val="EditableText"/>
        <w:spacing w:after="100" w:line="300"/>
        <w:ind w:left="120"/>
      </w:pPr>
      <w:r>
        <w:rPr>
          <w:rFonts w:ascii="Georgia" w:cs="Georgia" w:eastAsia="Georgia" w:hAnsi="Georgia"/>
          <w:color w:val="1A1A0A"/>
          <w:sz w:val="20"/>
          <w:szCs w:val="20"/>
        </w:rPr>
        <w:t xml:space="preserve">~25%</w:t>
      </w:r>
    </w:p>
    <w:p>
      <w:pPr>
        <w:pStyle w:val="BlockAnchor"/>
        <w:keepNext/>
        <w:spacing w:after="40" w:before="200"/>
      </w:pPr>
      <w:r>
        <w:rPr>
          <w:rFonts w:ascii="Consolas" w:cs="Consolas" w:eastAsia="Consolas" w:hAnsi="Consolas"/>
          <w:b/>
          <w:bCs/>
          <w:color w:val="8A8A78"/>
          <w:sz w:val="16"/>
          <w:szCs w:val="16"/>
        </w:rPr>
        <w:t xml:space="preserve">[A-124]</w:t>
      </w:r>
      <w:r>
        <w:rPr>
          <w:rFonts w:ascii="Arial" w:cs="Arial" w:eastAsia="Arial" w:hAnsi="Arial"/>
          <w:color w:val="8A8A78"/>
          <w:sz w:val="16"/>
          <w:szCs w:val="16"/>
        </w:rPr>
        <w:t xml:space="preserve">  ScenarioGrid › name</w:t>
      </w:r>
    </w:p>
    <w:p>
      <w:pPr>
        <w:pStyle w:val="EditableText"/>
        <w:spacing w:after="100" w:line="300"/>
        <w:ind w:left="120"/>
      </w:pPr>
      <w:r>
        <w:rPr>
          <w:rFonts w:ascii="Georgia" w:cs="Georgia" w:eastAsia="Georgia" w:hAnsi="Georgia"/>
          <w:color w:val="1A1A0A"/>
          <w:sz w:val="20"/>
          <w:szCs w:val="20"/>
        </w:rPr>
        <w:t xml:space="preserve">Fragmentation</w:t>
      </w:r>
    </w:p>
    <w:p>
      <w:pPr>
        <w:pStyle w:val="BlockAnchor"/>
        <w:keepNext/>
        <w:spacing w:after="40" w:before="200"/>
      </w:pPr>
      <w:r>
        <w:rPr>
          <w:rFonts w:ascii="Consolas" w:cs="Consolas" w:eastAsia="Consolas" w:hAnsi="Consolas"/>
          <w:b/>
          <w:bCs/>
          <w:color w:val="8A8A78"/>
          <w:sz w:val="16"/>
          <w:szCs w:val="16"/>
        </w:rPr>
        <w:t xml:space="preserve">[A-125]</w:t>
      </w:r>
      <w:r>
        <w:rPr>
          <w:rFonts w:ascii="Arial" w:cs="Arial" w:eastAsia="Arial" w:hAnsi="Arial"/>
          <w:color w:val="8A8A78"/>
          <w:sz w:val="16"/>
          <w:szCs w:val="16"/>
        </w:rPr>
        <w:t xml:space="preserve">  ScenarioGrid › body</w:t>
      </w:r>
    </w:p>
    <w:p>
      <w:pPr>
        <w:pStyle w:val="EditableText"/>
        <w:spacing w:after="100" w:line="300"/>
        <w:ind w:left="120"/>
      </w:pPr>
      <w:r>
        <w:rPr>
          <w:rFonts w:ascii="Georgia" w:cs="Georgia" w:eastAsia="Georgia" w:hAnsi="Georgia"/>
          <w:color w:val="1A1A0A"/>
          <w:sz w:val="22"/>
          <w:szCs w:val="22"/>
        </w:rPr>
        <w:t xml:space="preserve">Geopolitical decoupling shrinks the citation footprint of one major system, most likely Russia, possibly select US-China decoupling effects on co-authorship. The Top 100 becomes more regionally distinct. Cross-border research collaboration data, today a tailwind for several institutions, becomes a constraint. Neutral-ground research hosts (the UAE among them) become relative beneficiaries.</w:t>
      </w:r>
    </w:p>
    <w:p>
      <w:pPr>
        <w:pStyle w:val="BlockAnchor"/>
        <w:keepNext/>
        <w:spacing w:after="40" w:before="200"/>
      </w:pPr>
      <w:r>
        <w:rPr>
          <w:rFonts w:ascii="Consolas" w:cs="Consolas" w:eastAsia="Consolas" w:hAnsi="Consolas"/>
          <w:b/>
          <w:bCs/>
          <w:color w:val="8A8A78"/>
          <w:sz w:val="16"/>
          <w:szCs w:val="16"/>
        </w:rPr>
        <w:t xml:space="preserve">[A-126]</w:t>
      </w:r>
      <w:r>
        <w:rPr>
          <w:rFonts w:ascii="Arial" w:cs="Arial" w:eastAsia="Arial" w:hAnsi="Arial"/>
          <w:color w:val="8A8A78"/>
          <w:sz w:val="16"/>
          <w:szCs w:val="16"/>
        </w:rPr>
        <w:t xml:space="preserve">  ScenarioGrid › name</w:t>
      </w:r>
    </w:p>
    <w:p>
      <w:pPr>
        <w:pStyle w:val="EditableText"/>
        <w:spacing w:after="100" w:line="300"/>
        <w:ind w:left="120"/>
      </w:pPr>
      <w:r>
        <w:rPr>
          <w:rFonts w:ascii="Georgia" w:cs="Georgia" w:eastAsia="Georgia" w:hAnsi="Georgia"/>
          <w:color w:val="1A1A0A"/>
          <w:sz w:val="20"/>
          <w:szCs w:val="20"/>
        </w:rPr>
        <w:t xml:space="preserve">Consolidation</w:t>
      </w:r>
    </w:p>
    <w:p>
      <w:pPr>
        <w:pStyle w:val="BlockAnchor"/>
        <w:keepNext/>
        <w:spacing w:after="40" w:before="200"/>
      </w:pPr>
      <w:r>
        <w:rPr>
          <w:rFonts w:ascii="Consolas" w:cs="Consolas" w:eastAsia="Consolas" w:hAnsi="Consolas"/>
          <w:b/>
          <w:bCs/>
          <w:color w:val="8A8A78"/>
          <w:sz w:val="16"/>
          <w:szCs w:val="16"/>
        </w:rPr>
        <w:t xml:space="preserve">[A-127]</w:t>
      </w:r>
      <w:r>
        <w:rPr>
          <w:rFonts w:ascii="Arial" w:cs="Arial" w:eastAsia="Arial" w:hAnsi="Arial"/>
          <w:color w:val="8A8A78"/>
          <w:sz w:val="16"/>
          <w:szCs w:val="16"/>
        </w:rPr>
        <w:t xml:space="preserve">  ScenarioGrid › body</w:t>
      </w:r>
    </w:p>
    <w:p>
      <w:pPr>
        <w:pStyle w:val="EditableText"/>
        <w:spacing w:after="100" w:line="300"/>
        <w:ind w:left="120"/>
      </w:pPr>
      <w:r>
        <w:rPr>
          <w:rFonts w:ascii="Georgia" w:cs="Georgia" w:eastAsia="Georgia" w:hAnsi="Georgia"/>
          <w:color w:val="1A1A0A"/>
          <w:sz w:val="22"/>
          <w:szCs w:val="22"/>
        </w:rPr>
        <w:t xml:space="preserve">AI-research investment concentrates citation-pillar gains in roughly 30 institutions globally. The Top 50 differentiates more sharply from the Top 100. National policy responses are uneven, producing a wider gap between AI-native research universities and traditional research-intensive institutions.</w:t>
      </w:r>
    </w:p>
    <w:p>
      <w:pPr>
        <w:pStyle w:val="BlockAnchor"/>
        <w:keepNext/>
        <w:spacing w:after="40" w:before="200"/>
      </w:pPr>
      <w:r>
        <w:rPr>
          <w:rFonts w:ascii="Consolas" w:cs="Consolas" w:eastAsia="Consolas" w:hAnsi="Consolas"/>
          <w:b/>
          <w:bCs/>
          <w:color w:val="8A8A78"/>
          <w:sz w:val="16"/>
          <w:szCs w:val="16"/>
        </w:rPr>
        <w:t xml:space="preserve">[A-128]</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Three cross-cutting forces</w:t>
      </w:r>
    </w:p>
    <w:p>
      <w:pPr>
        <w:pStyle w:val="BlockAnchor"/>
        <w:keepNext/>
        <w:spacing w:after="40" w:before="200"/>
      </w:pPr>
      <w:r>
        <w:rPr>
          <w:rFonts w:ascii="Consolas" w:cs="Consolas" w:eastAsia="Consolas" w:hAnsi="Consolas"/>
          <w:b/>
          <w:bCs/>
          <w:color w:val="8A8A78"/>
          <w:sz w:val="16"/>
          <w:szCs w:val="16"/>
        </w:rPr>
        <w:t xml:space="preserve">[A-129]</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&lt;strong&gt;AI-augmented research&lt;/strong&gt; is the largest single uncertainty in the outlook. Institutions that institutionalise AI-research toolchains earlier will see citation-pillar gains compound. The differential is unlikely to be uniform; it will favour large, integrated research universities with the data infrastructure to operationalise AI at scale. Smaller specialist institutions face a more difficult adaptation.</w:t>
      </w:r>
    </w:p>
    <w:p>
      <w:pPr>
        <w:pStyle w:val="BlockAnchor"/>
        <w:keepNext/>
        <w:spacing w:after="40" w:before="200"/>
      </w:pPr>
      <w:r>
        <w:rPr>
          <w:rFonts w:ascii="Consolas" w:cs="Consolas" w:eastAsia="Consolas" w:hAnsi="Consolas"/>
          <w:b/>
          <w:bCs/>
          <w:color w:val="8A8A78"/>
          <w:sz w:val="16"/>
          <w:szCs w:val="16"/>
        </w:rPr>
        <w:t xml:space="preserve">[A-130]</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&lt;strong&gt;Demographic divergence&lt;/strong&gt; will tighten margins in Western higher-education systems and slow expansion. The demographic dividend in India, parts of Southeast Asia, and Sub-Saharan Africa will produce a different growth pattern, but new institutions take 15+ years to reach Top 500 standing. The next decade's compositional shifts will therefore continue to flow through existing institutions, not new ones.</w:t>
      </w:r>
    </w:p>
    <w:p>
      <w:pPr>
        <w:pStyle w:val="BlockAnchor"/>
        <w:keepNext/>
        <w:spacing w:after="40" w:before="200"/>
      </w:pPr>
      <w:r>
        <w:rPr>
          <w:rFonts w:ascii="Consolas" w:cs="Consolas" w:eastAsia="Consolas" w:hAnsi="Consolas"/>
          <w:b/>
          <w:bCs/>
          <w:color w:val="8A8A78"/>
          <w:sz w:val="16"/>
          <w:szCs w:val="16"/>
        </w:rPr>
        <w:t xml:space="preserve">[A-131]</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&lt;strong&gt;Visa-regime competition&lt;/strong&gt; has emerged as a parallel ranking lever. The UK Graduate Route, Canadian Post-Graduation Work Permit, German Blue Card, and Singapore TechPass have made post-study stay materially easier; the United States has not matched that trajectory. The UAE Golden Visa programme is the regional equivalent: a structural inducement for international graduates to remain in the local research base. Visa policy now feeds the citation pillar through a 5 to 10 year co-authorship lag.</w:t>
      </w:r>
    </w:p>
    <w:p>
      <w:pPr>
        <w:pStyle w:val="BlockAnchor"/>
        <w:keepNext/>
        <w:spacing w:after="40" w:before="200"/>
      </w:pPr>
      <w:r>
        <w:rPr>
          <w:rFonts w:ascii="Consolas" w:cs="Consolas" w:eastAsia="Consolas" w:hAnsi="Consolas"/>
          <w:b/>
          <w:bCs/>
          <w:color w:val="8A8A78"/>
          <w:sz w:val="16"/>
          <w:szCs w:val="16"/>
        </w:rPr>
        <w:t xml:space="preserve">[A-132]</w:t>
      </w:r>
      <w:r>
        <w:rPr>
          <w:rFonts w:ascii="Arial" w:cs="Arial" w:eastAsia="Arial" w:hAnsi="Arial"/>
          <w:color w:val="8A8A78"/>
          <w:sz w:val="16"/>
          <w:szCs w:val="16"/>
        </w:rPr>
        <w:t xml:space="preserve">  Callout › label</w:t>
      </w:r>
    </w:p>
    <w:p>
      <w:pPr>
        <w:pStyle w:val="EditableText"/>
        <w:spacing w:after="100" w:line="300"/>
        <w:ind w:left="120"/>
      </w:pPr>
      <w:r>
        <w:rPr>
          <w:rFonts w:ascii="Georgia" w:cs="Georgia" w:eastAsia="Georgia" w:hAnsi="Georgia"/>
          <w:color w:val="1A1A0A"/>
          <w:sz w:val="20"/>
          <w:szCs w:val="20"/>
        </w:rPr>
        <w:t xml:space="preserve">Counter to consensus</w:t>
      </w:r>
    </w:p>
    <w:p>
      <w:pPr>
        <w:pStyle w:val="BlockAnchor"/>
        <w:keepNext/>
        <w:spacing w:after="40" w:before="200"/>
      </w:pPr>
      <w:r>
        <w:rPr>
          <w:rFonts w:ascii="Consolas" w:cs="Consolas" w:eastAsia="Consolas" w:hAnsi="Consolas"/>
          <w:b/>
          <w:bCs/>
          <w:color w:val="8A8A78"/>
          <w:sz w:val="16"/>
          <w:szCs w:val="16"/>
        </w:rPr>
        <w:t xml:space="preserve">[A-133]</w:t>
      </w:r>
      <w:r>
        <w:rPr>
          <w:rFonts w:ascii="Arial" w:cs="Arial" w:eastAsia="Arial" w:hAnsi="Arial"/>
          <w:color w:val="8A8A78"/>
          <w:sz w:val="16"/>
          <w:szCs w:val="16"/>
        </w:rPr>
        <w:t xml:space="preserve">  &lt;Callout&gt;</w:t>
      </w:r>
    </w:p>
    <w:p>
      <w:pPr>
        <w:pStyle w:val="EditableText"/>
        <w:spacing w:after="100" w:line="300"/>
        <w:ind w:left="120"/>
      </w:pPr>
      <w:r>
        <w:rPr>
          <w:rFonts w:ascii="Georgia" w:cs="Georgia" w:eastAsia="Georgia" w:hAnsi="Georgia"/>
          <w:color w:val="1A1A0A"/>
          <w:sz w:val="22"/>
          <w:szCs w:val="22"/>
        </w:rPr>
        <w:t xml:space="preserve">The Top 10 has barely moved this decade. Median annual rank shift in the Top 10 is one place in both QS and THE. The popular narrative of upheaval lives at the Top 200 to 500 band, not at the elite tier.</w:t>
      </w:r>
    </w:p>
    <w:p>
      <w:pPr>
        <w:pStyle w:val="BlockAnchor"/>
        <w:keepNext/>
        <w:spacing w:after="40" w:before="200"/>
      </w:pPr>
      <w:r>
        <w:rPr>
          <w:rFonts w:ascii="Consolas" w:cs="Consolas" w:eastAsia="Consolas" w:hAnsi="Consolas"/>
          <w:b/>
          <w:bCs/>
          <w:color w:val="8A8A78"/>
          <w:sz w:val="16"/>
          <w:szCs w:val="16"/>
        </w:rPr>
        <w:t xml:space="preserve">[A-134]</w:t>
      </w:r>
      <w:r>
        <w:rPr>
          <w:rFonts w:ascii="Arial" w:cs="Arial" w:eastAsia="Arial" w:hAnsi="Arial"/>
          <w:color w:val="8A8A78"/>
          <w:sz w:val="16"/>
          <w:szCs w:val="16"/>
        </w:rPr>
        <w:t xml:space="preserve">  &lt;Callout&gt;</w:t>
      </w:r>
    </w:p>
    <w:p>
      <w:pPr>
        <w:pStyle w:val="EditableText"/>
        <w:spacing w:after="100" w:line="300"/>
        <w:ind w:left="120"/>
      </w:pPr>
      <w:r>
        <w:rPr>
          <w:rFonts w:ascii="Georgia" w:cs="Georgia" w:eastAsia="Georgia" w:hAnsi="Georgia"/>
          <w:color w:val="1A1A0A"/>
          <w:sz w:val="22"/>
          <w:szCs w:val="22"/>
        </w:rPr>
        <w:t xml:space="preserve">The UAE's THE Top-500 footprint has grown faster than Saudi Arabia's in percentage terms despite the smaller starting base, and now matches or exceeds it in absolute count.</w:t>
      </w:r>
    </w:p>
    <w:p>
      <w:pPr>
        <w:pStyle w:val="BlockAnchor"/>
        <w:keepNext/>
        <w:spacing w:after="40" w:before="200"/>
      </w:pPr>
      <w:r>
        <w:rPr>
          <w:rFonts w:ascii="Consolas" w:cs="Consolas" w:eastAsia="Consolas" w:hAnsi="Consolas"/>
          <w:b/>
          <w:bCs/>
          <w:color w:val="8A8A78"/>
          <w:sz w:val="16"/>
          <w:szCs w:val="16"/>
        </w:rPr>
        <w:t xml:space="preserve">[S-104]</w:t>
      </w:r>
      <w:r>
        <w:rPr>
          <w:rFonts w:ascii="Arial" w:cs="Arial" w:eastAsia="Arial" w:hAnsi="Arial"/>
          <w:color w:val="8A8A78"/>
          <w:sz w:val="16"/>
          <w:szCs w:val="16"/>
        </w:rPr>
        <w:t xml:space="preserve">  PullQuote › cite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Concluding analyst note</w:t>
      </w:r>
    </w:p>
    <w:p>
      <w:pPr>
        <w:pStyle w:val="BlockAnchor"/>
        <w:keepNext/>
        <w:spacing w:after="40" w:before="200"/>
      </w:pPr>
      <w:r>
        <w:rPr>
          <w:rFonts w:ascii="Consolas" w:cs="Consolas" w:eastAsia="Consolas" w:hAnsi="Consolas"/>
          <w:b/>
          <w:bCs/>
          <w:color w:val="8A8A78"/>
          <w:sz w:val="16"/>
          <w:szCs w:val="16"/>
        </w:rPr>
        <w:t xml:space="preserve">[A-135]</w:t>
      </w:r>
      <w:r>
        <w:rPr>
          <w:rFonts w:ascii="Arial" w:cs="Arial" w:eastAsia="Arial" w:hAnsi="Arial"/>
          <w:color w:val="8A8A78"/>
          <w:sz w:val="16"/>
          <w:szCs w:val="16"/>
        </w:rPr>
        <w:t xml:space="preserve">  &lt;PullQuote&gt;</w:t>
      </w:r>
    </w:p>
    <w:p>
      <w:pPr>
        <w:pStyle w:val="EditableText"/>
        <w:spacing w:after="100" w:line="300"/>
        <w:ind w:left="120"/>
      </w:pPr>
      <w:r>
        <w:rPr>
          <w:rFonts w:ascii="Georgia" w:cs="Georgia" w:eastAsia="Georgia" w:hAnsi="Georgia"/>
          <w:color w:val="1A1A0A"/>
          <w:sz w:val="22"/>
          <w:szCs w:val="22"/>
        </w:rPr>
        <w:t xml:space="preserve">The 2024 methodology break is the most significant of the period. The 2030 horizon will produce more of the same.</w:t>
      </w:r>
    </w:p>
    <w:p>
      <w:pPr>
        <w:pStyle w:val="Heading2"/>
        <w:pBdr>
          <w:top w:val="single" w:color="3F4818" w:sz="6" w:space="8"/>
        </w:pBdr>
        <w:spacing w:after="160" w:before="400"/>
      </w:pPr>
      <w:r>
        <w:rPr>
          <w:rFonts w:ascii="Arial" w:cs="Arial" w:eastAsia="Arial" w:hAnsi="Arial"/>
          <w:b/>
          <w:bCs/>
          <w:color w:val="3F4818"/>
          <w:sz w:val="21"/>
          <w:szCs w:val="21"/>
        </w:rPr>
        <w:t xml:space="preserve">10 METHODOLOGY &amp; SOURCES</w:t>
      </w:r>
    </w:p>
    <w:p>
      <w:pPr>
        <w:pStyle w:val="BlockAnchor"/>
        <w:keepNext/>
        <w:spacing w:after="40" w:before="200"/>
      </w:pPr>
      <w:r>
        <w:rPr>
          <w:rFonts w:ascii="Consolas" w:cs="Consolas" w:eastAsia="Consolas" w:hAnsi="Consolas"/>
          <w:b/>
          <w:bCs/>
          <w:color w:val="8A8A78"/>
          <w:sz w:val="16"/>
          <w:szCs w:val="16"/>
        </w:rPr>
        <w:t xml:space="preserve">[S-105]</w:t>
      </w:r>
      <w:r>
        <w:rPr>
          <w:rFonts w:ascii="Arial" w:cs="Arial" w:eastAsia="Arial" w:hAnsi="Arial"/>
          <w:color w:val="8A8A78"/>
          <w:sz w:val="16"/>
          <w:szCs w:val="16"/>
        </w:rPr>
        <w:t xml:space="preserve">  SectionHeader › kicker</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0"/>
          <w:szCs w:val="20"/>
        </w:rPr>
        <w:t xml:space="preserve">Methodology &amp; sources</w:t>
      </w:r>
    </w:p>
    <w:p>
      <w:pPr>
        <w:pStyle w:val="BlockAnchor"/>
        <w:keepNext/>
        <w:spacing w:after="40" w:before="200"/>
      </w:pPr>
      <w:r>
        <w:rPr>
          <w:rFonts w:ascii="Consolas" w:cs="Consolas" w:eastAsia="Consolas" w:hAnsi="Consolas"/>
          <w:b/>
          <w:bCs/>
          <w:color w:val="8A8A78"/>
          <w:sz w:val="16"/>
          <w:szCs w:val="16"/>
        </w:rPr>
        <w:t xml:space="preserve">[S-106]</w:t>
      </w:r>
      <w:r>
        <w:rPr>
          <w:rFonts w:ascii="Arial" w:cs="Arial" w:eastAsia="Arial" w:hAnsi="Arial"/>
          <w:color w:val="8A8A78"/>
          <w:sz w:val="16"/>
          <w:szCs w:val="16"/>
        </w:rPr>
        <w:t xml:space="preserve">  SectionHeader › title</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How we built the dataset.</w:t>
      </w:r>
    </w:p>
    <w:p>
      <w:pPr>
        <w:pStyle w:val="BlockAnchor"/>
        <w:keepNext/>
        <w:spacing w:after="40" w:before="200"/>
      </w:pPr>
      <w:r>
        <w:rPr>
          <w:rFonts w:ascii="Consolas" w:cs="Consolas" w:eastAsia="Consolas" w:hAnsi="Consolas"/>
          <w:b/>
          <w:bCs/>
          <w:color w:val="8A8A78"/>
          <w:sz w:val="16"/>
          <w:szCs w:val="16"/>
        </w:rPr>
        <w:t xml:space="preserve">[A-136]</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This analysis draws on the published Top 500 of QS World University Rankings (2017 to 2026, ten editions) and Times Higher Education World University Rankings (2016 to 2026, eleven editions). Integer ranks pass through unchanged; banded ranks (e.g., "401–500") are converted to numerical midpoints with the original band retained as a categorical for tier-boundary analysis. Tie markers are stripped.</w:t>
      </w:r>
    </w:p>
    <w:p>
      <w:pPr>
        <w:pStyle w:val="BlockAnchor"/>
        <w:keepNext/>
        <w:spacing w:after="40" w:before="200"/>
      </w:pPr>
      <w:r>
        <w:rPr>
          <w:rFonts w:ascii="Consolas" w:cs="Consolas" w:eastAsia="Consolas" w:hAnsi="Consolas"/>
          <w:b/>
          <w:bCs/>
          <w:color w:val="8A8A78"/>
          <w:sz w:val="16"/>
          <w:szCs w:val="16"/>
        </w:rPr>
        <w:t xml:space="preserve">[A-137]</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Country names are mapped to ISO-3166 alpha-3 codes via pycountry, with manual aliases for Hong Kong, Macao, Taiwan, Iran, Korea, Russia, the UAE, and other commonly inconsistent entries. The master table covers 96 countries. Region buckets follow nine standard regions: North America; Western Europe; Eastern Europe; East Asia; South &amp; Southeast Asia; Oceania; MENA; Sub-Saharan Africa; Latin America. Greater China (China + Hong Kong + Macao + Taiwan) is retained as a separate analytical view.</w:t>
      </w:r>
    </w:p>
    <w:p>
      <w:pPr>
        <w:pStyle w:val="BlockAnchor"/>
        <w:keepNext/>
        <w:spacing w:after="40" w:before="200"/>
      </w:pPr>
      <w:r>
        <w:rPr>
          <w:rFonts w:ascii="Consolas" w:cs="Consolas" w:eastAsia="Consolas" w:hAnsi="Consolas"/>
          <w:b/>
          <w:bCs/>
          <w:color w:val="8A8A78"/>
          <w:sz w:val="16"/>
          <w:szCs w:val="16"/>
        </w:rPr>
        <w:t xml:space="preserve">[A-138]</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Institution names are normalised aggressively (lowercase, parentheticals stripped, leading "the " removed, punctuation collapsed). Three rules apply in order: hard alias mapping for known cases; exact match on aggressively-normalised name; controlled fuzzy match (token_sort_ratio ≥ 97 AND first significant token agrees AND length ratio ≥ 0.75). All fuzzy and exact-merge edges are emitted to a cluster audit file for human review.</w:t>
      </w:r>
    </w:p>
    <w:p>
      <w:pPr>
        <w:pStyle w:val="BlockAnchor"/>
        <w:keepNext/>
        <w:spacing w:after="40" w:before="200"/>
      </w:pPr>
      <w:r>
        <w:rPr>
          <w:rFonts w:ascii="Consolas" w:cs="Consolas" w:eastAsia="Consolas" w:hAnsi="Consolas"/>
          <w:b/>
          <w:bCs/>
          <w:color w:val="8A8A78"/>
          <w:sz w:val="16"/>
          <w:szCs w:val="16"/>
        </w:rPr>
        <w:t xml:space="preserve">[A-139]</w:t>
      </w:r>
      <w:r>
        <w:rPr>
          <w:rFonts w:ascii="Arial" w:cs="Arial" w:eastAsia="Arial" w:hAnsi="Arial"/>
          <w:color w:val="8A8A78"/>
          <w:sz w:val="16"/>
          <w:szCs w:val="16"/>
        </w:rPr>
        <w:t xml:space="preserve">  &lt;h4&gt;</w:t>
      </w:r>
    </w:p>
    <w:p>
      <w:pPr>
        <w:pStyle w:val="EditableText"/>
        <w:spacing w:after="100" w:line="300"/>
        <w:ind w:left="120"/>
      </w:pPr>
      <w:r>
        <w:rPr>
          <w:rFonts w:ascii="Georgia" w:cs="Georgia" w:eastAsia="Georgia" w:hAnsi="Georgia"/>
          <w:color w:val="1A1A0A"/>
          <w:sz w:val="22"/>
          <w:szCs w:val="22"/>
        </w:rPr>
        <w:t xml:space="preserve">Coverage</w:t>
      </w:r>
    </w:p>
    <w:p>
      <w:pPr>
        <w:pStyle w:val="BlockAnchor"/>
        <w:keepNext/>
        <w:spacing w:after="40" w:before="200"/>
      </w:pPr>
      <w:r>
        <w:rPr>
          <w:rFonts w:ascii="Consolas" w:cs="Consolas" w:eastAsia="Consolas" w:hAnsi="Consolas"/>
          <w:b/>
          <w:bCs/>
          <w:color w:val="8A8A78"/>
          <w:sz w:val="16"/>
          <w:szCs w:val="16"/>
        </w:rPr>
        <w:t xml:space="preserve">[A-140]</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1,038 distinct canonical institutions; 10,536 institution-year-system rows. Validated against a 28-institution truth panel including anti-collision tests; the build aborts if any panel assertion fails.</w:t>
      </w:r>
    </w:p>
    <w:p>
      <w:pPr>
        <w:pStyle w:val="BlockAnchor"/>
        <w:keepNext/>
        <w:spacing w:after="40" w:before="200"/>
      </w:pPr>
      <w:r>
        <w:rPr>
          <w:rFonts w:ascii="Consolas" w:cs="Consolas" w:eastAsia="Consolas" w:hAnsi="Consolas"/>
          <w:b/>
          <w:bCs/>
          <w:color w:val="8A8A78"/>
          <w:sz w:val="16"/>
          <w:szCs w:val="16"/>
        </w:rPr>
        <w:t xml:space="preserve">[A-141]</w:t>
      </w:r>
      <w:r>
        <w:rPr>
          <w:rFonts w:ascii="Arial" w:cs="Arial" w:eastAsia="Arial" w:hAnsi="Arial"/>
          <w:color w:val="8A8A78"/>
          <w:sz w:val="16"/>
          <w:szCs w:val="16"/>
        </w:rPr>
        <w:t xml:space="preserve">  &lt;h4&gt;</w:t>
      </w:r>
    </w:p>
    <w:p>
      <w:pPr>
        <w:pStyle w:val="EditableText"/>
        <w:spacing w:after="100" w:line="300"/>
        <w:ind w:left="120"/>
      </w:pPr>
      <w:r>
        <w:rPr>
          <w:rFonts w:ascii="Georgia" w:cs="Georgia" w:eastAsia="Georgia" w:hAnsi="Georgia"/>
          <w:color w:val="1A1A0A"/>
          <w:sz w:val="22"/>
          <w:szCs w:val="22"/>
        </w:rPr>
        <w:t xml:space="preserve">Caveats</w:t>
      </w:r>
    </w:p>
    <w:p>
      <w:pPr>
        <w:pStyle w:val="BlockAnchor"/>
        <w:keepNext/>
        <w:spacing w:after="40" w:before="200"/>
      </w:pPr>
      <w:r>
        <w:rPr>
          <w:rFonts w:ascii="Consolas" w:cs="Consolas" w:eastAsia="Consolas" w:hAnsi="Consolas"/>
          <w:b/>
          <w:bCs/>
          <w:color w:val="8A8A78"/>
          <w:sz w:val="16"/>
          <w:szCs w:val="16"/>
        </w:rPr>
        <w:t xml:space="preserve">[A-142]</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Year-over-year rank changes are computed only for integer-ranked rows. Decade-movement (riser / decliner) tables are computed only for institutions with integer ranks at both bookend years. The 2024 methodology breaks (THE WUR 3.0; QS revision) are flagged in the data with a methodology_break field; cross-year analyses straddling the break are discussed methodology-first throughout.</w:t>
      </w:r>
    </w:p>
    <w:p>
      <w:pPr>
        <w:pStyle w:val="BlockAnchor"/>
        <w:keepNext/>
        <w:spacing w:after="40" w:before="200"/>
      </w:pPr>
      <w:r>
        <w:rPr>
          <w:rFonts w:ascii="Consolas" w:cs="Consolas" w:eastAsia="Consolas" w:hAnsi="Consolas"/>
          <w:b/>
          <w:bCs/>
          <w:color w:val="8A8A78"/>
          <w:sz w:val="16"/>
          <w:szCs w:val="16"/>
        </w:rPr>
        <w:t xml:space="preserve">[S-107]</w:t>
      </w:r>
      <w:r>
        <w:rPr>
          <w:rFonts w:ascii="Arial" w:cs="Arial" w:eastAsia="Arial" w:hAnsi="Arial"/>
          <w:color w:val="8A8A78"/>
          <w:sz w:val="16"/>
          <w:szCs w:val="16"/>
        </w:rPr>
        <w:t xml:space="preserve">  &lt;h3&gt;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Sources</w:t>
      </w:r>
    </w:p>
    <w:p>
      <w:pPr>
        <w:pStyle w:val="BlockAnchor"/>
        <w:keepNext/>
        <w:spacing w:after="40" w:before="200"/>
      </w:pPr>
      <w:r>
        <w:rPr>
          <w:rFonts w:ascii="Consolas" w:cs="Consolas" w:eastAsia="Consolas" w:hAnsi="Consolas"/>
          <w:b/>
          <w:bCs/>
          <w:color w:val="8A8A78"/>
          <w:sz w:val="16"/>
          <w:szCs w:val="16"/>
        </w:rPr>
        <w:t xml:space="preserve">[S-108]</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Times Higher Education, &lt;em style={{ color: 'var(--color-ink)' }}&gt;World University Rankings 2024 methodology (WUR 3.0)&lt;/em&gt;.</w:t>
      </w:r>
    </w:p>
    <w:p>
      <w:pPr>
        <w:pStyle w:val="BlockAnchor"/>
        <w:keepNext/>
        <w:spacing w:after="40" w:before="200"/>
      </w:pPr>
      <w:r>
        <w:rPr>
          <w:rFonts w:ascii="Consolas" w:cs="Consolas" w:eastAsia="Consolas" w:hAnsi="Consolas"/>
          <w:b/>
          <w:bCs/>
          <w:color w:val="8A8A78"/>
          <w:sz w:val="16"/>
          <w:szCs w:val="16"/>
        </w:rPr>
        <w:t xml:space="preserve">[S-109]</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QS Quacquarelli Symonds, &lt;em style={{ color: 'var(--color-ink)' }}&gt;World University Rankings 2024 methodology changes&lt;/em&gt;.</w:t>
      </w:r>
    </w:p>
    <w:p>
      <w:pPr>
        <w:pStyle w:val="BlockAnchor"/>
        <w:keepNext/>
        <w:spacing w:after="40" w:before="200"/>
      </w:pPr>
      <w:r>
        <w:rPr>
          <w:rFonts w:ascii="Consolas" w:cs="Consolas" w:eastAsia="Consolas" w:hAnsi="Consolas"/>
          <w:b/>
          <w:bCs/>
          <w:color w:val="8A8A78"/>
          <w:sz w:val="16"/>
          <w:szCs w:val="16"/>
        </w:rPr>
        <w:t xml:space="preserve">[S-110]</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Wikipedia, &lt;em style={{ color: 'var(--color-ink)' }}&gt;Double First-Class Construction&lt;/em&gt; (initiated 2015; replaced Project 985/211).</w:t>
      </w:r>
    </w:p>
    <w:p>
      <w:pPr>
        <w:pStyle w:val="BlockAnchor"/>
        <w:keepNext/>
        <w:spacing w:after="40" w:before="200"/>
      </w:pPr>
      <w:r>
        <w:rPr>
          <w:rFonts w:ascii="Consolas" w:cs="Consolas" w:eastAsia="Consolas" w:hAnsi="Consolas"/>
          <w:b/>
          <w:bCs/>
          <w:color w:val="8A8A78"/>
          <w:sz w:val="16"/>
          <w:szCs w:val="16"/>
        </w:rPr>
        <w:t xml:space="preserve">[S-111]</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Deutsche Forschungsgemeinschaft (DFG), &lt;em style={{ color: 'var(--color-ink)' }}&gt;Excellence Strategy (ExStra)&lt;/em&gt;, funding 2019 to 2026 and 2026 onwards.</w:t>
      </w:r>
    </w:p>
    <w:p>
      <w:pPr>
        <w:pStyle w:val="BlockAnchor"/>
        <w:keepNext/>
        <w:spacing w:after="40" w:before="200"/>
      </w:pPr>
      <w:r>
        <w:rPr>
          <w:rFonts w:ascii="Consolas" w:cs="Consolas" w:eastAsia="Consolas" w:hAnsi="Consolas"/>
          <w:b/>
          <w:bCs/>
          <w:color w:val="8A8A78"/>
          <w:sz w:val="16"/>
          <w:szCs w:val="16"/>
        </w:rPr>
        <w:t xml:space="preserve">[S-112]</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King Abdullah University of Science and Technology (KAUST), institutional and Vision 2030 page.</w:t>
      </w:r>
    </w:p>
    <w:p>
      <w:pPr>
        <w:pStyle w:val="BlockAnchor"/>
        <w:keepNext/>
        <w:spacing w:after="40" w:before="200"/>
      </w:pPr>
      <w:r>
        <w:rPr>
          <w:rFonts w:ascii="Consolas" w:cs="Consolas" w:eastAsia="Consolas" w:hAnsi="Consolas"/>
          <w:b/>
          <w:bCs/>
          <w:color w:val="8A8A78"/>
          <w:sz w:val="16"/>
          <w:szCs w:val="16"/>
        </w:rPr>
        <w:t xml:space="preserve">[S-113]</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Science|Business, &lt;em style={{ color: 'var(--color-ink)' }}&gt;UK official association to Horizon Europe&lt;/em&gt; (September 2023).</w:t>
      </w:r>
    </w:p>
    <w:p>
      <w:pPr>
        <w:pStyle w:val="BlockAnchor"/>
        <w:keepNext/>
        <w:spacing w:after="40" w:before="200"/>
      </w:pPr>
      <w:r>
        <w:rPr>
          <w:rFonts w:ascii="Consolas" w:cs="Consolas" w:eastAsia="Consolas" w:hAnsi="Consolas"/>
          <w:b/>
          <w:bCs/>
          <w:color w:val="8A8A78"/>
          <w:sz w:val="16"/>
          <w:szCs w:val="16"/>
        </w:rPr>
        <w:t xml:space="preserve">[S-114]</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World Bank Open Data, indicator GB.XPD.RSDV.GD.ZS (Research and development expenditure, % of GDP).</w:t>
      </w:r>
    </w:p>
    <w:p>
      <w:pPr>
        <w:pStyle w:val="BlockAnchor"/>
        <w:keepNext/>
        <w:spacing w:after="40" w:before="200"/>
      </w:pPr>
      <w:r>
        <w:rPr>
          <w:rFonts w:ascii="Consolas" w:cs="Consolas" w:eastAsia="Consolas" w:hAnsi="Consolas"/>
          <w:b/>
          <w:bCs/>
          <w:color w:val="8A8A78"/>
          <w:sz w:val="16"/>
          <w:szCs w:val="16"/>
        </w:rPr>
        <w:t xml:space="preserve">[S-115]</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QS World University Rankings, annual editions 2017 to 2026.</w:t>
      </w:r>
    </w:p>
    <w:p>
      <w:pPr>
        <w:pStyle w:val="BlockAnchor"/>
        <w:keepNext/>
        <w:spacing w:after="40" w:before="200"/>
      </w:pPr>
      <w:r>
        <w:rPr>
          <w:rFonts w:ascii="Consolas" w:cs="Consolas" w:eastAsia="Consolas" w:hAnsi="Consolas"/>
          <w:b/>
          <w:bCs/>
          <w:color w:val="8A8A78"/>
          <w:sz w:val="16"/>
          <w:szCs w:val="16"/>
        </w:rPr>
        <w:t xml:space="preserve">[S-116]</w:t>
      </w:r>
      <w:r>
        <w:rPr>
          <w:rFonts w:ascii="Arial" w:cs="Arial" w:eastAsia="Arial" w:hAnsi="Arial"/>
          <w:color w:val="8A8A78"/>
          <w:sz w:val="16"/>
          <w:szCs w:val="16"/>
        </w:rPr>
        <w:t xml:space="preserve">  &lt;li&gt;</w:t>
      </w:r>
      <w:r>
        <w:rPr>
          <w:rFonts w:ascii="Arial" w:cs="Arial" w:eastAsia="Arial" w:hAnsi="Arial"/>
          <w:b/>
          <w:bCs/>
          <w:color w:val="8C5A1F"/>
          <w:sz w:val="16"/>
          <w:szCs w:val="16"/>
        </w:rPr>
        <w:t xml:space="preserve">   SHARED — also in the other article</w:t>
      </w:r>
    </w:p>
    <w:p>
      <w:pPr>
        <w:pStyle w:val="EditableText"/>
        <w:spacing w:after="100" w:line="300"/>
        <w:ind w:left="120"/>
      </w:pPr>
      <w:r>
        <w:rPr>
          <w:rFonts w:ascii="Georgia" w:cs="Georgia" w:eastAsia="Georgia" w:hAnsi="Georgia"/>
          <w:color w:val="1A1A0A"/>
          <w:sz w:val="22"/>
          <w:szCs w:val="22"/>
        </w:rPr>
        <w:t xml:space="preserve">Times Higher Education, World University Rankings, annual editions 2016 to 2026.</w:t>
      </w:r>
    </w:p>
    <w:p>
      <w:r>
        <w:br w:type="page"/>
      </w:r>
    </w:p>
    <w:p>
      <w:pPr>
        <w:pStyle w:val="Heading1"/>
        <w:spacing w:after="60"/>
      </w:pPr>
      <w:r>
        <w:rPr>
          <w:rFonts w:ascii="Arial" w:cs="Arial" w:eastAsia="Arial" w:hAnsi="Arial"/>
          <w:b/>
          <w:bCs/>
          <w:color w:val="3F4818"/>
          <w:sz w:val="20"/>
          <w:szCs w:val="20"/>
        </w:rPr>
        <w:t xml:space="preserve">Article Two</w:t>
      </w:r>
    </w:p>
    <w:p>
      <w:pPr>
        <w:spacing w:after="60"/>
      </w:pPr>
      <w:r>
        <w:rPr>
          <w:rFonts w:ascii="Georgia" w:cs="Georgia" w:eastAsia="Georgia" w:hAnsi="Georgia"/>
          <w:color w:val="3F4818"/>
          <w:sz w:val="40"/>
          <w:szCs w:val="40"/>
        </w:rPr>
        <w:t xml:space="preserve">A decade in the rankings, told straight</w:t>
      </w:r>
    </w:p>
    <w:p>
      <w:pPr>
        <w:pBdr>
          <w:bottom w:val="single" w:color="3F4818" w:sz="8" w:space="10"/>
        </w:pBdr>
        <w:spacing w:after="300"/>
      </w:pPr>
      <w:r>
        <w:rPr>
          <w:rFonts w:ascii="Consolas" w:cs="Consolas" w:eastAsia="Consolas" w:hAnsi="Consolas"/>
          <w:color w:val="8A8A78"/>
          <w:sz w:val="18"/>
          <w:szCs w:val="18"/>
        </w:rPr>
        <w:t xml:space="preserve">/articles/rankings-decade-told-straight</w:t>
      </w:r>
    </w:p>
    <w:p>
      <w:pPr>
        <w:pStyle w:val="Heading2"/>
        <w:pBdr>
          <w:top w:val="single" w:color="3F4818" w:sz="6" w:space="8"/>
        </w:pBdr>
        <w:spacing w:after="160" w:before="400"/>
      </w:pPr>
      <w:r>
        <w:rPr>
          <w:rFonts w:ascii="Arial" w:cs="Arial" w:eastAsia="Arial" w:hAnsi="Arial"/>
          <w:b/>
          <w:bCs/>
          <w:color w:val="3F4818"/>
          <w:sz w:val="21"/>
          <w:szCs w:val="21"/>
        </w:rPr>
        <w:t xml:space="preserve">HEADLINE</w:t>
      </w:r>
    </w:p>
    <w:p>
      <w:pPr>
        <w:pStyle w:val="BlockAnchor"/>
        <w:keepNext/>
        <w:spacing w:after="40" w:before="200"/>
      </w:pPr>
      <w:r>
        <w:rPr>
          <w:rFonts w:ascii="Consolas" w:cs="Consolas" w:eastAsia="Consolas" w:hAnsi="Consolas"/>
          <w:b/>
          <w:bCs/>
          <w:color w:val="8A8A78"/>
          <w:sz w:val="16"/>
          <w:szCs w:val="16"/>
        </w:rPr>
        <w:t xml:space="preserve">[B-001]</w:t>
      </w:r>
      <w:r>
        <w:rPr>
          <w:rFonts w:ascii="Arial" w:cs="Arial" w:eastAsia="Arial" w:hAnsi="Arial"/>
          <w:color w:val="8A8A78"/>
          <w:sz w:val="16"/>
          <w:szCs w:val="16"/>
        </w:rPr>
        <w:t xml:space="preserve">  title</w:t>
      </w:r>
    </w:p>
    <w:p>
      <w:pPr>
        <w:pStyle w:val="EditableText"/>
        <w:spacing w:after="100" w:line="300"/>
        <w:ind w:left="120"/>
      </w:pPr>
      <w:r>
        <w:rPr>
          <w:rFonts w:ascii="Georgia" w:cs="Georgia" w:eastAsia="Georgia" w:hAnsi="Georgia"/>
          <w:color w:val="1A1A0A"/>
          <w:sz w:val="22"/>
          <w:szCs w:val="22"/>
        </w:rPr>
        <w:t xml:space="preserve">A decade in the rankings, told straight.</w:t>
      </w:r>
    </w:p>
    <w:p>
      <w:pPr>
        <w:pStyle w:val="BlockAnchor"/>
        <w:keepNext/>
        <w:spacing w:after="40" w:before="200"/>
      </w:pPr>
      <w:r>
        <w:rPr>
          <w:rFonts w:ascii="Consolas" w:cs="Consolas" w:eastAsia="Consolas" w:hAnsi="Consolas"/>
          <w:b/>
          <w:bCs/>
          <w:color w:val="8A8A78"/>
          <w:sz w:val="16"/>
          <w:szCs w:val="16"/>
        </w:rPr>
        <w:t xml:space="preserve">[B-002]</w:t>
      </w:r>
      <w:r>
        <w:rPr>
          <w:rFonts w:ascii="Arial" w:cs="Arial" w:eastAsia="Arial" w:hAnsi="Arial"/>
          <w:color w:val="8A8A78"/>
          <w:sz w:val="16"/>
          <w:szCs w:val="16"/>
        </w:rPr>
        <w:t xml:space="preserve">  dek</w:t>
      </w:r>
    </w:p>
    <w:p>
      <w:pPr>
        <w:pStyle w:val="EditableText"/>
        <w:spacing w:after="100" w:line="300"/>
        <w:ind w:left="120"/>
      </w:pPr>
      <w:r>
        <w:rPr>
          <w:rFonts w:ascii="Georgia" w:cs="Georgia" w:eastAsia="Georgia" w:hAnsi="Georgia"/>
          <w:color w:val="1A1A0A"/>
          <w:sz w:val="22"/>
          <w:szCs w:val="22"/>
        </w:rPr>
        <w:t xml:space="preserve">Ten years of data. Two ranking systems. One clear story. Asia now holds roughly twice the share of the global Top 100 that it did in 2016, driven almost entirely by China. America has slipped, but only in the middle of the table; Harvard and MIT are not moving. And in 2024, both publishers quietly rewrote how they score universities, producing the largest single-year reshuffle of the decade. Most of it had nothing to do with the universities themselves.</w:t>
      </w:r>
    </w:p>
    <w:p>
      <w:pPr>
        <w:pStyle w:val="Heading2"/>
        <w:pBdr>
          <w:top w:val="single" w:color="3F4818" w:sz="6" w:space="8"/>
        </w:pBdr>
        <w:spacing w:after="160" w:before="400"/>
      </w:pPr>
      <w:r>
        <w:rPr>
          <w:rFonts w:ascii="Arial" w:cs="Arial" w:eastAsia="Arial" w:hAnsi="Arial"/>
          <w:b/>
          <w:bCs/>
          <w:color w:val="3F4818"/>
          <w:sz w:val="21"/>
          <w:szCs w:val="21"/>
        </w:rPr>
        <w:t xml:space="preserve">01 THE BRIEF</w:t>
      </w:r>
    </w:p>
    <w:p>
      <w:pPr>
        <w:pStyle w:val="BlockAnchor"/>
        <w:keepNext/>
        <w:spacing w:after="40" w:before="200"/>
      </w:pPr>
      <w:r>
        <w:rPr>
          <w:rFonts w:ascii="Consolas" w:cs="Consolas" w:eastAsia="Consolas" w:hAnsi="Consolas"/>
          <w:b/>
          <w:bCs/>
          <w:color w:val="8A8A78"/>
          <w:sz w:val="16"/>
          <w:szCs w:val="16"/>
        </w:rPr>
        <w:t xml:space="preserve">[B-003]</w:t>
      </w:r>
      <w:r>
        <w:rPr>
          <w:rFonts w:ascii="Arial" w:cs="Arial" w:eastAsia="Arial" w:hAnsi="Arial"/>
          <w:color w:val="8A8A78"/>
          <w:sz w:val="16"/>
          <w:szCs w:val="16"/>
        </w:rPr>
        <w:t xml:space="preserve">  SectionHeader › kicker</w:t>
      </w:r>
    </w:p>
    <w:p>
      <w:pPr>
        <w:pStyle w:val="EditableText"/>
        <w:spacing w:after="100" w:line="300"/>
        <w:ind w:left="120"/>
      </w:pPr>
      <w:r>
        <w:rPr>
          <w:rFonts w:ascii="Georgia" w:cs="Georgia" w:eastAsia="Georgia" w:hAnsi="Georgia"/>
          <w:color w:val="1A1A0A"/>
          <w:sz w:val="20"/>
          <w:szCs w:val="20"/>
        </w:rPr>
        <w:t xml:space="preserve">The brief</w:t>
      </w:r>
    </w:p>
    <w:p>
      <w:pPr>
        <w:pStyle w:val="BlockAnchor"/>
        <w:keepNext/>
        <w:spacing w:after="40" w:before="200"/>
      </w:pPr>
      <w:r>
        <w:rPr>
          <w:rFonts w:ascii="Consolas" w:cs="Consolas" w:eastAsia="Consolas" w:hAnsi="Consolas"/>
          <w:b/>
          <w:bCs/>
          <w:color w:val="8A8A78"/>
          <w:sz w:val="16"/>
          <w:szCs w:val="16"/>
        </w:rPr>
        <w:t xml:space="preserve">[B-004]</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The numbers that move; the rule change that explains the rest.</w:t>
      </w:r>
    </w:p>
    <w:p>
      <w:pPr>
        <w:pStyle w:val="BlockAnchor"/>
        <w:keepNext/>
        <w:spacing w:after="40" w:before="200"/>
      </w:pPr>
      <w:r>
        <w:rPr>
          <w:rFonts w:ascii="Consolas" w:cs="Consolas" w:eastAsia="Consolas" w:hAnsi="Consolas"/>
          <w:b/>
          <w:bCs/>
          <w:color w:val="8A8A78"/>
          <w:sz w:val="16"/>
          <w:szCs w:val="16"/>
        </w:rPr>
        <w:t xml:space="preserve">[B-005]</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Three things happened to the global higher-education league tables between 2016 and 2026, and one of them was not what most people think.</w:t>
      </w:r>
    </w:p>
    <w:p>
      <w:pPr>
        <w:pStyle w:val="BlockAnchor"/>
        <w:keepNext/>
        <w:spacing w:after="40" w:before="200"/>
      </w:pPr>
      <w:r>
        <w:rPr>
          <w:rFonts w:ascii="Consolas" w:cs="Consolas" w:eastAsia="Consolas" w:hAnsi="Consolas"/>
          <w:b/>
          <w:bCs/>
          <w:color w:val="8A8A78"/>
          <w:sz w:val="16"/>
          <w:szCs w:val="16"/>
        </w:rPr>
        <w:t xml:space="preserve">[B-006]</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&lt;strong&gt;Asia rose.&lt;/strong&gt; Its share of the global Top 100 roughly doubled. The single biggest mover was China: a tripling of the Chinese cohort in the elite tier, broad enough that it cannot be pinned on one university or one programme. The Gulf joined the story late but joined it visibly. Saudi Arabia added eight institutions to the Top 500, the UAE added seven.</w:t>
      </w:r>
    </w:p>
    <w:p>
      <w:pPr>
        <w:pStyle w:val="BlockAnchor"/>
        <w:keepNext/>
        <w:spacing w:after="40" w:before="200"/>
      </w:pPr>
      <w:r>
        <w:rPr>
          <w:rFonts w:ascii="Consolas" w:cs="Consolas" w:eastAsia="Consolas" w:hAnsi="Consolas"/>
          <w:b/>
          <w:bCs/>
          <w:color w:val="8A8A78"/>
          <w:sz w:val="16"/>
          <w:szCs w:val="16"/>
        </w:rPr>
        <w:t xml:space="preserve">[B-007]</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&lt;strong&gt;America slipped, but in the middle, not at the top.&lt;/strong&gt; The Ivies are not moving. Harvard, MIT, Stanford, Princeton: same neighbourhood, same decade. Where the United States lost ground is among the mid-tier public flagships, the universities ranked between 200 and 500 that compete on research output rather than reputation.</w:t>
      </w:r>
    </w:p>
    <w:p>
      <w:pPr>
        <w:pStyle w:val="BlockAnchor"/>
        <w:keepNext/>
        <w:spacing w:after="40" w:before="200"/>
      </w:pPr>
      <w:r>
        <w:rPr>
          <w:rFonts w:ascii="Consolas" w:cs="Consolas" w:eastAsia="Consolas" w:hAnsi="Consolas"/>
          <w:b/>
          <w:bCs/>
          <w:color w:val="8A8A78"/>
          <w:sz w:val="16"/>
          <w:szCs w:val="16"/>
        </w:rPr>
        <w:t xml:space="preserve">[B-008]</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&lt;strong&gt;And the rankings themselves changed.&lt;/strong&gt; In 2024, QS and Times Higher Education both rewrote their scoring rules in the same year. That single change produced about three times the rank movement of a normal year. Most of what looks like a 2024 success or failure for an individual university is, in fact, a scoring effect. Read every 2023-to-2024 comparison with that fact in front of you.</w:t>
      </w:r>
    </w:p>
    <w:p>
      <w:pPr>
        <w:pStyle w:val="BlockAnchor"/>
        <w:keepNext/>
        <w:spacing w:after="40" w:before="200"/>
      </w:pPr>
      <w:r>
        <w:rPr>
          <w:rFonts w:ascii="Consolas" w:cs="Consolas" w:eastAsia="Consolas" w:hAnsi="Consolas"/>
          <w:b/>
          <w:bCs/>
          <w:color w:val="8A8A78"/>
          <w:sz w:val="16"/>
          <w:szCs w:val="16"/>
        </w:rPr>
        <w:t xml:space="preserve">[B-009]</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2"/>
          <w:szCs w:val="22"/>
        </w:rPr>
        <w:t xml:space="preserve">Asia doubled its share of the global elite</w:t>
      </w:r>
    </w:p>
    <w:p>
      <w:pPr>
        <w:pStyle w:val="BlockAnchor"/>
        <w:keepNext/>
        <w:spacing w:after="40" w:before="200"/>
      </w:pPr>
      <w:r>
        <w:rPr>
          <w:rFonts w:ascii="Consolas" w:cs="Consolas" w:eastAsia="Consolas" w:hAnsi="Consolas"/>
          <w:b/>
          <w:bCs/>
          <w:color w:val="8A8A78"/>
          <w:sz w:val="16"/>
          <w:szCs w:val="16"/>
        </w:rPr>
        <w:t xml:space="preserve">[B-010]</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From 9% of the Top 100 in 2016 to 20% in 2026. The largest compositional shift of the decade.</w:t>
      </w:r>
    </w:p>
    <w:p>
      <w:pPr>
        <w:pStyle w:val="BlockAnchor"/>
        <w:keepNext/>
        <w:spacing w:after="40" w:before="200"/>
      </w:pPr>
      <w:r>
        <w:rPr>
          <w:rFonts w:ascii="Consolas" w:cs="Consolas" w:eastAsia="Consolas" w:hAnsi="Consolas"/>
          <w:b/>
          <w:bCs/>
          <w:color w:val="8A8A78"/>
          <w:sz w:val="16"/>
          <w:szCs w:val="16"/>
        </w:rPr>
        <w:t xml:space="preserve">[B-011]</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2"/>
          <w:szCs w:val="22"/>
        </w:rPr>
        <w:t xml:space="preserve">Chinese universities in the global Top 100</w:t>
      </w:r>
    </w:p>
    <w:p>
      <w:pPr>
        <w:pStyle w:val="BlockAnchor"/>
        <w:keepNext/>
        <w:spacing w:after="40" w:before="200"/>
      </w:pPr>
      <w:r>
        <w:rPr>
          <w:rFonts w:ascii="Consolas" w:cs="Consolas" w:eastAsia="Consolas" w:hAnsi="Consolas"/>
          <w:b/>
          <w:bCs/>
          <w:color w:val="8A8A78"/>
          <w:sz w:val="16"/>
          <w:szCs w:val="16"/>
        </w:rPr>
        <w:t xml:space="preserve">[B-012]</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Tsinghua, Peking, Fudan, Shanghai Jiao Tong, Zhejiang and USTC are now elite-tier on Times Higher Education.</w:t>
      </w:r>
    </w:p>
    <w:p>
      <w:pPr>
        <w:pStyle w:val="BlockAnchor"/>
        <w:keepNext/>
        <w:spacing w:after="40" w:before="200"/>
      </w:pPr>
      <w:r>
        <w:rPr>
          <w:rFonts w:ascii="Consolas" w:cs="Consolas" w:eastAsia="Consolas" w:hAnsi="Consolas"/>
          <w:b/>
          <w:bCs/>
          <w:color w:val="8A8A78"/>
          <w:sz w:val="16"/>
          <w:szCs w:val="16"/>
        </w:rPr>
        <w:t xml:space="preserve">[B-013]</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2"/>
          <w:szCs w:val="22"/>
        </w:rPr>
        <w:t xml:space="preserve">The US lost ground, but only in the middle</w:t>
      </w:r>
    </w:p>
    <w:p>
      <w:pPr>
        <w:pStyle w:val="BlockAnchor"/>
        <w:keepNext/>
        <w:spacing w:after="40" w:before="200"/>
      </w:pPr>
      <w:r>
        <w:rPr>
          <w:rFonts w:ascii="Consolas" w:cs="Consolas" w:eastAsia="Consolas" w:hAnsi="Consolas"/>
          <w:b/>
          <w:bCs/>
          <w:color w:val="8A8A78"/>
          <w:sz w:val="16"/>
          <w:szCs w:val="16"/>
        </w:rPr>
        <w:t xml:space="preserve">[B-014]</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The US is still the largest single-country cohort in both rankings. Decline is concentrated in mid-tier public flagships, not Ivy-tier privates.</w:t>
      </w:r>
    </w:p>
    <w:p>
      <w:pPr>
        <w:pStyle w:val="BlockAnchor"/>
        <w:keepNext/>
        <w:spacing w:after="40" w:before="200"/>
      </w:pPr>
      <w:r>
        <w:rPr>
          <w:rFonts w:ascii="Consolas" w:cs="Consolas" w:eastAsia="Consolas" w:hAnsi="Consolas"/>
          <w:b/>
          <w:bCs/>
          <w:color w:val="8A8A78"/>
          <w:sz w:val="16"/>
          <w:szCs w:val="16"/>
        </w:rPr>
        <w:t xml:space="preserve">[B-015]</w:t>
      </w:r>
      <w:r>
        <w:rPr>
          <w:rFonts w:ascii="Arial" w:cs="Arial" w:eastAsia="Arial" w:hAnsi="Arial"/>
          <w:color w:val="8A8A78"/>
          <w:sz w:val="16"/>
          <w:szCs w:val="16"/>
        </w:rPr>
        <w:t xml:space="preserve">  KpiStrip › label</w:t>
      </w:r>
    </w:p>
    <w:p>
      <w:pPr>
        <w:pStyle w:val="EditableText"/>
        <w:spacing w:after="100" w:line="300"/>
        <w:ind w:left="120"/>
      </w:pPr>
      <w:r>
        <w:rPr>
          <w:rFonts w:ascii="Georgia" w:cs="Georgia" w:eastAsia="Georgia" w:hAnsi="Georgia"/>
          <w:color w:val="1A1A0A"/>
          <w:sz w:val="22"/>
          <w:szCs w:val="22"/>
        </w:rPr>
        <w:t xml:space="preserve">The top doesn't move; the middle reshuffles</w:t>
      </w:r>
    </w:p>
    <w:p>
      <w:pPr>
        <w:pStyle w:val="BlockAnchor"/>
        <w:keepNext/>
        <w:spacing w:after="40" w:before="200"/>
      </w:pPr>
      <w:r>
        <w:rPr>
          <w:rFonts w:ascii="Consolas" w:cs="Consolas" w:eastAsia="Consolas" w:hAnsi="Consolas"/>
          <w:b/>
          <w:bCs/>
          <w:color w:val="8A8A78"/>
          <w:sz w:val="16"/>
          <w:szCs w:val="16"/>
        </w:rPr>
        <w:t xml:space="preserve">[B-016]</w:t>
      </w:r>
      <w:r>
        <w:rPr>
          <w:rFonts w:ascii="Arial" w:cs="Arial" w:eastAsia="Arial" w:hAnsi="Arial"/>
          <w:color w:val="8A8A78"/>
          <w:sz w:val="16"/>
          <w:szCs w:val="16"/>
        </w:rPr>
        <w:t xml:space="preserve">  KpiStrip › desc</w:t>
      </w:r>
    </w:p>
    <w:p>
      <w:pPr>
        <w:pStyle w:val="EditableText"/>
        <w:spacing w:after="100" w:line="300"/>
        <w:ind w:left="120"/>
      </w:pPr>
      <w:r>
        <w:rPr>
          <w:rFonts w:ascii="Georgia" w:cs="Georgia" w:eastAsia="Georgia" w:hAnsi="Georgia"/>
          <w:color w:val="1A1A0A"/>
          <w:sz w:val="22"/>
          <w:szCs w:val="22"/>
        </w:rPr>
        <w:t xml:space="preserve">A university in the global Top 10 moves about 1 place a year. A university near rank 400 on QS moves about 20. Times Higher Education uses bands below rank 200 rather than precise ranks.</w:t>
      </w:r>
    </w:p>
    <w:p>
      <w:pPr>
        <w:pStyle w:val="BlockAnchor"/>
        <w:keepNext/>
        <w:spacing w:after="40" w:before="200"/>
      </w:pPr>
      <w:r>
        <w:rPr>
          <w:rFonts w:ascii="Consolas" w:cs="Consolas" w:eastAsia="Consolas" w:hAnsi="Consolas"/>
          <w:b/>
          <w:bCs/>
          <w:color w:val="8A8A78"/>
          <w:sz w:val="16"/>
          <w:szCs w:val="16"/>
        </w:rPr>
        <w:t xml:space="preserve">[B-017]</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From 9% in 2016 to 20% in 2026 on the Times Higher Education list. QS shows a smaller shift (20% to 21%), because QS leans more on reputation surveys, and reputation moves slowly. It takes years for the surveys to catch up with what universities are actually doing.</w:t>
      </w:r>
    </w:p>
    <w:p>
      <w:pPr>
        <w:pStyle w:val="BlockAnchor"/>
        <w:keepNext/>
        <w:spacing w:after="40" w:before="200"/>
      </w:pPr>
      <w:r>
        <w:rPr>
          <w:rFonts w:ascii="Consolas" w:cs="Consolas" w:eastAsia="Consolas" w:hAnsi="Consolas"/>
          <w:b/>
          <w:bCs/>
          <w:color w:val="8A8A78"/>
          <w:sz w:val="16"/>
          <w:szCs w:val="16"/>
        </w:rPr>
        <w:t xml:space="preserve">[B-018]</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From 4 institutions in 2016 to 12 in 2026. This is the single biggest source of change in the elite tier of either ranking. The timing lines up with China's Double First-Class programme, announced in 2015 and rolled out with sustained five-year funding cycles from 2017.</w:t>
      </w:r>
    </w:p>
    <w:p>
      <w:pPr>
        <w:pStyle w:val="BlockAnchor"/>
        <w:keepNext/>
        <w:spacing w:after="40" w:before="200"/>
      </w:pPr>
      <w:r>
        <w:rPr>
          <w:rFonts w:ascii="Consolas" w:cs="Consolas" w:eastAsia="Consolas" w:hAnsi="Consolas"/>
          <w:b/>
          <w:bCs/>
          <w:color w:val="8A8A78"/>
          <w:sz w:val="16"/>
          <w:szCs w:val="16"/>
        </w:rPr>
        <w:t xml:space="preserve">[B-019]</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The top doesn't move. The middle does.</w:t>
      </w:r>
    </w:p>
    <w:p>
      <w:pPr>
        <w:pStyle w:val="BlockAnchor"/>
        <w:keepNext/>
        <w:spacing w:after="40" w:before="200"/>
      </w:pPr>
      <w:r>
        <w:rPr>
          <w:rFonts w:ascii="Consolas" w:cs="Consolas" w:eastAsia="Consolas" w:hAnsi="Consolas"/>
          <w:b/>
          <w:bCs/>
          <w:color w:val="8A8A78"/>
          <w:sz w:val="16"/>
          <w:szCs w:val="16"/>
        </w:rPr>
        <w:t xml:space="preserve">[B-020]</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154 universities entered the QS Top 500 across the decade; 126 entered the Times Higher Education Top 500. But the Top 10 barely moves: a typical Top-10 university shifts about one place a year. By the time you get to the bottom of the Top 500, that number is nine on QS and five on Times Higher Education. A reader trying to spot trends should look at who entered or exited the Top 500, not at small year-to-year rank changes.</w:t>
      </w:r>
    </w:p>
    <w:p>
      <w:pPr>
        <w:pStyle w:val="BlockAnchor"/>
        <w:keepNext/>
        <w:spacing w:after="40" w:before="200"/>
      </w:pPr>
      <w:r>
        <w:rPr>
          <w:rFonts w:ascii="Consolas" w:cs="Consolas" w:eastAsia="Consolas" w:hAnsi="Consolas"/>
          <w:b/>
          <w:bCs/>
          <w:color w:val="8A8A78"/>
          <w:sz w:val="16"/>
          <w:szCs w:val="16"/>
        </w:rPr>
        <w:t xml:space="preserve">[B-021]</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In 2024, both publishers rewrote the rules</w:t>
      </w:r>
    </w:p>
    <w:p>
      <w:pPr>
        <w:pStyle w:val="BlockAnchor"/>
        <w:keepNext/>
        <w:spacing w:after="40" w:before="200"/>
      </w:pPr>
      <w:r>
        <w:rPr>
          <w:rFonts w:ascii="Consolas" w:cs="Consolas" w:eastAsia="Consolas" w:hAnsi="Consolas"/>
          <w:b/>
          <w:bCs/>
          <w:color w:val="8A8A78"/>
          <w:sz w:val="16"/>
          <w:szCs w:val="16"/>
        </w:rPr>
        <w:t xml:space="preserve">[B-022]</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Times Higher Education replaced its long-standing Citations score with two new categories (Research Environment and Research Quality). QS added three new factors (Sustainability, Employment Outcomes, International Research Network) and increased the weight of Employer Reputation. Any rank change between 2023 and 2024 should be read as a rule change first, and an institutional change second.</w:t>
      </w:r>
    </w:p>
    <w:p>
      <w:pPr>
        <w:pStyle w:val="BlockAnchor"/>
        <w:keepNext/>
        <w:spacing w:after="40" w:before="200"/>
      </w:pPr>
      <w:r>
        <w:rPr>
          <w:rFonts w:ascii="Consolas" w:cs="Consolas" w:eastAsia="Consolas" w:hAnsi="Consolas"/>
          <w:b/>
          <w:bCs/>
          <w:color w:val="8A8A78"/>
          <w:sz w:val="16"/>
          <w:szCs w:val="16"/>
        </w:rPr>
        <w:t xml:space="preserve">[B-023]</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Countries that fund research see their universities climb</w:t>
      </w:r>
    </w:p>
    <w:p>
      <w:pPr>
        <w:pStyle w:val="BlockAnchor"/>
        <w:keepNext/>
        <w:spacing w:after="40" w:before="200"/>
      </w:pPr>
      <w:r>
        <w:rPr>
          <w:rFonts w:ascii="Consolas" w:cs="Consolas" w:eastAsia="Consolas" w:hAnsi="Consolas"/>
          <w:b/>
          <w:bCs/>
          <w:color w:val="8A8A78"/>
          <w:sz w:val="16"/>
          <w:szCs w:val="16"/>
        </w:rPr>
        <w:t xml:space="preserve">[B-024]</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Where a country spent more of its GDP on research, its universities gained ground on the citation-based parts of the rankings. China and South Korea are the clearest cases. Israel is an outlier: high R&amp;D spend, modest ranking gains. Russia is the only major country whose universities went backwards, consistent with its post-2022 isolation from international research networks.</w:t>
      </w:r>
    </w:p>
    <w:p>
      <w:pPr>
        <w:pStyle w:val="BlockAnchor"/>
        <w:keepNext/>
        <w:spacing w:after="40" w:before="200"/>
      </w:pPr>
      <w:r>
        <w:rPr>
          <w:rFonts w:ascii="Consolas" w:cs="Consolas" w:eastAsia="Consolas" w:hAnsi="Consolas"/>
          <w:b/>
          <w:bCs/>
          <w:color w:val="8A8A78"/>
          <w:sz w:val="16"/>
          <w:szCs w:val="16"/>
        </w:rPr>
        <w:t xml:space="preserve">[B-025]</w:t>
      </w:r>
      <w:r>
        <w:rPr>
          <w:rFonts w:ascii="Arial" w:cs="Arial" w:eastAsia="Arial" w:hAnsi="Arial"/>
          <w:color w:val="8A8A78"/>
          <w:sz w:val="16"/>
          <w:szCs w:val="16"/>
        </w:rPr>
        <w:t xml:space="preserve">  Findings › title</w:t>
      </w:r>
    </w:p>
    <w:p>
      <w:pPr>
        <w:pStyle w:val="EditableText"/>
        <w:spacing w:after="100" w:line="300"/>
        <w:ind w:left="120"/>
      </w:pPr>
      <w:r>
        <w:rPr>
          <w:rFonts w:ascii="Georgia" w:cs="Georgia" w:eastAsia="Georgia" w:hAnsi="Georgia"/>
          <w:color w:val="1A1A0A"/>
          <w:sz w:val="22"/>
          <w:szCs w:val="22"/>
        </w:rPr>
        <w:t xml:space="preserve">QS and THE often disagree by 100 places or more, and that's the system working, not breaking</w:t>
      </w:r>
    </w:p>
    <w:p>
      <w:pPr>
        <w:pStyle w:val="BlockAnchor"/>
        <w:keepNext/>
        <w:spacing w:after="40" w:before="200"/>
      </w:pPr>
      <w:r>
        <w:rPr>
          <w:rFonts w:ascii="Consolas" w:cs="Consolas" w:eastAsia="Consolas" w:hAnsi="Consolas"/>
          <w:b/>
          <w:bCs/>
          <w:color w:val="8A8A78"/>
          <w:sz w:val="16"/>
          <w:szCs w:val="16"/>
        </w:rPr>
        <w:t xml:space="preserve">[B-026]</w:t>
      </w:r>
      <w:r>
        <w:rPr>
          <w:rFonts w:ascii="Arial" w:cs="Arial" w:eastAsia="Arial" w:hAnsi="Arial"/>
          <w:color w:val="8A8A78"/>
          <w:sz w:val="16"/>
          <w:szCs w:val="16"/>
        </w:rPr>
        <w:t xml:space="preserve">  Findings › body</w:t>
      </w:r>
    </w:p>
    <w:p>
      <w:pPr>
        <w:pStyle w:val="EditableText"/>
        <w:spacing w:after="100" w:line="300"/>
        <w:ind w:left="120"/>
      </w:pPr>
      <w:r>
        <w:rPr>
          <w:rFonts w:ascii="Georgia" w:cs="Georgia" w:eastAsia="Georgia" w:hAnsi="Georgia"/>
          <w:color w:val="1A1A0A"/>
          <w:sz w:val="22"/>
          <w:szCs w:val="22"/>
        </w:rPr>
        <w:t xml:space="preserve">For dozens of universities in 2026, the QS rank and the Times Higher Education rank are more than 100 places apart. This is not random noise. QS rewards reputation; THE rewards research output. A university that looks elite on one list and middling on the other isn't being graded inconsistently. The two graders are answering different questions. The right response to a 100-place gap is to look at which factors drove it, not to dismiss either rank.</w:t>
      </w:r>
    </w:p>
    <w:p>
      <w:pPr>
        <w:pStyle w:val="BlockAnchor"/>
        <w:keepNext/>
        <w:spacing w:after="40" w:before="200"/>
      </w:pPr>
      <w:r>
        <w:rPr>
          <w:rFonts w:ascii="Consolas" w:cs="Consolas" w:eastAsia="Consolas" w:hAnsi="Consolas"/>
          <w:b/>
          <w:bCs/>
          <w:color w:val="8A8A78"/>
          <w:sz w:val="16"/>
          <w:szCs w:val="16"/>
        </w:rPr>
        <w:t xml:space="preserve">[B-027]</w:t>
      </w:r>
      <w:r>
        <w:rPr>
          <w:rFonts w:ascii="Arial" w:cs="Arial" w:eastAsia="Arial" w:hAnsi="Arial"/>
          <w:color w:val="8A8A78"/>
          <w:sz w:val="16"/>
          <w:szCs w:val="16"/>
        </w:rPr>
        <w:t xml:space="preserve">  Callout › label</w:t>
      </w:r>
    </w:p>
    <w:p>
      <w:pPr>
        <w:pStyle w:val="EditableText"/>
        <w:spacing w:after="100" w:line="300"/>
        <w:ind w:left="120"/>
      </w:pPr>
      <w:r>
        <w:rPr>
          <w:rFonts w:ascii="Georgia" w:cs="Georgia" w:eastAsia="Georgia" w:hAnsi="Georgia"/>
          <w:color w:val="1A1A0A"/>
          <w:sz w:val="22"/>
          <w:szCs w:val="22"/>
        </w:rPr>
        <w:t xml:space="preserve">You can stop reading here</w:t>
      </w:r>
    </w:p>
    <w:p>
      <w:pPr>
        <w:pStyle w:val="BlockAnchor"/>
        <w:keepNext/>
        <w:spacing w:after="40" w:before="200"/>
      </w:pPr>
      <w:r>
        <w:rPr>
          <w:rFonts w:ascii="Consolas" w:cs="Consolas" w:eastAsia="Consolas" w:hAnsi="Consolas"/>
          <w:b/>
          <w:bCs/>
          <w:color w:val="8A8A78"/>
          <w:sz w:val="16"/>
          <w:szCs w:val="16"/>
        </w:rPr>
        <w:t xml:space="preserve">[B-028]</w:t>
      </w:r>
      <w:r>
        <w:rPr>
          <w:rFonts w:ascii="Arial" w:cs="Arial" w:eastAsia="Arial" w:hAnsi="Arial"/>
          <w:color w:val="8A8A78"/>
          <w:sz w:val="16"/>
          <w:szCs w:val="16"/>
        </w:rPr>
        <w:t xml:space="preserve">  &lt;Callout&gt;</w:t>
      </w:r>
    </w:p>
    <w:p>
      <w:pPr>
        <w:pStyle w:val="EditableText"/>
        <w:spacing w:after="100" w:line="300"/>
        <w:ind w:left="120"/>
      </w:pPr>
      <w:r>
        <w:rPr>
          <w:rFonts w:ascii="Georgia" w:cs="Georgia" w:eastAsia="Georgia" w:hAnsi="Georgia"/>
          <w:color w:val="1A1A0A"/>
          <w:sz w:val="22"/>
          <w:szCs w:val="22"/>
        </w:rPr>
        <w:t xml:space="preserve">Section 01 above (the brief) contains the thesis, the four numbers that prove it, the seven findings, and the four headline charts. A reader pressed for time has enough to brief a board on what the decade did to the rankings and what to do about it. The rest of the article goes deeper: nine short sections follow, on why QS and Times Higher Education disagree (Section 02), where the geography actually moved (03), what changed in 2024 (04), which underlying scores did the work (05), what the decade means for the UAE specifically (06), which universities rose furthest (07), what to do about it (08), where the next five years lead (09), and how the dataset was built (10).</w:t>
      </w:r>
    </w:p>
    <w:p>
      <w:pPr>
        <w:pStyle w:val="BlockAnchor"/>
        <w:keepNext/>
        <w:spacing w:after="40" w:before="200"/>
      </w:pPr>
      <w:r>
        <w:rPr>
          <w:rFonts w:ascii="Consolas" w:cs="Consolas" w:eastAsia="Consolas" w:hAnsi="Consolas"/>
          <w:b/>
          <w:bCs/>
          <w:color w:val="8A8A78"/>
          <w:sz w:val="16"/>
          <w:szCs w:val="16"/>
        </w:rPr>
        <w:t xml:space="preserve">[B-029]</w:t>
      </w:r>
      <w:r>
        <w:rPr>
          <w:rFonts w:ascii="Arial" w:cs="Arial" w:eastAsia="Arial" w:hAnsi="Arial"/>
          <w:color w:val="8A8A78"/>
          <w:sz w:val="16"/>
          <w:szCs w:val="16"/>
        </w:rPr>
        <w:t xml:space="preserve">  SVGStackedArea › label</w:t>
      </w:r>
    </w:p>
    <w:p>
      <w:pPr>
        <w:pStyle w:val="EditableText"/>
        <w:spacing w:after="100" w:line="300"/>
        <w:ind w:left="120"/>
      </w:pPr>
      <w:r>
        <w:rPr>
          <w:rFonts w:ascii="Georgia" w:cs="Georgia" w:eastAsia="Georgia" w:hAnsi="Georgia"/>
          <w:color w:val="1A1A0A"/>
          <w:sz w:val="22"/>
          <w:szCs w:val="22"/>
        </w:rPr>
        <w:t xml:space="preserve">2024 rule change (WUR 3.0 / QS revision)</w:t>
      </w:r>
    </w:p>
    <w:p>
      <w:pPr>
        <w:pStyle w:val="BlockAnchor"/>
        <w:keepNext/>
        <w:spacing w:after="40" w:before="200"/>
      </w:pPr>
      <w:r>
        <w:rPr>
          <w:rFonts w:ascii="Consolas" w:cs="Consolas" w:eastAsia="Consolas" w:hAnsi="Consolas"/>
          <w:b/>
          <w:bCs/>
          <w:color w:val="8A8A78"/>
          <w:sz w:val="16"/>
          <w:szCs w:val="16"/>
        </w:rPr>
        <w:t xml:space="preserve">[B-030]</w:t>
      </w:r>
      <w:r>
        <w:rPr>
          <w:rFonts w:ascii="Arial" w:cs="Arial" w:eastAsia="Arial" w:hAnsi="Arial"/>
          <w:color w:val="8A8A78"/>
          <w:sz w:val="16"/>
          <w:szCs w:val="16"/>
        </w:rPr>
        <w:t xml:space="preserve">  &lt;Handoff&gt;</w:t>
      </w:r>
    </w:p>
    <w:p>
      <w:pPr>
        <w:pStyle w:val="EditableText"/>
        <w:spacing w:after="100" w:line="300"/>
        <w:ind w:left="120"/>
      </w:pPr>
      <w:r>
        <w:rPr>
          <w:rFonts w:ascii="Georgia" w:cs="Georgia" w:eastAsia="Georgia" w:hAnsi="Georgia"/>
          <w:color w:val="1A1A0A"/>
          <w:sz w:val="22"/>
          <w:szCs w:val="22"/>
        </w:rPr>
        <w:t xml:space="preserve">The detailed analysis</w:t>
      </w:r>
    </w:p>
    <w:p>
      <w:pPr>
        <w:pStyle w:val="BlockAnchor"/>
        <w:keepNext/>
        <w:spacing w:after="40" w:before="200"/>
      </w:pPr>
      <w:r>
        <w:rPr>
          <w:rFonts w:ascii="Consolas" w:cs="Consolas" w:eastAsia="Consolas" w:hAnsi="Consolas"/>
          <w:b/>
          <w:bCs/>
          <w:color w:val="8A8A78"/>
          <w:sz w:val="16"/>
          <w:szCs w:val="16"/>
        </w:rPr>
        <w:t xml:space="preserve">[B-031]</w:t>
      </w:r>
      <w:r>
        <w:rPr>
          <w:rFonts w:ascii="Arial" w:cs="Arial" w:eastAsia="Arial" w:hAnsi="Arial"/>
          <w:color w:val="8A8A78"/>
          <w:sz w:val="16"/>
          <w:szCs w:val="16"/>
        </w:rPr>
        <w:t xml:space="preserve">  &lt;FullDivider&gt;</w:t>
      </w:r>
    </w:p>
    <w:p>
      <w:pPr>
        <w:pStyle w:val="EditableText"/>
        <w:spacing w:after="100" w:line="300"/>
        <w:ind w:left="120"/>
      </w:pPr>
      <w:r>
        <w:rPr>
          <w:rFonts w:ascii="Georgia" w:cs="Georgia" w:eastAsia="Georgia" w:hAnsi="Georgia"/>
          <w:color w:val="1A1A0A"/>
          <w:sz w:val="22"/>
          <w:szCs w:val="22"/>
        </w:rPr>
        <w:t xml:space="preserve">The detailed analysis &lt;span style={{ opacity: 0.65, margin: '0 14px' }}&gt;·&lt;/span&gt; Sections 02 through 10</w:t>
      </w:r>
    </w:p>
    <w:p>
      <w:pPr>
        <w:pStyle w:val="Heading2"/>
        <w:pBdr>
          <w:top w:val="single" w:color="3F4818" w:sz="6" w:space="8"/>
        </w:pBdr>
        <w:spacing w:after="160" w:before="400"/>
      </w:pPr>
      <w:r>
        <w:rPr>
          <w:rFonts w:ascii="Arial" w:cs="Arial" w:eastAsia="Arial" w:hAnsi="Arial"/>
          <w:b/>
          <w:bCs/>
          <w:color w:val="3F4818"/>
          <w:sz w:val="21"/>
          <w:szCs w:val="21"/>
        </w:rPr>
        <w:t xml:space="preserve">02 WHY THE SYSTEMS DISAGREE</w:t>
      </w:r>
    </w:p>
    <w:p>
      <w:pPr>
        <w:pStyle w:val="BlockAnchor"/>
        <w:keepNext/>
        <w:spacing w:after="40" w:before="200"/>
      </w:pPr>
      <w:r>
        <w:rPr>
          <w:rFonts w:ascii="Consolas" w:cs="Consolas" w:eastAsia="Consolas" w:hAnsi="Consolas"/>
          <w:b/>
          <w:bCs/>
          <w:color w:val="8A8A78"/>
          <w:sz w:val="16"/>
          <w:szCs w:val="16"/>
        </w:rPr>
        <w:t xml:space="preserve">[B-032]</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QS and THE measure different things. A 100-place gap is usually signal, not noise.</w:t>
      </w:r>
    </w:p>
    <w:p>
      <w:pPr>
        <w:pStyle w:val="BlockAnchor"/>
        <w:keepNext/>
        <w:spacing w:after="40" w:before="200"/>
      </w:pPr>
      <w:r>
        <w:rPr>
          <w:rFonts w:ascii="Consolas" w:cs="Consolas" w:eastAsia="Consolas" w:hAnsi="Consolas"/>
          <w:b/>
          <w:bCs/>
          <w:color w:val="8A8A78"/>
          <w:sz w:val="16"/>
          <w:szCs w:val="16"/>
        </w:rPr>
        <w:t xml:space="preserve">[B-033]</w:t>
      </w:r>
      <w:r>
        <w:rPr>
          <w:rFonts w:ascii="Arial" w:cs="Arial" w:eastAsia="Arial" w:hAnsi="Arial"/>
          <w:color w:val="8A8A78"/>
          <w:sz w:val="16"/>
          <w:szCs w:val="16"/>
        </w:rPr>
        <w:t xml:space="preserve">  PillarGrid › tag</w:t>
      </w:r>
    </w:p>
    <w:p>
      <w:pPr>
        <w:pStyle w:val="EditableText"/>
        <w:spacing w:after="100" w:line="300"/>
        <w:ind w:left="120"/>
      </w:pPr>
      <w:r>
        <w:rPr>
          <w:rFonts w:ascii="Georgia" w:cs="Georgia" w:eastAsia="Georgia" w:hAnsi="Georgia"/>
          <w:color w:val="1A1A0A"/>
          <w:sz w:val="20"/>
          <w:szCs w:val="20"/>
        </w:rPr>
        <w:t xml:space="preserve">QS · 2024 scoring</w:t>
      </w:r>
    </w:p>
    <w:p>
      <w:pPr>
        <w:pStyle w:val="BlockAnchor"/>
        <w:keepNext/>
        <w:spacing w:after="40" w:before="200"/>
      </w:pPr>
      <w:r>
        <w:rPr>
          <w:rFonts w:ascii="Consolas" w:cs="Consolas" w:eastAsia="Consolas" w:hAnsi="Consolas"/>
          <w:b/>
          <w:bCs/>
          <w:color w:val="8A8A78"/>
          <w:sz w:val="16"/>
          <w:szCs w:val="16"/>
        </w:rPr>
        <w:t xml:space="preserve">[B-034]</w:t>
      </w:r>
      <w:r>
        <w:rPr>
          <w:rFonts w:ascii="Arial" w:cs="Arial" w:eastAsia="Arial" w:hAnsi="Arial"/>
          <w:color w:val="8A8A78"/>
          <w:sz w:val="16"/>
          <w:szCs w:val="16"/>
        </w:rPr>
        <w:t xml:space="preserve">  PillarGrid › body</w:t>
      </w:r>
    </w:p>
    <w:p>
      <w:pPr>
        <w:pStyle w:val="EditableText"/>
        <w:spacing w:after="100" w:line="300"/>
        <w:ind w:left="120"/>
      </w:pPr>
      <w:r>
        <w:rPr>
          <w:rFonts w:ascii="Georgia" w:cs="Georgia" w:eastAsia="Georgia" w:hAnsi="Georgia"/>
          <w:color w:val="1A1A0A"/>
          <w:sz w:val="22"/>
          <w:szCs w:val="22"/>
        </w:rPr>
        <w:t xml:space="preserve">QS combines two reputation surveys (45% of the score together), citations per faculty (20%), faculty-to-student ratio (10%), and four newer indicators each at 5%: sustainability, employment outcomes, international research network, and international student diversity.</w:t>
      </w:r>
    </w:p>
    <w:p>
      <w:pPr>
        <w:pStyle w:val="BlockAnchor"/>
        <w:keepNext/>
        <w:spacing w:after="40" w:before="200"/>
      </w:pPr>
      <w:r>
        <w:rPr>
          <w:rFonts w:ascii="Consolas" w:cs="Consolas" w:eastAsia="Consolas" w:hAnsi="Consolas"/>
          <w:b/>
          <w:bCs/>
          <w:color w:val="8A8A78"/>
          <w:sz w:val="16"/>
          <w:szCs w:val="16"/>
        </w:rPr>
        <w:t xml:space="preserve">[B-035]</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&lt;strong&gt;Four things explain almost every rank-gap surprise.&lt;/strong&gt;</w:t>
      </w:r>
    </w:p>
    <w:p>
      <w:pPr>
        <w:pStyle w:val="BlockAnchor"/>
        <w:keepNext/>
        <w:spacing w:after="40" w:before="200"/>
      </w:pPr>
      <w:r>
        <w:rPr>
          <w:rFonts w:ascii="Consolas" w:cs="Consolas" w:eastAsia="Consolas" w:hAnsi="Consolas"/>
          <w:b/>
          <w:bCs/>
          <w:color w:val="8A8A78"/>
          <w:sz w:val="16"/>
          <w:szCs w:val="16"/>
        </w:rPr>
        <w:t xml:space="preserve">[B-036]</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&lt;strong&gt;Reputation lags reality.&lt;/strong&gt; QS asks tens of thousands of academics and employers what they think of universities. Their views update slowly: a university that improved five years ago is still being judged on its older work. A university that slipped five years ago still benefits from its old reputation. The lag runs in both directions, and it is long.</w:t>
      </w:r>
    </w:p>
    <w:p>
      <w:pPr>
        <w:pStyle w:val="BlockAnchor"/>
        <w:keepNext/>
        <w:spacing w:after="40" w:before="200"/>
      </w:pPr>
      <w:r>
        <w:rPr>
          <w:rFonts w:ascii="Consolas" w:cs="Consolas" w:eastAsia="Consolas" w:hAnsi="Consolas"/>
          <w:b/>
          <w:bCs/>
          <w:color w:val="8A8A78"/>
          <w:sz w:val="16"/>
          <w:szCs w:val="16"/>
        </w:rPr>
        <w:t xml:space="preserve">[B-037]</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&lt;strong&gt;Research output moves faster.&lt;/strong&gt; A university that publishes more, and is cited more, climbs the research-output side of the rankings in three to five years. Times Higher Education rewards this more than QS does.</w:t>
      </w:r>
    </w:p>
    <w:p>
      <w:pPr>
        <w:pStyle w:val="BlockAnchor"/>
        <w:keepNext/>
        <w:spacing w:after="40" w:before="200"/>
      </w:pPr>
      <w:r>
        <w:rPr>
          <w:rFonts w:ascii="Consolas" w:cs="Consolas" w:eastAsia="Consolas" w:hAnsi="Consolas"/>
          <w:b/>
          <w:bCs/>
          <w:color w:val="8A8A78"/>
          <w:sz w:val="16"/>
          <w:szCs w:val="16"/>
        </w:rPr>
        <w:t xml:space="preserve">[B-038]</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&lt;strong&gt;The same university sits in two different places, by design.&lt;/strong&gt; A Chinese research university that rose on citation output, like USTC (QS 132, THE 51), typically ranks higher on Times Higher Education. A long-established American university with a deep reputation footprint, like Cornell (QS 16, THE 18), typically ranks higher on QS. Neither ranking is wrong; they are weighing different things.</w:t>
      </w:r>
    </w:p>
    <w:p>
      <w:pPr>
        <w:pStyle w:val="BlockAnchor"/>
        <w:keepNext/>
        <w:spacing w:after="40" w:before="200"/>
      </w:pPr>
      <w:r>
        <w:rPr>
          <w:rFonts w:ascii="Consolas" w:cs="Consolas" w:eastAsia="Consolas" w:hAnsi="Consolas"/>
          <w:b/>
          <w:bCs/>
          <w:color w:val="8A8A78"/>
          <w:sz w:val="16"/>
          <w:szCs w:val="16"/>
        </w:rPr>
        <w:t xml:space="preserve">[B-039]</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&lt;strong&gt;When QS and THE disagree on a university by 100 places or more, the disagreement almost always follows one of these two patterns.&lt;/strong&gt; A university that looks like a star on one list and middling on the other is almost never a fluke. Look at which side of the gap it sits on; that tells you what kind of university it is.</w:t>
      </w:r>
    </w:p>
    <w:p>
      <w:pPr>
        <w:pStyle w:val="BlockAnchor"/>
        <w:keepNext/>
        <w:spacing w:after="40" w:before="200"/>
      </w:pPr>
      <w:r>
        <w:rPr>
          <w:rFonts w:ascii="Consolas" w:cs="Consolas" w:eastAsia="Consolas" w:hAnsi="Consolas"/>
          <w:b/>
          <w:bCs/>
          <w:color w:val="8A8A78"/>
          <w:sz w:val="16"/>
          <w:szCs w:val="16"/>
        </w:rPr>
        <w:t xml:space="preserve">[B-040]</w:t>
      </w:r>
      <w:r>
        <w:rPr>
          <w:rFonts w:ascii="Arial" w:cs="Arial" w:eastAsia="Arial" w:hAnsi="Arial"/>
          <w:color w:val="8A8A78"/>
          <w:sz w:val="16"/>
          <w:szCs w:val="16"/>
        </w:rPr>
        <w:t xml:space="preserve">  Exhibit › source</w:t>
      </w:r>
    </w:p>
    <w:p>
      <w:pPr>
        <w:pStyle w:val="EditableText"/>
        <w:spacing w:after="100" w:line="300"/>
        <w:ind w:left="120"/>
      </w:pPr>
      <w:r>
        <w:rPr>
          <w:rFonts w:ascii="Georgia" w:cs="Georgia" w:eastAsia="Georgia" w:hAnsi="Georgia"/>
          <w:color w:val="1A1A0A"/>
          <w:sz w:val="22"/>
          <w:szCs w:val="22"/>
        </w:rPr>
        <w:t xml:space="preserve">Source: QS World University Rankings 2026; THE World University Rankings 2026; authors’ analysis. Outliers reflect actual divergences identified in 2026 data.</w:t>
      </w:r>
    </w:p>
    <w:p>
      <w:pPr>
        <w:pStyle w:val="BlockAnchor"/>
        <w:keepNext/>
        <w:spacing w:after="40" w:before="200"/>
      </w:pPr>
      <w:r>
        <w:rPr>
          <w:rFonts w:ascii="Consolas" w:cs="Consolas" w:eastAsia="Consolas" w:hAnsi="Consolas"/>
          <w:b/>
          <w:bCs/>
          <w:color w:val="8A8A78"/>
          <w:sz w:val="16"/>
          <w:szCs w:val="16"/>
        </w:rPr>
        <w:t xml:space="preserve">[B-041]</w:t>
      </w:r>
      <w:r>
        <w:rPr>
          <w:rFonts w:ascii="Arial" w:cs="Arial" w:eastAsia="Arial" w:hAnsi="Arial"/>
          <w:color w:val="8A8A78"/>
          <w:sz w:val="16"/>
          <w:szCs w:val="16"/>
        </w:rPr>
        <w:t xml:space="preserve">  &lt;PullQuote&gt;</w:t>
      </w:r>
    </w:p>
    <w:p>
      <w:pPr>
        <w:pStyle w:val="EditableText"/>
        <w:spacing w:after="100" w:line="300"/>
        <w:ind w:left="120"/>
      </w:pPr>
      <w:r>
        <w:rPr>
          <w:rFonts w:ascii="Georgia" w:cs="Georgia" w:eastAsia="Georgia" w:hAnsi="Georgia"/>
          <w:color w:val="1A1A0A"/>
          <w:sz w:val="22"/>
          <w:szCs w:val="22"/>
        </w:rPr>
        <w:t xml:space="preserve">Reading rank movement as a quality signal, independent of how the rankings are scored, is the most common decision-maker error. It rarely tells you anything about the university itself.</w:t>
      </w:r>
    </w:p>
    <w:p>
      <w:pPr>
        <w:pStyle w:val="Heading2"/>
        <w:pBdr>
          <w:top w:val="single" w:color="3F4818" w:sz="6" w:space="8"/>
        </w:pBdr>
        <w:spacing w:after="160" w:before="400"/>
      </w:pPr>
      <w:r>
        <w:rPr>
          <w:rFonts w:ascii="Arial" w:cs="Arial" w:eastAsia="Arial" w:hAnsi="Arial"/>
          <w:b/>
          <w:bCs/>
          <w:color w:val="3F4818"/>
          <w:sz w:val="21"/>
          <w:szCs w:val="21"/>
        </w:rPr>
        <w:t xml:space="preserve">03 THE GLOBAL LANDSCAPE</w:t>
      </w:r>
    </w:p>
    <w:p>
      <w:pPr>
        <w:pStyle w:val="BlockAnchor"/>
        <w:keepNext/>
        <w:spacing w:after="40" w:before="200"/>
      </w:pPr>
      <w:r>
        <w:rPr>
          <w:rFonts w:ascii="Consolas" w:cs="Consolas" w:eastAsia="Consolas" w:hAnsi="Consolas"/>
          <w:b/>
          <w:bCs/>
          <w:color w:val="8A8A78"/>
          <w:sz w:val="16"/>
          <w:szCs w:val="16"/>
        </w:rPr>
        <w:t xml:space="preserve">[B-042]</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One region accounts for almost all the change.</w:t>
      </w:r>
    </w:p>
    <w:p>
      <w:pPr>
        <w:pStyle w:val="BlockAnchor"/>
        <w:keepNext/>
        <w:spacing w:after="40" w:before="200"/>
      </w:pPr>
      <w:r>
        <w:rPr>
          <w:rFonts w:ascii="Consolas" w:cs="Consolas" w:eastAsia="Consolas" w:hAnsi="Consolas"/>
          <w:b/>
          <w:bCs/>
          <w:color w:val="8A8A78"/>
          <w:sz w:val="16"/>
          <w:szCs w:val="16"/>
        </w:rPr>
        <w:t xml:space="preserve">[B-043]</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Greater China is the engine. The Gulf is the second-tier story. The US has slipped at the band where its mid-tier publics live, not at the elite.</w:t>
      </w:r>
    </w:p>
    <w:p>
      <w:pPr>
        <w:pStyle w:val="BlockAnchor"/>
        <w:keepNext/>
        <w:spacing w:after="40" w:before="200"/>
      </w:pPr>
      <w:r>
        <w:rPr>
          <w:rFonts w:ascii="Consolas" w:cs="Consolas" w:eastAsia="Consolas" w:hAnsi="Consolas"/>
          <w:b/>
          <w:bCs/>
          <w:color w:val="8A8A78"/>
          <w:sz w:val="16"/>
          <w:szCs w:val="16"/>
        </w:rPr>
        <w:t xml:space="preserve">[B-044]</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&lt;strong&gt;China added 24 universities to the Times Higher Education Top 500&lt;/strong&gt; across the decade, and tripled its Top 100 cohort from 4 to 12. Six universities account for most of the elite-tier gain: Tsinghua, Peking, Fudan, Shanghai Jiao Tong, Zhejiang, and the University of Science and Technology of China.</w:t>
      </w:r>
    </w:p>
    <w:p>
      <w:pPr>
        <w:pStyle w:val="BlockAnchor"/>
        <w:keepNext/>
        <w:spacing w:after="40" w:before="200"/>
      </w:pPr>
      <w:r>
        <w:rPr>
          <w:rFonts w:ascii="Consolas" w:cs="Consolas" w:eastAsia="Consolas" w:hAnsi="Consolas"/>
          <w:b/>
          <w:bCs/>
          <w:color w:val="8A8A78"/>
          <w:sz w:val="16"/>
          <w:szCs w:val="16"/>
        </w:rPr>
        <w:t xml:space="preserve">[B-045]</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&lt;strong&gt;Saudi Arabia went from one university in the Top 500 to nine.&lt;/strong&gt; Vision 2030 named an explicit target ("at least five institutions in the global Top 200") and turned rank movement into a ministerial KPI. The Top-500 cohort grew accordingly, from one institution to nine, though the Top-200 line has not yet been crossed at scale.</w:t>
      </w:r>
    </w:p>
    <w:p>
      <w:pPr>
        <w:pStyle w:val="BlockAnchor"/>
        <w:keepNext/>
        <w:spacing w:after="40" w:before="200"/>
      </w:pPr>
      <w:r>
        <w:rPr>
          <w:rFonts w:ascii="Consolas" w:cs="Consolas" w:eastAsia="Consolas" w:hAnsi="Consolas"/>
          <w:b/>
          <w:bCs/>
          <w:color w:val="8A8A78"/>
          <w:sz w:val="16"/>
          <w:szCs w:val="16"/>
        </w:rPr>
        <w:t xml:space="preserve">[B-046]</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&lt;strong&gt;The UAE went from zero universities in the Times Higher Education Top 500 to seven.&lt;/strong&gt; The fastest percentage growth of any Gulf country. Khalifa University did most of the work; details in Section 06.</w:t>
      </w:r>
    </w:p>
    <w:p>
      <w:pPr>
        <w:pStyle w:val="BlockAnchor"/>
        <w:keepNext/>
        <w:spacing w:after="40" w:before="200"/>
      </w:pPr>
      <w:r>
        <w:rPr>
          <w:rFonts w:ascii="Consolas" w:cs="Consolas" w:eastAsia="Consolas" w:hAnsi="Consolas"/>
          <w:b/>
          <w:bCs/>
          <w:color w:val="8A8A78"/>
          <w:sz w:val="16"/>
          <w:szCs w:val="16"/>
        </w:rPr>
        <w:t xml:space="preserve">[B-047]</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&lt;strong&gt;The United States is still the largest single-country cohort in both rankings.&lt;/strong&gt; It lost ground, but the lost ground is in the 200-to-500 band, not at the top. Harvard, MIT and Stanford are exactly where they were. Princeton drifted a few places on QS but holds its top-five position on Times Higher Education. The mid-tier public flagships are where the erosion is.</w:t>
      </w:r>
    </w:p>
    <w:p>
      <w:pPr>
        <w:pStyle w:val="BlockAnchor"/>
        <w:keepNext/>
        <w:spacing w:after="40" w:before="200"/>
      </w:pPr>
      <w:r>
        <w:rPr>
          <w:rFonts w:ascii="Consolas" w:cs="Consolas" w:eastAsia="Consolas" w:hAnsi="Consolas"/>
          <w:b/>
          <w:bCs/>
          <w:color w:val="8A8A78"/>
          <w:sz w:val="16"/>
          <w:szCs w:val="16"/>
        </w:rPr>
        <w:t xml:space="preserve">[B-048]</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&lt;strong&gt;One pattern explains most country-level movement: countries that spent more of their GDP on research saw their universities cited more, and more-cited universities climb both rankings.&lt;/strong&gt; China and South Korea are the clearest examples. Israel is an outlier: it spent heavily on research but saw only modest ranking gains, a case worth more analysis than the rankings provide.</w:t>
      </w:r>
    </w:p>
    <w:p>
      <w:pPr>
        <w:pStyle w:val="Heading2"/>
        <w:pBdr>
          <w:top w:val="single" w:color="3F4818" w:sz="6" w:space="8"/>
        </w:pBdr>
        <w:spacing w:after="160" w:before="400"/>
      </w:pPr>
      <w:r>
        <w:rPr>
          <w:rFonts w:ascii="Arial" w:cs="Arial" w:eastAsia="Arial" w:hAnsi="Arial"/>
          <w:b/>
          <w:bCs/>
          <w:color w:val="3F4818"/>
          <w:sz w:val="21"/>
          <w:szCs w:val="21"/>
        </w:rPr>
        <w:t xml:space="preserve">04 THE 2024 BREAK</w:t>
      </w:r>
    </w:p>
    <w:p>
      <w:pPr>
        <w:pStyle w:val="BlockAnchor"/>
        <w:keepNext/>
        <w:spacing w:after="40" w:before="200"/>
      </w:pPr>
      <w:r>
        <w:rPr>
          <w:rFonts w:ascii="Consolas" w:cs="Consolas" w:eastAsia="Consolas" w:hAnsi="Consolas"/>
          <w:b/>
          <w:bCs/>
          <w:color w:val="8A8A78"/>
          <w:sz w:val="16"/>
          <w:szCs w:val="16"/>
        </w:rPr>
        <w:t xml:space="preserve">[B-049]</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The most consequential year of the decade was a rule-change year.</w:t>
      </w:r>
    </w:p>
    <w:p>
      <w:pPr>
        <w:pStyle w:val="BlockAnchor"/>
        <w:keepNext/>
        <w:spacing w:after="40" w:before="200"/>
      </w:pPr>
      <w:r>
        <w:rPr>
          <w:rFonts w:ascii="Consolas" w:cs="Consolas" w:eastAsia="Consolas" w:hAnsi="Consolas"/>
          <w:b/>
          <w:bCs/>
          <w:color w:val="8A8A78"/>
          <w:sz w:val="16"/>
          <w:szCs w:val="16"/>
        </w:rPr>
        <w:t xml:space="preserve">[B-050]</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Both publishers shipped material rewrites for the 2024 edition. The largest single-year movements of the decade are concentrated in the 2023-to-2024 transition.</w:t>
      </w:r>
    </w:p>
    <w:p>
      <w:pPr>
        <w:pStyle w:val="BlockAnchor"/>
        <w:keepNext/>
        <w:spacing w:after="40" w:before="200"/>
      </w:pPr>
      <w:r>
        <w:rPr>
          <w:rFonts w:ascii="Consolas" w:cs="Consolas" w:eastAsia="Consolas" w:hAnsi="Consolas"/>
          <w:b/>
          <w:bCs/>
          <w:color w:val="8A8A78"/>
          <w:sz w:val="16"/>
          <w:szCs w:val="16"/>
        </w:rPr>
        <w:t xml:space="preserve">[B-051]</w:t>
      </w:r>
      <w:r>
        <w:rPr>
          <w:rFonts w:ascii="Arial" w:cs="Arial" w:eastAsia="Arial" w:hAnsi="Arial"/>
          <w:color w:val="8A8A78"/>
          <w:sz w:val="16"/>
          <w:szCs w:val="16"/>
        </w:rPr>
        <w:t xml:space="preserve">  StakeholderGrid › body</w:t>
      </w:r>
    </w:p>
    <w:p>
      <w:pPr>
        <w:pStyle w:val="EditableText"/>
        <w:spacing w:after="100" w:line="300"/>
        <w:ind w:left="120"/>
      </w:pPr>
      <w:r>
        <w:rPr>
          <w:rFonts w:ascii="Georgia" w:cs="Georgia" w:eastAsia="Georgia" w:hAnsi="Georgia"/>
          <w:color w:val="1A1A0A"/>
          <w:sz w:val="22"/>
          <w:szCs w:val="22"/>
        </w:rPr>
        <w:t xml:space="preserve">Research split into Research Environment (29%) and Research Quality (30%). The standalone Citations indicator that had defined THE since 2010 was dropped. Universities whose previous strength was citations now see that score split across two new categories; reordering at the margin was non-trivial.</w:t>
      </w:r>
    </w:p>
    <w:p>
      <w:pPr>
        <w:pStyle w:val="BlockAnchor"/>
        <w:keepNext/>
        <w:spacing w:after="40" w:before="200"/>
      </w:pPr>
      <w:r>
        <w:rPr>
          <w:rFonts w:ascii="Consolas" w:cs="Consolas" w:eastAsia="Consolas" w:hAnsi="Consolas"/>
          <w:b/>
          <w:bCs/>
          <w:color w:val="8A8A78"/>
          <w:sz w:val="16"/>
          <w:szCs w:val="16"/>
        </w:rPr>
        <w:t xml:space="preserve">[B-052]</w:t>
      </w:r>
      <w:r>
        <w:rPr>
          <w:rFonts w:ascii="Arial" w:cs="Arial" w:eastAsia="Arial" w:hAnsi="Arial"/>
          <w:color w:val="8A8A78"/>
          <w:sz w:val="16"/>
          <w:szCs w:val="16"/>
        </w:rPr>
        <w:t xml:space="preserve">  StakeholderGrid › body</w:t>
      </w:r>
    </w:p>
    <w:p>
      <w:pPr>
        <w:pStyle w:val="EditableText"/>
        <w:spacing w:after="100" w:line="300"/>
        <w:ind w:left="120"/>
      </w:pPr>
      <w:r>
        <w:rPr>
          <w:rFonts w:ascii="Georgia" w:cs="Georgia" w:eastAsia="Georgia" w:hAnsi="Georgia"/>
          <w:color w:val="1A1A0A"/>
          <w:sz w:val="22"/>
          <w:szCs w:val="22"/>
        </w:rPr>
        <w:t xml:space="preserve">Three new indicators (Sustainability, Employment Outcomes, International Research Network), each at 5%. Employer Reputation lifted from 10% to 15%. Universities with strong employer reputations benefited. Universities that had been climbing on citations-per-faculty saw less of that gain translate into rank movement.</w:t>
      </w:r>
    </w:p>
    <w:p>
      <w:pPr>
        <w:pStyle w:val="BlockAnchor"/>
        <w:keepNext/>
        <w:spacing w:after="40" w:before="200"/>
      </w:pPr>
      <w:r>
        <w:rPr>
          <w:rFonts w:ascii="Consolas" w:cs="Consolas" w:eastAsia="Consolas" w:hAnsi="Consolas"/>
          <w:b/>
          <w:bCs/>
          <w:color w:val="8A8A78"/>
          <w:sz w:val="16"/>
          <w:szCs w:val="16"/>
        </w:rPr>
        <w:t xml:space="preserve">[B-053]</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Between 2023 and 2024, universities moved on the rankings about three times as much as they did in any other year of the decade. That is too big to come from anything the universities themselves did. Almost all of it is the rule change. &lt;strong&gt;Treat 2024 movement as a rule-change event first, and an institutional event second, or you'll draw the wrong conclusion.&lt;/strong&gt;</w:t>
      </w:r>
    </w:p>
    <w:p>
      <w:pPr>
        <w:pStyle w:val="BlockAnchor"/>
        <w:keepNext/>
        <w:spacing w:after="40" w:before="200"/>
      </w:pPr>
      <w:r>
        <w:rPr>
          <w:rFonts w:ascii="Consolas" w:cs="Consolas" w:eastAsia="Consolas" w:hAnsi="Consolas"/>
          <w:b/>
          <w:bCs/>
          <w:color w:val="8A8A78"/>
          <w:sz w:val="16"/>
          <w:szCs w:val="16"/>
        </w:rPr>
        <w:t xml:space="preserve">[B-054]</w:t>
      </w:r>
      <w:r>
        <w:rPr>
          <w:rFonts w:ascii="Arial" w:cs="Arial" w:eastAsia="Arial" w:hAnsi="Arial"/>
          <w:color w:val="8A8A78"/>
          <w:sz w:val="16"/>
          <w:szCs w:val="16"/>
        </w:rPr>
        <w:t xml:space="preserve">  &lt;PullQuote&gt;</w:t>
      </w:r>
    </w:p>
    <w:p>
      <w:pPr>
        <w:pStyle w:val="EditableText"/>
        <w:spacing w:after="100" w:line="300"/>
        <w:ind w:left="120"/>
      </w:pPr>
      <w:r>
        <w:rPr>
          <w:rFonts w:ascii="Georgia" w:cs="Georgia" w:eastAsia="Georgia" w:hAnsi="Georgia"/>
          <w:color w:val="1A1A0A"/>
          <w:sz w:val="22"/>
          <w:szCs w:val="22"/>
        </w:rPr>
        <w:t xml:space="preserve">Read every 2023-to-2024 rank change as a rule change first, an institutional change second. Read every other year-on-year movement the other way round.</w:t>
      </w:r>
    </w:p>
    <w:p>
      <w:pPr>
        <w:pStyle w:val="Heading2"/>
        <w:pBdr>
          <w:top w:val="single" w:color="3F4818" w:sz="6" w:space="8"/>
        </w:pBdr>
        <w:spacing w:after="160" w:before="400"/>
      </w:pPr>
      <w:r>
        <w:rPr>
          <w:rFonts w:ascii="Arial" w:cs="Arial" w:eastAsia="Arial" w:hAnsi="Arial"/>
          <w:b/>
          <w:bCs/>
          <w:color w:val="3F4818"/>
          <w:sz w:val="21"/>
          <w:szCs w:val="21"/>
        </w:rPr>
        <w:t xml:space="preserve">05 INSIDE THE SCORES</w:t>
      </w:r>
    </w:p>
    <w:p>
      <w:pPr>
        <w:pStyle w:val="BlockAnchor"/>
        <w:keepNext/>
        <w:spacing w:after="40" w:before="200"/>
      </w:pPr>
      <w:r>
        <w:rPr>
          <w:rFonts w:ascii="Consolas" w:cs="Consolas" w:eastAsia="Consolas" w:hAnsi="Consolas"/>
          <w:b/>
          <w:bCs/>
          <w:color w:val="8A8A78"/>
          <w:sz w:val="16"/>
          <w:szCs w:val="16"/>
        </w:rPr>
        <w:t xml:space="preserve">[B-055]</w:t>
      </w:r>
      <w:r>
        <w:rPr>
          <w:rFonts w:ascii="Arial" w:cs="Arial" w:eastAsia="Arial" w:hAnsi="Arial"/>
          <w:color w:val="8A8A78"/>
          <w:sz w:val="16"/>
          <w:szCs w:val="16"/>
        </w:rPr>
        <w:t xml:space="preserve">  SectionHeader › kicker</w:t>
      </w:r>
    </w:p>
    <w:p>
      <w:pPr>
        <w:pStyle w:val="EditableText"/>
        <w:spacing w:after="100" w:line="300"/>
        <w:ind w:left="120"/>
      </w:pPr>
      <w:r>
        <w:rPr>
          <w:rFonts w:ascii="Georgia" w:cs="Georgia" w:eastAsia="Georgia" w:hAnsi="Georgia"/>
          <w:color w:val="1A1A0A"/>
          <w:sz w:val="20"/>
          <w:szCs w:val="20"/>
        </w:rPr>
        <w:t xml:space="preserve">Inside the scores</w:t>
      </w:r>
    </w:p>
    <w:p>
      <w:pPr>
        <w:pStyle w:val="BlockAnchor"/>
        <w:keepNext/>
        <w:spacing w:after="40" w:before="200"/>
      </w:pPr>
      <w:r>
        <w:rPr>
          <w:rFonts w:ascii="Consolas" w:cs="Consolas" w:eastAsia="Consolas" w:hAnsi="Consolas"/>
          <w:b/>
          <w:bCs/>
          <w:color w:val="8A8A78"/>
          <w:sz w:val="16"/>
          <w:szCs w:val="16"/>
        </w:rPr>
        <w:t xml:space="preserve">[B-056]</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overall rank number hides what's actually happening. Inside it sits a set of underlying scores (teaching, research, citations, industry, international outlook) and they move at different speeds in different places. The most important fact in the heatmap below is that the citation-based score is where regions are pulling apart. Everything else is comparatively quiet.</w:t>
      </w:r>
    </w:p>
    <w:p>
      <w:pPr>
        <w:pStyle w:val="BlockAnchor"/>
        <w:keepNext/>
        <w:spacing w:after="40" w:before="200"/>
      </w:pPr>
      <w:r>
        <w:rPr>
          <w:rFonts w:ascii="Consolas" w:cs="Consolas" w:eastAsia="Consolas" w:hAnsi="Consolas"/>
          <w:b/>
          <w:bCs/>
          <w:color w:val="8A8A78"/>
          <w:sz w:val="16"/>
          <w:szCs w:val="16"/>
        </w:rPr>
        <w:t xml:space="preserve">[B-057]</w:t>
      </w:r>
      <w:r>
        <w:rPr>
          <w:rFonts w:ascii="Arial" w:cs="Arial" w:eastAsia="Arial" w:hAnsi="Arial"/>
          <w:color w:val="8A8A78"/>
          <w:sz w:val="16"/>
          <w:szCs w:val="16"/>
        </w:rPr>
        <w:t xml:space="preserve">  Exhibit › title</w:t>
      </w:r>
    </w:p>
    <w:p>
      <w:pPr>
        <w:pStyle w:val="EditableText"/>
        <w:spacing w:after="100" w:line="300"/>
        <w:ind w:left="120"/>
      </w:pPr>
      <w:r>
        <w:rPr>
          <w:rFonts w:ascii="Georgia" w:cs="Georgia" w:eastAsia="Georgia" w:hAnsi="Georgia"/>
          <w:color w:val="1A1A0A"/>
          <w:sz w:val="22"/>
          <w:szCs w:val="22"/>
        </w:rPr>
        <w:t xml:space="preserve">Where the convergence is, and isn't: change in median scores by region.</w:t>
      </w:r>
    </w:p>
    <w:p>
      <w:pPr>
        <w:pStyle w:val="BlockAnchor"/>
        <w:keepNext/>
        <w:spacing w:after="40" w:before="200"/>
      </w:pPr>
      <w:r>
        <w:rPr>
          <w:rFonts w:ascii="Consolas" w:cs="Consolas" w:eastAsia="Consolas" w:hAnsi="Consolas"/>
          <w:b/>
          <w:bCs/>
          <w:color w:val="8A8A78"/>
          <w:sz w:val="16"/>
          <w:szCs w:val="16"/>
        </w:rPr>
        <w:t xml:space="preserve">[B-058]</w:t>
      </w:r>
      <w:r>
        <w:rPr>
          <w:rFonts w:ascii="Arial" w:cs="Arial" w:eastAsia="Arial" w:hAnsi="Arial"/>
          <w:color w:val="8A8A78"/>
          <w:sz w:val="16"/>
          <w:szCs w:val="16"/>
        </w:rPr>
        <w:t xml:space="preserve">  Exhibit › sub</w:t>
      </w:r>
    </w:p>
    <w:p>
      <w:pPr>
        <w:pStyle w:val="EditableText"/>
        <w:spacing w:after="100" w:line="300"/>
        <w:ind w:left="120"/>
      </w:pPr>
      <w:r>
        <w:rPr>
          <w:rFonts w:ascii="Georgia" w:cs="Georgia" w:eastAsia="Georgia" w:hAnsi="Georgia"/>
          <w:color w:val="1A1A0A"/>
          <w:sz w:val="22"/>
          <w:szCs w:val="22"/>
        </w:rPr>
        <w:t xml:space="preserve">Δ median THE scoring-category value, 2016 to 2026, Top 500 institutions. Higher = stronger gain.</w:t>
      </w:r>
    </w:p>
    <w:p>
      <w:pPr>
        <w:pStyle w:val="BlockAnchor"/>
        <w:keepNext/>
        <w:spacing w:after="40" w:before="200"/>
      </w:pPr>
      <w:r>
        <w:rPr>
          <w:rFonts w:ascii="Consolas" w:cs="Consolas" w:eastAsia="Consolas" w:hAnsi="Consolas"/>
          <w:b/>
          <w:bCs/>
          <w:color w:val="8A8A78"/>
          <w:sz w:val="16"/>
          <w:szCs w:val="16"/>
        </w:rPr>
        <w:t xml:space="preserve">[B-059]</w:t>
      </w:r>
      <w:r>
        <w:rPr>
          <w:rFonts w:ascii="Arial" w:cs="Arial" w:eastAsia="Arial" w:hAnsi="Arial"/>
          <w:color w:val="8A8A78"/>
          <w:sz w:val="16"/>
          <w:szCs w:val="16"/>
        </w:rPr>
        <w:t xml:space="preserve">  Exhibit › source</w:t>
      </w:r>
    </w:p>
    <w:p>
      <w:pPr>
        <w:pStyle w:val="EditableText"/>
        <w:spacing w:after="100" w:line="300"/>
        <w:ind w:left="120"/>
      </w:pPr>
      <w:r>
        <w:rPr>
          <w:rFonts w:ascii="Georgia" w:cs="Georgia" w:eastAsia="Georgia" w:hAnsi="Georgia"/>
          <w:color w:val="1A1A0A"/>
          <w:sz w:val="22"/>
          <w:szCs w:val="22"/>
        </w:rPr>
        <w:t xml:space="preserve">Source: Times Higher Education World University Rankings, annual editions 2016 to 2026; authors’ analysis. 2024 onwards Research uses Research Quality (post WUR 3.0); the comparison is conceptual, normalised across the rule change.</w:t>
      </w:r>
    </w:p>
    <w:p>
      <w:pPr>
        <w:pStyle w:val="BlockAnchor"/>
        <w:keepNext/>
        <w:spacing w:after="40" w:before="200"/>
      </w:pPr>
      <w:r>
        <w:rPr>
          <w:rFonts w:ascii="Consolas" w:cs="Consolas" w:eastAsia="Consolas" w:hAnsi="Consolas"/>
          <w:b/>
          <w:bCs/>
          <w:color w:val="8A8A78"/>
          <w:sz w:val="16"/>
          <w:szCs w:val="16"/>
        </w:rPr>
        <w:t xml:space="preserve">[B-060]</w:t>
      </w:r>
      <w:r>
        <w:rPr>
          <w:rFonts w:ascii="Arial" w:cs="Arial" w:eastAsia="Arial" w:hAnsi="Arial"/>
          <w:color w:val="8A8A78"/>
          <w:sz w:val="16"/>
          <w:szCs w:val="16"/>
        </w:rPr>
        <w:t xml:space="preserve">  Heatmap › label</w:t>
      </w:r>
    </w:p>
    <w:p>
      <w:pPr>
        <w:pStyle w:val="EditableText"/>
        <w:spacing w:after="100" w:line="300"/>
        <w:ind w:left="120"/>
      </w:pPr>
      <w:r>
        <w:rPr>
          <w:rFonts w:ascii="Georgia" w:cs="Georgia" w:eastAsia="Georgia" w:hAnsi="Georgia"/>
          <w:color w:val="1A1A0A"/>
          <w:sz w:val="20"/>
          <w:szCs w:val="20"/>
        </w:rPr>
        <w:t xml:space="preserve">Δ scoring-category value</w:t>
      </w:r>
    </w:p>
    <w:p>
      <w:pPr>
        <w:pStyle w:val="BlockAnchor"/>
        <w:keepNext/>
        <w:spacing w:after="40" w:before="200"/>
      </w:pPr>
      <w:r>
        <w:rPr>
          <w:rFonts w:ascii="Consolas" w:cs="Consolas" w:eastAsia="Consolas" w:hAnsi="Consolas"/>
          <w:b/>
          <w:bCs/>
          <w:color w:val="8A8A78"/>
          <w:sz w:val="16"/>
          <w:szCs w:val="16"/>
        </w:rPr>
        <w:t xml:space="preserve">[B-061]</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&lt;strong&gt;Research output is where regions are pulling apart.&lt;/strong&gt; East Asian universities gained 36 points on the median; Gulf universities gained 28; North America gained 4; Western Europe gained 6. Asia is climbing; the West has stopped climbing.</w:t>
      </w:r>
    </w:p>
    <w:p>
      <w:pPr>
        <w:pStyle w:val="BlockAnchor"/>
        <w:keepNext/>
        <w:spacing w:after="40" w:before="200"/>
      </w:pPr>
      <w:r>
        <w:rPr>
          <w:rFonts w:ascii="Consolas" w:cs="Consolas" w:eastAsia="Consolas" w:hAnsi="Consolas"/>
          <w:b/>
          <w:bCs/>
          <w:color w:val="8A8A78"/>
          <w:sz w:val="16"/>
          <w:szCs w:val="16"/>
        </w:rPr>
        <w:t xml:space="preserve">[B-062]</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&lt;strong&gt;Industry collaboration is also drifting east.&lt;/strong&gt; Korean, Chinese and Singaporean universities have spent a decade building dense ties with industry: patents, collaborative research, shared faculty. These take five to ten years to show up in the rankings, and they are showing up now.</w:t>
      </w:r>
    </w:p>
    <w:p>
      <w:pPr>
        <w:pStyle w:val="BlockAnchor"/>
        <w:keepNext/>
        <w:spacing w:after="40" w:before="200"/>
      </w:pPr>
      <w:r>
        <w:rPr>
          <w:rFonts w:ascii="Consolas" w:cs="Consolas" w:eastAsia="Consolas" w:hAnsi="Consolas"/>
          <w:b/>
          <w:bCs/>
          <w:color w:val="8A8A78"/>
          <w:sz w:val="16"/>
          <w:szCs w:val="16"/>
        </w:rPr>
        <w:t xml:space="preserve">[B-063]</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&lt;strong&gt;Teaching scores haven't moved anywhere.&lt;/strong&gt; The teaching score is heavily based on slow-moving reputation surveys. Strategy efforts to improve teaching rarely show up in the rankings within a decade. This is a known limitation of the scoring.</w:t>
      </w:r>
    </w:p>
    <w:p>
      <w:pPr>
        <w:pStyle w:val="BlockAnchor"/>
        <w:keepNext/>
        <w:spacing w:after="40" w:before="200"/>
      </w:pPr>
      <w:r>
        <w:rPr>
          <w:rFonts w:ascii="Consolas" w:cs="Consolas" w:eastAsia="Consolas" w:hAnsi="Consolas"/>
          <w:b/>
          <w:bCs/>
          <w:color w:val="8A8A78"/>
          <w:sz w:val="16"/>
          <w:szCs w:val="16"/>
        </w:rPr>
        <w:t xml:space="preserve">[B-064]</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&lt;strong&gt;International outlook fell almost everywhere, and hasn't recovered.&lt;/strong&gt; The 2020-to-2022 border closures interrupted international student and researcher flows. Australia and Western Europe took the worst of it. The score has improved since 2023 but is not back to 2019 levels.</w:t>
      </w:r>
    </w:p>
    <w:p>
      <w:pPr>
        <w:pStyle w:val="Heading2"/>
        <w:pBdr>
          <w:top w:val="single" w:color="3F4818" w:sz="6" w:space="8"/>
        </w:pBdr>
        <w:spacing w:after="160" w:before="400"/>
      </w:pPr>
      <w:r>
        <w:rPr>
          <w:rFonts w:ascii="Arial" w:cs="Arial" w:eastAsia="Arial" w:hAnsi="Arial"/>
          <w:b/>
          <w:bCs/>
          <w:color w:val="3F4818"/>
          <w:sz w:val="21"/>
          <w:szCs w:val="21"/>
        </w:rPr>
        <w:t xml:space="preserve">06 SPOTLIGHT · UNITED ARAB EMIRATES</w:t>
      </w:r>
    </w:p>
    <w:p>
      <w:pPr>
        <w:pStyle w:val="BlockAnchor"/>
        <w:keepNext/>
        <w:spacing w:after="40" w:before="200"/>
      </w:pPr>
      <w:r>
        <w:rPr>
          <w:rFonts w:ascii="Consolas" w:cs="Consolas" w:eastAsia="Consolas" w:hAnsi="Consolas"/>
          <w:b/>
          <w:bCs/>
          <w:color w:val="8A8A78"/>
          <w:sz w:val="16"/>
          <w:szCs w:val="16"/>
        </w:rPr>
        <w:t xml:space="preserve">[B-065]</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The Gulf is no longer the periphery; it is part of the story.</w:t>
      </w:r>
    </w:p>
    <w:p>
      <w:pPr>
        <w:pStyle w:val="BlockAnchor"/>
        <w:keepNext/>
        <w:spacing w:after="40" w:before="200"/>
      </w:pPr>
      <w:r>
        <w:rPr>
          <w:rFonts w:ascii="Consolas" w:cs="Consolas" w:eastAsia="Consolas" w:hAnsi="Consolas"/>
          <w:b/>
          <w:bCs/>
          <w:color w:val="8A8A78"/>
          <w:sz w:val="16"/>
          <w:szCs w:val="16"/>
        </w:rPr>
        <w:t xml:space="preserve">[B-066]</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The UAE went from &lt;strong&gt;zero institutions in the Times Higher Education Top 500 in 2016 to seven in 2026&lt;/strong&gt;, the fastest percentage growth of any GCC peer. Khalifa University is the flagship that compounded across both rankings. The UAE story is a working test case for the patterns this report describes.</w:t>
      </w:r>
    </w:p>
    <w:p>
      <w:pPr>
        <w:pStyle w:val="BlockAnchor"/>
        <w:keepNext/>
        <w:spacing w:after="40" w:before="200"/>
      </w:pPr>
      <w:r>
        <w:rPr>
          <w:rFonts w:ascii="Consolas" w:cs="Consolas" w:eastAsia="Consolas" w:hAnsi="Consolas"/>
          <w:b/>
          <w:bCs/>
          <w:color w:val="8A8A78"/>
          <w:sz w:val="16"/>
          <w:szCs w:val="16"/>
        </w:rPr>
        <w:t xml:space="preserve">[B-067]</w:t>
      </w:r>
      <w:r>
        <w:rPr>
          <w:rFonts w:ascii="Arial" w:cs="Arial" w:eastAsia="Arial" w:hAnsi="Arial"/>
          <w:color w:val="8A8A78"/>
          <w:sz w:val="16"/>
          <w:szCs w:val="16"/>
        </w:rPr>
        <w:t xml:space="preserve">  UAEFootprint › body</w:t>
      </w:r>
    </w:p>
    <w:p>
      <w:pPr>
        <w:pStyle w:val="EditableText"/>
        <w:spacing w:after="100" w:line="300"/>
        <w:ind w:left="120"/>
      </w:pPr>
      <w:r>
        <w:rPr>
          <w:rFonts w:ascii="Georgia" w:cs="Georgia" w:eastAsia="Georgia" w:hAnsi="Georgia"/>
          <w:color w:val="1A1A0A"/>
          <w:sz w:val="22"/>
          <w:szCs w:val="22"/>
        </w:rPr>
        <w:t xml:space="preserve">UAE in the Times Higher Education Top 500 grew from no institutions in 2016 to seven in 2026 (+7, the fastest growth among GCC peers behind Saudi Arabia's +8). UAE in the QS Top 500 grew from three institutions in 2017 to six in 2026. The trajectory is faster in percentage terms than any named GCC peer.</w:t>
      </w:r>
    </w:p>
    <w:p>
      <w:pPr>
        <w:pStyle w:val="BlockAnchor"/>
        <w:keepNext/>
        <w:spacing w:after="40" w:before="200"/>
      </w:pPr>
      <w:r>
        <w:rPr>
          <w:rFonts w:ascii="Consolas" w:cs="Consolas" w:eastAsia="Consolas" w:hAnsi="Consolas"/>
          <w:b/>
          <w:bCs/>
          <w:color w:val="8A8A78"/>
          <w:sz w:val="16"/>
          <w:szCs w:val="16"/>
        </w:rPr>
        <w:t xml:space="preserve">[B-068]</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Khalifa moved from the QS 401-410 band in 2017 to integer rank 177 in 2026, a roughly 228-place gain and the largest decade-long rise of any Gulf university in either ranking. On Times Higher Education, Khalifa entered the rankings in 2018 in the 301-350 band and now sits in the 201-250 band, just outside the integer-ranked tier.</w:t>
      </w:r>
    </w:p>
    <w:p>
      <w:pPr>
        <w:pStyle w:val="BlockAnchor"/>
        <w:keepNext/>
        <w:spacing w:after="40" w:before="200"/>
      </w:pPr>
      <w:r>
        <w:rPr>
          <w:rFonts w:ascii="Consolas" w:cs="Consolas" w:eastAsia="Consolas" w:hAnsi="Consolas"/>
          <w:b/>
          <w:bCs/>
          <w:color w:val="8A8A78"/>
          <w:sz w:val="16"/>
          <w:szCs w:val="16"/>
        </w:rPr>
        <w:t xml:space="preserve">[B-069]</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The structural explanation is the 2017 consolidation that brought Khalifa University, the Petroleum Institute and the Masdar Institute together into a single research-intensive flagship. The pattern in the underlying scores is what makes the case instructive: &lt;strong&gt;Khalifa's research-output scores moved more than its reputation scores. The gain came from doing more research, not from being better known for it. Reputation will catch up; it always does, slowly.&lt;/strong&gt;</w:t>
      </w:r>
    </w:p>
    <w:p>
      <w:pPr>
        <w:pStyle w:val="BlockAnchor"/>
        <w:keepNext/>
        <w:spacing w:after="40" w:before="200"/>
      </w:pPr>
      <w:r>
        <w:rPr>
          <w:rFonts w:ascii="Consolas" w:cs="Consolas" w:eastAsia="Consolas" w:hAnsi="Consolas"/>
          <w:b/>
          <w:bCs/>
          <w:color w:val="8A8A78"/>
          <w:sz w:val="16"/>
          <w:szCs w:val="16"/>
        </w:rPr>
        <w:t xml:space="preserve">[B-070]</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model is what makes the case worth attention. The UAE merged two specialist institutions, the Petroleum Institute and the Masdar Institute, into Khalifa University, then funded the consolidated flagship as a Vision 2071 priority. This is the Singapore approach (one or two world-class flagships, sustained over decades) at a one-flagship scale.</w:t>
      </w:r>
    </w:p>
    <w:p>
      <w:pPr>
        <w:pStyle w:val="BlockAnchor"/>
        <w:keepNext/>
        <w:spacing w:after="40" w:before="200"/>
      </w:pPr>
      <w:r>
        <w:rPr>
          <w:rFonts w:ascii="Consolas" w:cs="Consolas" w:eastAsia="Consolas" w:hAnsi="Consolas"/>
          <w:b/>
          <w:bCs/>
          <w:color w:val="8A8A78"/>
          <w:sz w:val="16"/>
          <w:szCs w:val="16"/>
        </w:rPr>
        <w:t xml:space="preserve">[B-071]</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Compare the three Gulf strategies. The UAE concentrated investment in one flagship. Saudi Arabia spread investment across a broader base of institutions. Qatar concentrated investment in one historic university with limited consolidation. Each produces different results on different timelines. Khalifa moved faster than the Saudi cohort because it was built on existing research infrastructure; consolidation always compounds faster than spreading. The Saudi cohort grew larger in absolute count because the country was working from a wider starting base. &lt;strong&gt;Both approaches are valid. The choice depends on what timeline a funder is willing to hold.&lt;/strong&gt;</w:t>
      </w:r>
    </w:p>
    <w:p>
      <w:pPr>
        <w:pStyle w:val="BlockAnchor"/>
        <w:keepNext/>
        <w:spacing w:after="40" w:before="200"/>
      </w:pPr>
      <w:r>
        <w:rPr>
          <w:rFonts w:ascii="Consolas" w:cs="Consolas" w:eastAsia="Consolas" w:hAnsi="Consolas"/>
          <w:b/>
          <w:bCs/>
          <w:color w:val="8A8A78"/>
          <w:sz w:val="16"/>
          <w:szCs w:val="16"/>
        </w:rPr>
        <w:t xml:space="preserve">[B-072]</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Six countries, six lessons.</w:t>
      </w:r>
    </w:p>
    <w:p>
      <w:pPr>
        <w:pStyle w:val="BlockAnchor"/>
        <w:keepNext/>
        <w:spacing w:after="40" w:before="200"/>
      </w:pPr>
      <w:r>
        <w:rPr>
          <w:rFonts w:ascii="Consolas" w:cs="Consolas" w:eastAsia="Consolas" w:hAnsi="Consolas"/>
          <w:b/>
          <w:bCs/>
          <w:color w:val="8A8A78"/>
          <w:sz w:val="16"/>
          <w:szCs w:val="16"/>
        </w:rPr>
        <w:t xml:space="preserve">[B-073]</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&lt;strong&gt;Publish a numbered, time-bound 2030 target.&lt;/strong&gt; "Two universities in the global Top 100, eight in the Top 500 by 2030." Report against it annually.</w:t>
      </w:r>
    </w:p>
    <w:p>
      <w:pPr>
        <w:pStyle w:val="BlockAnchor"/>
        <w:keepNext/>
        <w:spacing w:after="40" w:before="200"/>
      </w:pPr>
      <w:r>
        <w:rPr>
          <w:rFonts w:ascii="Consolas" w:cs="Consolas" w:eastAsia="Consolas" w:hAnsi="Consolas"/>
          <w:b/>
          <w:bCs/>
          <w:color w:val="8A8A78"/>
          <w:sz w:val="16"/>
          <w:szCs w:val="16"/>
        </w:rPr>
        <w:t xml:space="preserve">[B-074]</w:t>
      </w:r>
      <w:r>
        <w:rPr>
          <w:rFonts w:ascii="Arial" w:cs="Arial" w:eastAsia="Arial" w:hAnsi="Arial"/>
          <w:color w:val="8A8A78"/>
          <w:sz w:val="16"/>
          <w:szCs w:val="16"/>
        </w:rPr>
        <w:t xml:space="preserve">  StakeholderGrid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&lt;strong&gt;Fund disciplines on 10-year cycles, not three-year budgets.&lt;/strong&gt; Pick three or four fields where the UAE can credibly lead globally.</w:t>
      </w:r>
    </w:p>
    <w:p>
      <w:pPr>
        <w:pStyle w:val="BlockAnchor"/>
        <w:keepNext/>
        <w:spacing w:after="40" w:before="200"/>
      </w:pPr>
      <w:r>
        <w:rPr>
          <w:rFonts w:ascii="Consolas" w:cs="Consolas" w:eastAsia="Consolas" w:hAnsi="Consolas"/>
          <w:b/>
          <w:bCs/>
          <w:color w:val="8A8A78"/>
          <w:sz w:val="16"/>
          <w:szCs w:val="16"/>
        </w:rPr>
        <w:t xml:space="preserve">[B-075]</w:t>
      </w:r>
      <w:r>
        <w:rPr>
          <w:rFonts w:ascii="Arial" w:cs="Arial" w:eastAsia="Arial" w:hAnsi="Arial"/>
          <w:color w:val="8A8A78"/>
          <w:sz w:val="16"/>
          <w:szCs w:val="16"/>
        </w:rPr>
        <w:t xml:space="preserve">  StakeholderGrid › bullet 3</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&lt;strong&gt;Treat the Golden Visa as a citation-score instrument.&lt;/strong&gt; Retained international graduates produce co-authored citations that compound over five to ten years.</w:t>
      </w:r>
    </w:p>
    <w:p>
      <w:pPr>
        <w:pStyle w:val="BlockAnchor"/>
        <w:keepNext/>
        <w:spacing w:after="40" w:before="200"/>
      </w:pPr>
      <w:r>
        <w:rPr>
          <w:rFonts w:ascii="Consolas" w:cs="Consolas" w:eastAsia="Consolas" w:hAnsi="Consolas"/>
          <w:b/>
          <w:bCs/>
          <w:color w:val="8A8A78"/>
          <w:sz w:val="16"/>
          <w:szCs w:val="16"/>
        </w:rPr>
        <w:t xml:space="preserve">[B-076]</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Continue the dual-track: domestic flagships (Khalifa, UAEU, MBZUAI) plus international branch campuses (NYUAD, Sorbonne Abu Dhabi).</w:t>
      </w:r>
    </w:p>
    <w:p>
      <w:pPr>
        <w:pStyle w:val="BlockAnchor"/>
        <w:keepNext/>
        <w:spacing w:after="40" w:before="200"/>
      </w:pPr>
      <w:r>
        <w:rPr>
          <w:rFonts w:ascii="Consolas" w:cs="Consolas" w:eastAsia="Consolas" w:hAnsi="Consolas"/>
          <w:b/>
          <w:bCs/>
          <w:color w:val="8A8A78"/>
          <w:sz w:val="16"/>
          <w:szCs w:val="16"/>
        </w:rPr>
        <w:t xml:space="preserve">[B-077]</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&lt;strong&gt;Concentrate on three scoring categories:&lt;/strong&gt; International Research Network, Citations / Research Quality, and Industry.</w:t>
      </w:r>
    </w:p>
    <w:p>
      <w:pPr>
        <w:pStyle w:val="BlockAnchor"/>
        <w:keepNext/>
        <w:spacing w:after="40" w:before="200"/>
      </w:pPr>
      <w:r>
        <w:rPr>
          <w:rFonts w:ascii="Consolas" w:cs="Consolas" w:eastAsia="Consolas" w:hAnsi="Consolas"/>
          <w:b/>
          <w:bCs/>
          <w:color w:val="8A8A78"/>
          <w:sz w:val="16"/>
          <w:szCs w:val="16"/>
        </w:rPr>
        <w:t xml:space="preserve">[B-078]</w:t>
      </w:r>
      <w:r>
        <w:rPr>
          <w:rFonts w:ascii="Arial" w:cs="Arial" w:eastAsia="Arial" w:hAnsi="Arial"/>
          <w:color w:val="8A8A78"/>
          <w:sz w:val="16"/>
          <w:szCs w:val="16"/>
        </w:rPr>
        <w:t xml:space="preserve">  StakeholderGrid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&lt;strong&gt;Take the 2024 rule changes seriously.&lt;/strong&gt; The underlying scores now matter more than the overall rank.</w:t>
      </w:r>
    </w:p>
    <w:p>
      <w:pPr>
        <w:pStyle w:val="BlockAnchor"/>
        <w:keepNext/>
        <w:spacing w:after="40" w:before="200"/>
      </w:pPr>
      <w:r>
        <w:rPr>
          <w:rFonts w:ascii="Consolas" w:cs="Consolas" w:eastAsia="Consolas" w:hAnsi="Consolas"/>
          <w:b/>
          <w:bCs/>
          <w:color w:val="8A8A78"/>
          <w:sz w:val="16"/>
          <w:szCs w:val="16"/>
        </w:rPr>
        <w:t xml:space="preserve">[B-079]</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The volatility of the Top 200 to 500 band rewards focus on three or four scoring categories more than balanced effort across all of them.</w:t>
      </w:r>
    </w:p>
    <w:p>
      <w:pPr>
        <w:pStyle w:val="BlockAnchor"/>
        <w:keepNext/>
        <w:spacing w:after="40" w:before="200"/>
      </w:pPr>
      <w:r>
        <w:rPr>
          <w:rFonts w:ascii="Consolas" w:cs="Consolas" w:eastAsia="Consolas" w:hAnsi="Consolas"/>
          <w:b/>
          <w:bCs/>
          <w:color w:val="8A8A78"/>
          <w:sz w:val="16"/>
          <w:szCs w:val="16"/>
        </w:rPr>
        <w:t xml:space="preserve">[B-080]</w:t>
      </w:r>
      <w:r>
        <w:rPr>
          <w:rFonts w:ascii="Arial" w:cs="Arial" w:eastAsia="Arial" w:hAnsi="Arial"/>
          <w:color w:val="8A8A78"/>
          <w:sz w:val="16"/>
          <w:szCs w:val="16"/>
        </w:rPr>
        <w:t xml:space="preserve">  StakeholderGrid › bullet 4</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&lt;strong&gt;Build co-authorship density.&lt;/strong&gt; It is the indicator most resistant to policy and rule shocks, and the cheapest to scale.</w:t>
      </w:r>
    </w:p>
    <w:p>
      <w:pPr>
        <w:pStyle w:val="BlockAnchor"/>
        <w:keepNext/>
        <w:spacing w:after="40" w:before="200"/>
      </w:pPr>
      <w:r>
        <w:rPr>
          <w:rFonts w:ascii="Consolas" w:cs="Consolas" w:eastAsia="Consolas" w:hAnsi="Consolas"/>
          <w:b/>
          <w:bCs/>
          <w:color w:val="8A8A78"/>
          <w:sz w:val="16"/>
          <w:szCs w:val="16"/>
        </w:rPr>
        <w:t xml:space="preserve">[B-081]</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&lt;strong&gt;Use branch campuses as international-score accelerators&lt;/strong&gt;, not as standalone Top-500 entrants.</w:t>
      </w:r>
    </w:p>
    <w:p>
      <w:pPr>
        <w:pStyle w:val="BlockAnchor"/>
        <w:keepNext/>
        <w:spacing w:after="40" w:before="200"/>
      </w:pPr>
      <w:r>
        <w:rPr>
          <w:rFonts w:ascii="Consolas" w:cs="Consolas" w:eastAsia="Consolas" w:hAnsi="Consolas"/>
          <w:b/>
          <w:bCs/>
          <w:color w:val="8A8A78"/>
          <w:sz w:val="16"/>
          <w:szCs w:val="16"/>
        </w:rPr>
        <w:t xml:space="preserve">[B-082]</w:t>
      </w:r>
      <w:r>
        <w:rPr>
          <w:rFonts w:ascii="Arial" w:cs="Arial" w:eastAsia="Arial" w:hAnsi="Arial"/>
          <w:color w:val="8A8A78"/>
          <w:sz w:val="16"/>
          <w:szCs w:val="16"/>
        </w:rPr>
        <w:t xml:space="preserve">  StakeholderGrid › bullet 2</w:t>
      </w:r>
    </w:p>
    <w:p>
      <w:pPr>
        <w:pStyle w:val="EditableText"/>
        <w:spacing w:after="100" w:line="300"/>
        <w:ind w:left="120"/>
      </w:pPr>
      <w:r>
        <w:rPr>
          <w:rFonts w:ascii="Georgia" w:cs="Georgia" w:eastAsia="Georgia" w:hAnsi="Georgia"/>
          <w:color w:val="1A1A0A"/>
          <w:sz w:val="22"/>
          <w:szCs w:val="22"/>
        </w:rPr>
        <w:t xml:space="preserve">NYU's score profile (top-quartile International Research Network and International Outlook) is what NYUAD inherits and adds back to UAE national-system statistics.</w:t>
      </w:r>
    </w:p>
    <w:p>
      <w:pPr>
        <w:pStyle w:val="BlockAnchor"/>
        <w:keepNext/>
        <w:spacing w:after="40" w:before="200"/>
      </w:pPr>
      <w:r>
        <w:rPr>
          <w:rFonts w:ascii="Consolas" w:cs="Consolas" w:eastAsia="Consolas" w:hAnsi="Consolas"/>
          <w:b/>
          <w:bCs/>
          <w:color w:val="8A8A78"/>
          <w:sz w:val="16"/>
          <w:szCs w:val="16"/>
        </w:rPr>
        <w:t xml:space="preserve">[B-083]</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Branch campuses add national-level scoring value through co-authorship and visiting-faculty networks, even when not separately ranked.</w:t>
      </w:r>
    </w:p>
    <w:p>
      <w:pPr>
        <w:pStyle w:val="BlockAnchor"/>
        <w:keepNext/>
        <w:spacing w:after="40" w:before="200"/>
      </w:pPr>
      <w:r>
        <w:rPr>
          <w:rFonts w:ascii="Consolas" w:cs="Consolas" w:eastAsia="Consolas" w:hAnsi="Consolas"/>
          <w:b/>
          <w:bCs/>
          <w:color w:val="8A8A78"/>
          <w:sz w:val="16"/>
          <w:szCs w:val="16"/>
        </w:rPr>
        <w:t xml:space="preserve">[B-084]</w:t>
      </w:r>
      <w:r>
        <w:rPr>
          <w:rFonts w:ascii="Arial" w:cs="Arial" w:eastAsia="Arial" w:hAnsi="Arial"/>
          <w:color w:val="8A8A78"/>
          <w:sz w:val="16"/>
          <w:szCs w:val="16"/>
        </w:rPr>
        <w:t xml:space="preserve">  StakeholderGrid › bullet 4</w:t>
      </w:r>
    </w:p>
    <w:p>
      <w:pPr>
        <w:pStyle w:val="EditableText"/>
        <w:spacing w:after="100" w:line="300"/>
        <w:ind w:left="120"/>
      </w:pPr>
      <w:r>
        <w:rPr>
          <w:rFonts w:ascii="Georgia" w:cs="Georgia" w:eastAsia="Georgia" w:hAnsi="Georgia"/>
          <w:color w:val="1A1A0A"/>
          <w:sz w:val="22"/>
          <w:szCs w:val="22"/>
        </w:rPr>
        <w:t xml:space="preserve">Evaluate each branch campus on the indicators it uniquely strengthens.</w:t>
      </w:r>
    </w:p>
    <w:p>
      <w:pPr>
        <w:pStyle w:val="BlockAnchor"/>
        <w:keepNext/>
        <w:spacing w:after="40" w:before="200"/>
      </w:pPr>
      <w:r>
        <w:rPr>
          <w:rFonts w:ascii="Consolas" w:cs="Consolas" w:eastAsia="Consolas" w:hAnsi="Consolas"/>
          <w:b/>
          <w:bCs/>
          <w:color w:val="8A8A78"/>
          <w:sz w:val="16"/>
          <w:szCs w:val="16"/>
        </w:rPr>
        <w:t xml:space="preserve">[B-085]</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&lt;strong&gt;Fund the scoring categories, not the banner rank.&lt;/strong&gt; Rank movement is the lagging output, not the leading input.</w:t>
      </w:r>
    </w:p>
    <w:p>
      <w:pPr>
        <w:pStyle w:val="BlockAnchor"/>
        <w:keepNext/>
        <w:spacing w:after="40" w:before="200"/>
      </w:pPr>
      <w:r>
        <w:rPr>
          <w:rFonts w:ascii="Consolas" w:cs="Consolas" w:eastAsia="Consolas" w:hAnsi="Consolas"/>
          <w:b/>
          <w:bCs/>
          <w:color w:val="8A8A78"/>
          <w:sz w:val="16"/>
          <w:szCs w:val="16"/>
        </w:rPr>
        <w:t xml:space="preserve">[B-086]</w:t>
      </w:r>
      <w:r>
        <w:rPr>
          <w:rFonts w:ascii="Arial" w:cs="Arial" w:eastAsia="Arial" w:hAnsi="Arial"/>
          <w:color w:val="8A8A78"/>
          <w:sz w:val="16"/>
          <w:szCs w:val="16"/>
        </w:rPr>
        <w:t xml:space="preserve">  StakeholderGrid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&lt;strong&gt;Pick the timeline before the model.&lt;/strong&gt; Greenfield (KAUST, MBZUAI) buys decades to compound; acceleration (Double First-Class, Khalifa post-merger) compounds in five to seven years.</w:t>
      </w:r>
    </w:p>
    <w:p>
      <w:pPr>
        <w:pStyle w:val="BlockAnchor"/>
        <w:keepNext/>
        <w:spacing w:after="40" w:before="200"/>
      </w:pPr>
      <w:r>
        <w:rPr>
          <w:rFonts w:ascii="Consolas" w:cs="Consolas" w:eastAsia="Consolas" w:hAnsi="Consolas"/>
          <w:b/>
          <w:bCs/>
          <w:color w:val="8A8A78"/>
          <w:sz w:val="16"/>
          <w:szCs w:val="16"/>
        </w:rPr>
        <w:t xml:space="preserve">[B-087]</w:t>
      </w:r>
      <w:r>
        <w:rPr>
          <w:rFonts w:ascii="Arial" w:cs="Arial" w:eastAsia="Arial" w:hAnsi="Arial"/>
          <w:color w:val="8A8A78"/>
          <w:sz w:val="16"/>
          <w:szCs w:val="16"/>
        </w:rPr>
        <w:t xml:space="preserve">  StakeholderGrid › bullet 3</w:t>
      </w:r>
    </w:p>
    <w:p>
      <w:pPr>
        <w:pStyle w:val="EditableText"/>
        <w:spacing w:after="100" w:line="300"/>
        <w:ind w:left="120"/>
      </w:pPr>
      <w:r>
        <w:rPr>
          <w:rFonts w:ascii="Georgia" w:cs="Georgia" w:eastAsia="Georgia" w:hAnsi="Georgia"/>
          <w:color w:val="1A1A0A"/>
          <w:sz w:val="22"/>
          <w:szCs w:val="22"/>
        </w:rPr>
        <w:t xml:space="preserve">Most rankings investment shows up five to seven years after deployment. Hold for the cycle.</w:t>
      </w:r>
    </w:p>
    <w:p>
      <w:pPr>
        <w:pStyle w:val="BlockAnchor"/>
        <w:keepNext/>
        <w:spacing w:after="40" w:before="200"/>
      </w:pPr>
      <w:r>
        <w:rPr>
          <w:rFonts w:ascii="Consolas" w:cs="Consolas" w:eastAsia="Consolas" w:hAnsi="Consolas"/>
          <w:b/>
          <w:bCs/>
          <w:color w:val="8A8A78"/>
          <w:sz w:val="16"/>
          <w:szCs w:val="16"/>
        </w:rPr>
        <w:t xml:space="preserve">[B-088]</w:t>
      </w:r>
      <w:r>
        <w:rPr>
          <w:rFonts w:ascii="Arial" w:cs="Arial" w:eastAsia="Arial" w:hAnsi="Arial"/>
          <w:color w:val="8A8A78"/>
          <w:sz w:val="16"/>
          <w:szCs w:val="16"/>
        </w:rPr>
        <w:t xml:space="preserve">  StakeholderGrid › bullet 4</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&lt;strong&gt;Mid-cycle reorganisation resets the lag clock.&lt;/strong&gt; Political patience is the cheapest input and the rarest.</w:t>
      </w:r>
    </w:p>
    <w:p>
      <w:pPr>
        <w:pStyle w:val="Heading2"/>
        <w:pBdr>
          <w:top w:val="single" w:color="3F4818" w:sz="6" w:space="8"/>
        </w:pBdr>
        <w:spacing w:after="160" w:before="400"/>
      </w:pPr>
      <w:r>
        <w:rPr>
          <w:rFonts w:ascii="Arial" w:cs="Arial" w:eastAsia="Arial" w:hAnsi="Arial"/>
          <w:b/>
          <w:bCs/>
          <w:color w:val="3F4818"/>
          <w:sz w:val="21"/>
          <w:szCs w:val="21"/>
        </w:rPr>
        <w:t xml:space="preserve">07 MOVERS AND SHAKERS</w:t>
      </w:r>
    </w:p>
    <w:p>
      <w:pPr>
        <w:pStyle w:val="BlockAnchor"/>
        <w:keepNext/>
        <w:spacing w:after="40" w:before="200"/>
      </w:pPr>
      <w:r>
        <w:rPr>
          <w:rFonts w:ascii="Consolas" w:cs="Consolas" w:eastAsia="Consolas" w:hAnsi="Consolas"/>
          <w:b/>
          <w:bCs/>
          <w:color w:val="8A8A78"/>
          <w:sz w:val="16"/>
          <w:szCs w:val="16"/>
        </w:rPr>
        <w:t xml:space="preserve">[B-089]</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The narrative is not 'Asia rose.' It is 'specific Asian institutions in specific funding programmes rose.'</w:t>
      </w:r>
    </w:p>
    <w:p>
      <w:pPr>
        <w:pStyle w:val="BlockAnchor"/>
        <w:keepNext/>
        <w:spacing w:after="40" w:before="200"/>
      </w:pPr>
      <w:r>
        <w:rPr>
          <w:rFonts w:ascii="Consolas" w:cs="Consolas" w:eastAsia="Consolas" w:hAnsi="Consolas"/>
          <w:b/>
          <w:bCs/>
          <w:color w:val="8A8A78"/>
          <w:sz w:val="16"/>
          <w:szCs w:val="16"/>
        </w:rPr>
        <w:t xml:space="preserve">[B-090]</w:t>
      </w:r>
      <w:r>
        <w:rPr>
          <w:rFonts w:ascii="Arial" w:cs="Arial" w:eastAsia="Arial" w:hAnsi="Arial"/>
          <w:color w:val="8A8A78"/>
          <w:sz w:val="16"/>
          <w:szCs w:val="16"/>
        </w:rPr>
        <w:t xml:space="preserve">  Exhibit › sub</w:t>
      </w:r>
    </w:p>
    <w:p>
      <w:pPr>
        <w:pStyle w:val="EditableText"/>
        <w:spacing w:after="100" w:line="300"/>
        <w:ind w:left="120"/>
      </w:pPr>
      <w:r>
        <w:rPr>
          <w:rFonts w:ascii="Georgia" w:cs="Georgia" w:eastAsia="Georgia" w:hAnsi="Georgia"/>
          <w:color w:val="1A1A0A"/>
          <w:sz w:val="22"/>
          <w:szCs w:val="22"/>
        </w:rPr>
        <w:t xml:space="preserve">Click any line, click a university's name on the right, or pick from the menu to highlight a trajectory; the others fade. The 2024 vertical hairline marks the WUR 3.0 rule change.</w:t>
      </w:r>
    </w:p>
    <w:p>
      <w:pPr>
        <w:pStyle w:val="BlockAnchor"/>
        <w:keepNext/>
        <w:spacing w:after="40" w:before="200"/>
      </w:pPr>
      <w:r>
        <w:rPr>
          <w:rFonts w:ascii="Consolas" w:cs="Consolas" w:eastAsia="Consolas" w:hAnsi="Consolas"/>
          <w:b/>
          <w:bCs/>
          <w:color w:val="8A8A78"/>
          <w:sz w:val="16"/>
          <w:szCs w:val="16"/>
        </w:rPr>
        <w:t xml:space="preserve">[B-091]</w:t>
      </w:r>
      <w:r>
        <w:rPr>
          <w:rFonts w:ascii="Arial" w:cs="Arial" w:eastAsia="Arial" w:hAnsi="Arial"/>
          <w:color w:val="8A8A78"/>
          <w:sz w:val="16"/>
          <w:szCs w:val="16"/>
        </w:rPr>
        <w:t xml:space="preserve">  Exhibit › source</w:t>
      </w:r>
    </w:p>
    <w:p>
      <w:pPr>
        <w:pStyle w:val="EditableText"/>
        <w:spacing w:after="100" w:line="300"/>
        <w:ind w:left="120"/>
      </w:pPr>
      <w:r>
        <w:rPr>
          <w:rFonts w:ascii="Georgia" w:cs="Georgia" w:eastAsia="Georgia" w:hAnsi="Georgia"/>
          <w:color w:val="1A1A0A"/>
          <w:sz w:val="22"/>
          <w:szCs w:val="22"/>
        </w:rPr>
        <w:t xml:space="preserve">Source: Times Higher Education World University Rankings, annual editions 2016 to 2026; authors’ analysis. Cohort = the Times Higher Education Top 20 in 2016, tracked through every subsequent year.</w:t>
      </w:r>
    </w:p>
    <w:p>
      <w:pPr>
        <w:pStyle w:val="BlockAnchor"/>
        <w:keepNext/>
        <w:spacing w:after="40" w:before="200"/>
      </w:pPr>
      <w:r>
        <w:rPr>
          <w:rFonts w:ascii="Consolas" w:cs="Consolas" w:eastAsia="Consolas" w:hAnsi="Consolas"/>
          <w:b/>
          <w:bCs/>
          <w:color w:val="8A8A78"/>
          <w:sz w:val="16"/>
          <w:szCs w:val="16"/>
        </w:rPr>
        <w:t xml:space="preserve">[B-092]</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list of biggest risers is, in effect, a list of national funding programmes. Five of the top ten are mainland Chinese universities funded under the Double First-Class scheme. Two more are Hong Kong universities (Hong Kong Polytechnic and the Chinese University of Hong Kong) compounding on a separate funding base. Two are Korean universities (Yonsei and KAIST) funded by Brain Korea 21, which has been running since 1999. The remaining one is Berlin's Charité, funded by Germany's Excellence Strategy.</w:t>
      </w:r>
    </w:p>
    <w:p>
      <w:pPr>
        <w:pStyle w:val="BlockAnchor"/>
        <w:keepNext/>
        <w:spacing w:after="40" w:before="200"/>
      </w:pPr>
      <w:r>
        <w:rPr>
          <w:rFonts w:ascii="Consolas" w:cs="Consolas" w:eastAsia="Consolas" w:hAnsi="Consolas"/>
          <w:b/>
          <w:bCs/>
          <w:color w:val="8A8A78"/>
          <w:sz w:val="16"/>
          <w:szCs w:val="16"/>
        </w:rPr>
        <w:t xml:space="preserve">[B-093]</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&lt;strong&gt;One pattern holds across the entire risers list: universities that climbed are universities whose governments committed to sustained research funding, and the climb showed up five to seven years after the funding started.&lt;/strong&gt; No country has produced a riser without that commitment. No university has produced a riser without that funding.</w:t>
      </w:r>
    </w:p>
    <w:p>
      <w:pPr>
        <w:pStyle w:val="Heading2"/>
        <w:pBdr>
          <w:top w:val="single" w:color="3F4818" w:sz="6" w:space="8"/>
        </w:pBdr>
        <w:spacing w:after="160" w:before="400"/>
      </w:pPr>
      <w:r>
        <w:rPr>
          <w:rFonts w:ascii="Arial" w:cs="Arial" w:eastAsia="Arial" w:hAnsi="Arial"/>
          <w:b/>
          <w:bCs/>
          <w:color w:val="3F4818"/>
          <w:sz w:val="21"/>
          <w:szCs w:val="21"/>
        </w:rPr>
        <w:t xml:space="preserve">08 IMPLICATIONS</w:t>
      </w:r>
    </w:p>
    <w:p>
      <w:pPr>
        <w:pStyle w:val="BlockAnchor"/>
        <w:keepNext/>
        <w:spacing w:after="40" w:before="200"/>
      </w:pPr>
      <w:r>
        <w:rPr>
          <w:rFonts w:ascii="Consolas" w:cs="Consolas" w:eastAsia="Consolas" w:hAnsi="Consolas"/>
          <w:b/>
          <w:bCs/>
          <w:color w:val="8A8A78"/>
          <w:sz w:val="16"/>
          <w:szCs w:val="16"/>
        </w:rPr>
        <w:t xml:space="preserve">[B-094]</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same dataset reads differently depending on the chair you sit in. What the decade should change for each major stakeholder.</w:t>
      </w:r>
    </w:p>
    <w:p>
      <w:pPr>
        <w:pStyle w:val="BlockAnchor"/>
        <w:keepNext/>
        <w:spacing w:after="40" w:before="200"/>
      </w:pPr>
      <w:r>
        <w:rPr>
          <w:rFonts w:ascii="Consolas" w:cs="Consolas" w:eastAsia="Consolas" w:hAnsi="Consolas"/>
          <w:b/>
          <w:bCs/>
          <w:color w:val="8A8A78"/>
          <w:sz w:val="16"/>
          <w:szCs w:val="16"/>
        </w:rPr>
        <w:t xml:space="preserve">[B-095]</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&lt;strong&gt;Decide what you want from rankings before you fund for them.&lt;/strong&gt; Rankings reward research quality, internationalisation and employment outcomes. They do not measure teaching quality, social mobility, or regional impact. Funding the rankings is a choice to fund the things they measure.</w:t>
      </w:r>
    </w:p>
    <w:p>
      <w:pPr>
        <w:pStyle w:val="BlockAnchor"/>
        <w:keepNext/>
        <w:spacing w:after="40" w:before="200"/>
      </w:pPr>
      <w:r>
        <w:rPr>
          <w:rFonts w:ascii="Consolas" w:cs="Consolas" w:eastAsia="Consolas" w:hAnsi="Consolas"/>
          <w:b/>
          <w:bCs/>
          <w:color w:val="8A8A78"/>
          <w:sz w:val="16"/>
          <w:szCs w:val="16"/>
        </w:rPr>
        <w:t xml:space="preserve">[B-096]</w:t>
      </w:r>
      <w:r>
        <w:rPr>
          <w:rFonts w:ascii="Arial" w:cs="Arial" w:eastAsia="Arial" w:hAnsi="Arial"/>
          <w:color w:val="8A8A78"/>
          <w:sz w:val="16"/>
          <w:szCs w:val="16"/>
        </w:rPr>
        <w:t xml:space="preserve">  StakeholderGrid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&lt;strong&gt;Set a numbered, time-bound target.&lt;/strong&gt; Saudi Arabia did this. The UAE has not formally. "At least five institutions in the Top 200 by 2030" is the kind of target that focuses ministerial effort and creates accountability.</w:t>
      </w:r>
    </w:p>
    <w:p>
      <w:pPr>
        <w:pStyle w:val="BlockAnchor"/>
        <w:keepNext/>
        <w:spacing w:after="40" w:before="200"/>
      </w:pPr>
      <w:r>
        <w:rPr>
          <w:rFonts w:ascii="Consolas" w:cs="Consolas" w:eastAsia="Consolas" w:hAnsi="Consolas"/>
          <w:b/>
          <w:bCs/>
          <w:color w:val="8A8A78"/>
          <w:sz w:val="16"/>
          <w:szCs w:val="16"/>
        </w:rPr>
        <w:t xml:space="preserve">[B-097]</w:t>
      </w:r>
      <w:r>
        <w:rPr>
          <w:rFonts w:ascii="Arial" w:cs="Arial" w:eastAsia="Arial" w:hAnsi="Arial"/>
          <w:color w:val="8A8A78"/>
          <w:sz w:val="16"/>
          <w:szCs w:val="16"/>
        </w:rPr>
        <w:t xml:space="preserve">  StakeholderGrid › bullet 3</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&lt;strong&gt;Treat international-student visa policy as research policy.&lt;/strong&gt; International graduates who stay co-author papers that compound into citation scores over five to ten years. The UAE Golden Visa, the UK Graduate Route, the German Blue Card and the Singapore TechPass are all, in effect, citation-score instruments.</w:t>
      </w:r>
    </w:p>
    <w:p>
      <w:pPr>
        <w:pStyle w:val="BlockAnchor"/>
        <w:keepNext/>
        <w:spacing w:after="40" w:before="200"/>
      </w:pPr>
      <w:r>
        <w:rPr>
          <w:rFonts w:ascii="Consolas" w:cs="Consolas" w:eastAsia="Consolas" w:hAnsi="Consolas"/>
          <w:b/>
          <w:bCs/>
          <w:color w:val="8A8A78"/>
          <w:sz w:val="16"/>
          <w:szCs w:val="16"/>
        </w:rPr>
        <w:t xml:space="preserve">[B-098]</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&lt;strong&gt;Pick a tier and play that game.&lt;/strong&gt; Top-50 and Top-200 are different competitions. Top-50 requires sustained research funding, international faculty, and a citation density that takes a decade to build. Top-200 is reachable through focused, sustained effort on three or four scoring categories, but only those three or four. Trying to be balanced everywhere is the most reliable way to move nowhere.</w:t>
      </w:r>
    </w:p>
    <w:p>
      <w:pPr>
        <w:pStyle w:val="BlockAnchor"/>
        <w:keepNext/>
        <w:spacing w:after="40" w:before="200"/>
      </w:pPr>
      <w:r>
        <w:rPr>
          <w:rFonts w:ascii="Consolas" w:cs="Consolas" w:eastAsia="Consolas" w:hAnsi="Consolas"/>
          <w:b/>
          <w:bCs/>
          <w:color w:val="8A8A78"/>
          <w:sz w:val="16"/>
          <w:szCs w:val="16"/>
        </w:rPr>
        <w:t xml:space="preserve">[B-099]</w:t>
      </w:r>
      <w:r>
        <w:rPr>
          <w:rFonts w:ascii="Arial" w:cs="Arial" w:eastAsia="Arial" w:hAnsi="Arial"/>
          <w:color w:val="8A8A78"/>
          <w:sz w:val="16"/>
          <w:szCs w:val="16"/>
        </w:rPr>
        <w:t xml:space="preserve">  StakeholderGrid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&lt;strong&gt;After the 2024 rule change, look under the hood.&lt;/strong&gt; The overall rank number hides what's actually moving. A university's research-output score, industry score, and international-outlook score will each tell you more about its real trajectory than its rank will.</w:t>
      </w:r>
    </w:p>
    <w:p>
      <w:pPr>
        <w:pStyle w:val="BlockAnchor"/>
        <w:keepNext/>
        <w:spacing w:after="40" w:before="200"/>
      </w:pPr>
      <w:r>
        <w:rPr>
          <w:rFonts w:ascii="Consolas" w:cs="Consolas" w:eastAsia="Consolas" w:hAnsi="Consolas"/>
          <w:b/>
          <w:bCs/>
          <w:color w:val="8A8A78"/>
          <w:sz w:val="16"/>
          <w:szCs w:val="16"/>
        </w:rPr>
        <w:t xml:space="preserve">[B-100]</w:t>
      </w:r>
      <w:r>
        <w:rPr>
          <w:rFonts w:ascii="Arial" w:cs="Arial" w:eastAsia="Arial" w:hAnsi="Arial"/>
          <w:color w:val="8A8A78"/>
          <w:sz w:val="16"/>
          <w:szCs w:val="16"/>
        </w:rPr>
        <w:t xml:space="preserve">  StakeholderGrid › bullet 3</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&lt;strong&gt;Build co-authorship volume, deliberately.&lt;/strong&gt; Co-authored papers feed into the research-output score and are the cheapest indicator to scale. They are also the most resistant to rule changes, which means they keep paying off even when the next rule rewrite arrives.</w:t>
      </w:r>
    </w:p>
    <w:p>
      <w:pPr>
        <w:pStyle w:val="BlockAnchor"/>
        <w:keepNext/>
        <w:spacing w:after="40" w:before="200"/>
      </w:pPr>
      <w:r>
        <w:rPr>
          <w:rFonts w:ascii="Consolas" w:cs="Consolas" w:eastAsia="Consolas" w:hAnsi="Consolas"/>
          <w:b/>
          <w:bCs/>
          <w:color w:val="8A8A78"/>
          <w:sz w:val="16"/>
          <w:szCs w:val="16"/>
        </w:rPr>
        <w:t xml:space="preserve">[B-101]</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&lt;strong&gt;Decide on a timeline before you decide on a model.&lt;/strong&gt; Building a new university from nothing (KAUST, MBZUAI) takes more than 15 years to produce Top-200 standing. Funding an existing university harder (China's Double First-Class, Khalifa after the 2017 merger) shows up in five to seven years. Both work. The difference is how long the cheque has to stay open.</w:t>
      </w:r>
    </w:p>
    <w:p>
      <w:pPr>
        <w:pStyle w:val="BlockAnchor"/>
        <w:keepNext/>
        <w:spacing w:after="40" w:before="200"/>
      </w:pPr>
      <w:r>
        <w:rPr>
          <w:rFonts w:ascii="Consolas" w:cs="Consolas" w:eastAsia="Consolas" w:hAnsi="Consolas"/>
          <w:b/>
          <w:bCs/>
          <w:color w:val="8A8A78"/>
          <w:sz w:val="16"/>
          <w:szCs w:val="16"/>
        </w:rPr>
        <w:t xml:space="preserve">[B-102]</w:t>
      </w:r>
      <w:r>
        <w:rPr>
          <w:rFonts w:ascii="Arial" w:cs="Arial" w:eastAsia="Arial" w:hAnsi="Arial"/>
          <w:color w:val="8A8A78"/>
          <w:sz w:val="16"/>
          <w:szCs w:val="16"/>
        </w:rPr>
        <w:t xml:space="preserve">  StakeholderGrid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&lt;strong&gt;Fund what the rankings actually reward.&lt;/strong&gt; Research output, citations, international research networks, employment outcomes. Names on buildings and headline university ranks are the lagging output, not the input. The input is the underlying score the university gets on each measure.</w:t>
      </w:r>
    </w:p>
    <w:p>
      <w:pPr>
        <w:pStyle w:val="BlockAnchor"/>
        <w:keepNext/>
        <w:spacing w:after="40" w:before="200"/>
      </w:pPr>
      <w:r>
        <w:rPr>
          <w:rFonts w:ascii="Consolas" w:cs="Consolas" w:eastAsia="Consolas" w:hAnsi="Consolas"/>
          <w:b/>
          <w:bCs/>
          <w:color w:val="8A8A78"/>
          <w:sz w:val="16"/>
          <w:szCs w:val="16"/>
        </w:rPr>
        <w:t xml:space="preserve">[B-103]</w:t>
      </w:r>
      <w:r>
        <w:rPr>
          <w:rFonts w:ascii="Arial" w:cs="Arial" w:eastAsia="Arial" w:hAnsi="Arial"/>
          <w:color w:val="8A8A78"/>
          <w:sz w:val="16"/>
          <w:szCs w:val="16"/>
        </w:rPr>
        <w:t xml:space="preserve">  StakeholderGrid › bullet 3</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&lt;strong&gt;Don't reorganise mid-cycle.&lt;/strong&gt; The single most common mistake in this domain is a new minister or a new board changing strategy after three years. The lag from investment to ranking is five to seven years minimum. Patient capital is the only kind that works.</w:t>
      </w:r>
    </w:p>
    <w:p>
      <w:pPr>
        <w:pStyle w:val="BlockAnchor"/>
        <w:keepNext/>
        <w:spacing w:after="40" w:before="200"/>
      </w:pPr>
      <w:r>
        <w:rPr>
          <w:rFonts w:ascii="Consolas" w:cs="Consolas" w:eastAsia="Consolas" w:hAnsi="Consolas"/>
          <w:b/>
          <w:bCs/>
          <w:color w:val="8A8A78"/>
          <w:sz w:val="16"/>
          <w:szCs w:val="16"/>
        </w:rPr>
        <w:t xml:space="preserve">[B-104]</w:t>
      </w:r>
      <w:r>
        <w:rPr>
          <w:rFonts w:ascii="Arial" w:cs="Arial" w:eastAsia="Arial" w:hAnsi="Arial"/>
          <w:color w:val="8A8A78"/>
          <w:sz w:val="16"/>
          <w:szCs w:val="16"/>
        </w:rPr>
        <w:t xml:space="preserve">  StakeholderGrid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&lt;strong&gt;Look at the underlying scores, not just the overall rank.&lt;/strong&gt; The rank number is the least informative part of either ranking. The teaching, research, citations, and international-outlook scores beneath it are what tell you what a university is actually like.</w:t>
      </w:r>
    </w:p>
    <w:p>
      <w:pPr>
        <w:pStyle w:val="BlockAnchor"/>
        <w:keepNext/>
        <w:spacing w:after="40" w:before="200"/>
      </w:pPr>
      <w:r>
        <w:rPr>
          <w:rFonts w:ascii="Consolas" w:cs="Consolas" w:eastAsia="Consolas" w:hAnsi="Consolas"/>
          <w:b/>
          <w:bCs/>
          <w:color w:val="8A8A78"/>
          <w:sz w:val="16"/>
          <w:szCs w:val="16"/>
        </w:rPr>
        <w:t xml:space="preserve">[B-105]</w:t>
      </w:r>
      <w:r>
        <w:rPr>
          <w:rFonts w:ascii="Arial" w:cs="Arial" w:eastAsia="Arial" w:hAnsi="Arial"/>
          <w:color w:val="8A8A78"/>
          <w:sz w:val="16"/>
          <w:szCs w:val="16"/>
        </w:rPr>
        <w:t xml:space="preserve">  StakeholderGrid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&lt;strong&gt;Read both QS and Times Higher Education.&lt;/strong&gt; Either alone gives you half the picture. The two are designed to answer different questions, and the comparison between them is more useful than either rank in isolation.</w:t>
      </w:r>
    </w:p>
    <w:p>
      <w:pPr>
        <w:pStyle w:val="BlockAnchor"/>
        <w:keepNext/>
        <w:spacing w:after="40" w:before="200"/>
      </w:pPr>
      <w:r>
        <w:rPr>
          <w:rFonts w:ascii="Consolas" w:cs="Consolas" w:eastAsia="Consolas" w:hAnsi="Consolas"/>
          <w:b/>
          <w:bCs/>
          <w:color w:val="8A8A78"/>
          <w:sz w:val="16"/>
          <w:szCs w:val="16"/>
        </w:rPr>
        <w:t xml:space="preserve">[B-106]</w:t>
      </w:r>
      <w:r>
        <w:rPr>
          <w:rFonts w:ascii="Arial" w:cs="Arial" w:eastAsia="Arial" w:hAnsi="Arial"/>
          <w:color w:val="8A8A78"/>
          <w:sz w:val="16"/>
          <w:szCs w:val="16"/>
        </w:rPr>
        <w:t xml:space="preserve">  StakeholderGrid › bullet 3</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&lt;strong&gt;A 50-place gap between the two systems is normal. A 100-place gap is a signal.&lt;/strong&gt; It usually means the university is strong in one area and weaker in another; understand which before committing to three or four years of your life there.</w:t>
      </w:r>
    </w:p>
    <w:p>
      <w:pPr>
        <w:pStyle w:val="BlockAnchor"/>
        <w:keepNext/>
        <w:spacing w:after="40" w:before="200"/>
      </w:pPr>
      <w:r>
        <w:rPr>
          <w:rFonts w:ascii="Consolas" w:cs="Consolas" w:eastAsia="Consolas" w:hAnsi="Consolas"/>
          <w:b/>
          <w:bCs/>
          <w:color w:val="8A8A78"/>
          <w:sz w:val="16"/>
          <w:szCs w:val="16"/>
        </w:rPr>
        <w:t xml:space="preserve">[B-107]</w:t>
      </w:r>
      <w:r>
        <w:rPr>
          <w:rFonts w:ascii="Arial" w:cs="Arial" w:eastAsia="Arial" w:hAnsi="Arial"/>
          <w:color w:val="8A8A78"/>
          <w:sz w:val="16"/>
          <w:szCs w:val="16"/>
        </w:rPr>
        <w:t xml:space="preserve">  StakeholderGrid › bullet 4</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&lt;strong&gt;For most career questions, programme-level rankings are more useful than institutional rankings.&lt;/strong&gt; A top-30 university with a middling computer science programme is not the same as a top-30 computer science programme.</w:t>
      </w:r>
    </w:p>
    <w:p>
      <w:pPr>
        <w:pStyle w:val="BlockAnchor"/>
        <w:keepNext/>
        <w:spacing w:after="40" w:before="200"/>
      </w:pPr>
      <w:r>
        <w:rPr>
          <w:rFonts w:ascii="Consolas" w:cs="Consolas" w:eastAsia="Consolas" w:hAnsi="Consolas"/>
          <w:b/>
          <w:bCs/>
          <w:color w:val="8A8A78"/>
          <w:sz w:val="16"/>
          <w:szCs w:val="16"/>
        </w:rPr>
        <w:t xml:space="preserve">[B-108]</w:t>
      </w:r>
      <w:r>
        <w:rPr>
          <w:rFonts w:ascii="Arial" w:cs="Arial" w:eastAsia="Arial" w:hAnsi="Arial"/>
          <w:color w:val="8A8A78"/>
          <w:sz w:val="16"/>
          <w:szCs w:val="16"/>
        </w:rPr>
        <w:t xml:space="preserve">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&lt;strong&gt;The QS "Employer Reputation" score is not a hiring guide.&lt;/strong&gt; It tells you which universities are widely visible to employers: that's brand awareness, not graduate quality.</w:t>
      </w:r>
    </w:p>
    <w:p>
      <w:pPr>
        <w:pStyle w:val="BlockAnchor"/>
        <w:keepNext/>
        <w:spacing w:after="40" w:before="200"/>
      </w:pPr>
      <w:r>
        <w:rPr>
          <w:rFonts w:ascii="Consolas" w:cs="Consolas" w:eastAsia="Consolas" w:hAnsi="Consolas"/>
          <w:b/>
          <w:bCs/>
          <w:color w:val="8A8A78"/>
          <w:sz w:val="16"/>
          <w:szCs w:val="16"/>
        </w:rPr>
        <w:t xml:space="preserve">[B-109]</w:t>
      </w:r>
      <w:r>
        <w:rPr>
          <w:rFonts w:ascii="Arial" w:cs="Arial" w:eastAsia="Arial" w:hAnsi="Arial"/>
          <w:color w:val="8A8A78"/>
          <w:sz w:val="16"/>
          <w:szCs w:val="16"/>
        </w:rPr>
        <w:t xml:space="preserve">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&lt;strong&gt;Use the rankings to track where talent pools are forming, not to pick individual candidates.&lt;/strong&gt; The rise of Asian and Gulf universities is real and durable. A company that is still allocating most of its university-relations spend to North America and Western Europe is using a map of 2010, not 2026.</w:t>
      </w:r>
    </w:p>
    <w:p>
      <w:pPr>
        <w:pStyle w:val="BlockAnchor"/>
        <w:keepNext/>
        <w:spacing w:after="40" w:before="200"/>
      </w:pPr>
      <w:r>
        <w:rPr>
          <w:rFonts w:ascii="Consolas" w:cs="Consolas" w:eastAsia="Consolas" w:hAnsi="Consolas"/>
          <w:b/>
          <w:bCs/>
          <w:color w:val="8A8A78"/>
          <w:sz w:val="16"/>
          <w:szCs w:val="16"/>
        </w:rPr>
        <w:t xml:space="preserve">[B-110]</w:t>
      </w:r>
      <w:r>
        <w:rPr>
          <w:rFonts w:ascii="Arial" w:cs="Arial" w:eastAsia="Arial" w:hAnsi="Arial"/>
          <w:color w:val="8A8A78"/>
          <w:sz w:val="16"/>
          <w:szCs w:val="16"/>
        </w:rPr>
        <w:t xml:space="preserve">   › bullet 3</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&lt;strong&gt;The lead time is real.&lt;/strong&gt; Today's graduates were chosen by today's students for the rankings of three to five years ago. Companies hiring on a five-year horizon should be calibrating against where universities will be, not where they were when their oldest staff joined.</w:t>
      </w:r>
    </w:p>
    <w:p>
      <w:pPr>
        <w:pStyle w:val="BlockAnchor"/>
        <w:keepNext/>
        <w:spacing w:after="40" w:before="200"/>
      </w:pPr>
      <w:r>
        <w:rPr>
          <w:rFonts w:ascii="Consolas" w:cs="Consolas" w:eastAsia="Consolas" w:hAnsi="Consolas"/>
          <w:b/>
          <w:bCs/>
          <w:color w:val="8A8A78"/>
          <w:sz w:val="16"/>
          <w:szCs w:val="16"/>
        </w:rPr>
        <w:t xml:space="preserve">[B-111]</w:t>
      </w:r>
      <w:r>
        <w:rPr>
          <w:rFonts w:ascii="Arial" w:cs="Arial" w:eastAsia="Arial" w:hAnsi="Arial"/>
          <w:color w:val="8A8A78"/>
          <w:sz w:val="16"/>
          <w:szCs w:val="16"/>
        </w:rPr>
        <w:t xml:space="preserve">   › bullet 1</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&lt;strong&gt;Citations compound faster than reputation surveys move.&lt;/strong&gt; A researcher who builds a citation footprint will see it reflected in the rankings well before a reputation effort would.</w:t>
      </w:r>
    </w:p>
    <w:p>
      <w:pPr>
        <w:pStyle w:val="BlockAnchor"/>
        <w:keepNext/>
        <w:spacing w:after="40" w:before="200"/>
      </w:pPr>
      <w:r>
        <w:rPr>
          <w:rFonts w:ascii="Consolas" w:cs="Consolas" w:eastAsia="Consolas" w:hAnsi="Consolas"/>
          <w:b/>
          <w:bCs/>
          <w:color w:val="8A8A78"/>
          <w:sz w:val="16"/>
          <w:szCs w:val="16"/>
        </w:rPr>
        <w:t xml:space="preserve">[B-112]</w:t>
      </w:r>
      <w:r>
        <w:rPr>
          <w:rFonts w:ascii="Arial" w:cs="Arial" w:eastAsia="Arial" w:hAnsi="Arial"/>
          <w:color w:val="8A8A78"/>
          <w:sz w:val="16"/>
          <w:szCs w:val="16"/>
        </w:rPr>
        <w:t xml:space="preserve">   › bullet 2</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&lt;strong&gt;Where you publish, and who you co-author with, are ranking decisions.&lt;/strong&gt; Co-authorship density is one of the cheapest and most durable ways to move an institution's scores.</w:t>
      </w:r>
    </w:p>
    <w:p>
      <w:pPr>
        <w:pStyle w:val="BlockAnchor"/>
        <w:keepNext/>
        <w:spacing w:after="40" w:before="200"/>
      </w:pPr>
      <w:r>
        <w:rPr>
          <w:rFonts w:ascii="Consolas" w:cs="Consolas" w:eastAsia="Consolas" w:hAnsi="Consolas"/>
          <w:b/>
          <w:bCs/>
          <w:color w:val="8A8A78"/>
          <w:sz w:val="16"/>
          <w:szCs w:val="16"/>
        </w:rPr>
        <w:t xml:space="preserve">[B-113]</w:t>
      </w:r>
      <w:r>
        <w:rPr>
          <w:rFonts w:ascii="Arial" w:cs="Arial" w:eastAsia="Arial" w:hAnsi="Arial"/>
          <w:color w:val="8A8A78"/>
          <w:sz w:val="16"/>
          <w:szCs w:val="16"/>
        </w:rPr>
        <w:t xml:space="preserve">   › bullet 3</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&lt;strong&gt;The 2024 split of Times Higher Education's research category changes what gets rewarded.&lt;/strong&gt; Pure citation volume no longer maps cleanly to a single score. Look at how your institution's scores break down before deciding where to invest your own effort.</w:t>
      </w:r>
    </w:p>
    <w:p>
      <w:pPr>
        <w:pStyle w:val="BlockAnchor"/>
        <w:keepNext/>
        <w:spacing w:after="40" w:before="200"/>
      </w:pPr>
      <w:r>
        <w:rPr>
          <w:rFonts w:ascii="Consolas" w:cs="Consolas" w:eastAsia="Consolas" w:hAnsi="Consolas"/>
          <w:b/>
          <w:bCs/>
          <w:color w:val="8A8A78"/>
          <w:sz w:val="16"/>
          <w:szCs w:val="16"/>
        </w:rPr>
        <w:t xml:space="preserve">[B-114]</w:t>
      </w:r>
      <w:r>
        <w:rPr>
          <w:rFonts w:ascii="Arial" w:cs="Arial" w:eastAsia="Arial" w:hAnsi="Arial"/>
          <w:color w:val="8A8A78"/>
          <w:sz w:val="16"/>
          <w:szCs w:val="16"/>
        </w:rPr>
        <w:t xml:space="preserve">   › bullet 4</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&lt;strong&gt;Know your institution's profile before optimising your own.&lt;/strong&gt; If your university scores weakly on international research networks, an internationally co-authored paper is worth more to its rank than a comparably-strong domestic one.</w:t>
      </w:r>
    </w:p>
    <w:p>
      <w:pPr>
        <w:pStyle w:val="Heading2"/>
        <w:pBdr>
          <w:top w:val="single" w:color="3F4818" w:sz="6" w:space="8"/>
        </w:pBdr>
        <w:spacing w:after="160" w:before="400"/>
      </w:pPr>
      <w:r>
        <w:rPr>
          <w:rFonts w:ascii="Arial" w:cs="Arial" w:eastAsia="Arial" w:hAnsi="Arial"/>
          <w:b/>
          <w:bCs/>
          <w:color w:val="3F4818"/>
          <w:sz w:val="21"/>
          <w:szCs w:val="21"/>
        </w:rPr>
        <w:t xml:space="preserve">09 OUTLOOK TO 2030</w:t>
      </w:r>
    </w:p>
    <w:p>
      <w:pPr>
        <w:pStyle w:val="BlockAnchor"/>
        <w:keepNext/>
        <w:spacing w:after="40" w:before="200"/>
      </w:pPr>
      <w:r>
        <w:rPr>
          <w:rFonts w:ascii="Consolas" w:cs="Consolas" w:eastAsia="Consolas" w:hAnsi="Consolas"/>
          <w:b/>
          <w:bCs/>
          <w:color w:val="8A8A78"/>
          <w:sz w:val="16"/>
          <w:szCs w:val="16"/>
        </w:rPr>
        <w:t xml:space="preserve">[B-115]</w:t>
      </w:r>
      <w:r>
        <w:rPr>
          <w:rFonts w:ascii="Arial" w:cs="Arial" w:eastAsia="Arial" w:hAnsi="Arial"/>
          <w:color w:val="8A8A78"/>
          <w:sz w:val="16"/>
          <w:szCs w:val="16"/>
        </w:rPr>
        <w:t xml:space="preserve">  SectionHeader › title</w:t>
      </w:r>
    </w:p>
    <w:p>
      <w:pPr>
        <w:pStyle w:val="EditableText"/>
        <w:spacing w:after="100" w:line="300"/>
        <w:ind w:left="120"/>
      </w:pPr>
      <w:r>
        <w:rPr>
          <w:rFonts w:ascii="Georgia" w:cs="Georgia" w:eastAsia="Georgia" w:hAnsi="Georgia"/>
          <w:color w:val="1A1A0A"/>
          <w:sz w:val="22"/>
          <w:szCs w:val="22"/>
        </w:rPr>
        <w:t xml:space="preserve">Three forces will reshape the league tables before 2030.</w:t>
      </w:r>
    </w:p>
    <w:p>
      <w:pPr>
        <w:pStyle w:val="BlockAnchor"/>
        <w:keepNext/>
        <w:spacing w:after="40" w:before="200"/>
      </w:pPr>
      <w:r>
        <w:rPr>
          <w:rFonts w:ascii="Consolas" w:cs="Consolas" w:eastAsia="Consolas" w:hAnsi="Consolas"/>
          <w:b/>
          <w:bCs/>
          <w:color w:val="8A8A78"/>
          <w:sz w:val="16"/>
          <w:szCs w:val="16"/>
        </w:rPr>
        <w:t xml:space="preserve">[B-116]</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decade's clearest lesson is that rankings move slowest at the very top, fastest at the bottom of the Top 500, and most discontinuously when the publishers change their rules. The next five years will be shaped by three forces, none of them in the universities' direct control.</w:t>
      </w:r>
    </w:p>
    <w:p>
      <w:pPr>
        <w:pStyle w:val="BlockAnchor"/>
        <w:keepNext/>
        <w:spacing w:after="40" w:before="200"/>
      </w:pPr>
      <w:r>
        <w:rPr>
          <w:rFonts w:ascii="Consolas" w:cs="Consolas" w:eastAsia="Consolas" w:hAnsi="Consolas"/>
          <w:b/>
          <w:bCs/>
          <w:color w:val="8A8A78"/>
          <w:sz w:val="16"/>
          <w:szCs w:val="16"/>
        </w:rPr>
        <w:t xml:space="preserve">[B-117]</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AI-augmented research is the single largest variable.</w:t>
      </w:r>
    </w:p>
    <w:p>
      <w:pPr>
        <w:pStyle w:val="BlockAnchor"/>
        <w:keepNext/>
        <w:spacing w:after="40" w:before="200"/>
      </w:pPr>
      <w:r>
        <w:rPr>
          <w:rFonts w:ascii="Consolas" w:cs="Consolas" w:eastAsia="Consolas" w:hAnsi="Consolas"/>
          <w:b/>
          <w:bCs/>
          <w:color w:val="8A8A78"/>
          <w:sz w:val="16"/>
          <w:szCs w:val="16"/>
        </w:rPr>
        <w:t xml:space="preserve">[B-118]</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Universities that institutionalise AI tools in their research operations (for literature review, hypothesis generation, experimental design, and analysis) will see their citation scores compound faster than universities that do not. The differential will not be uniform. It will favour large, integrated research universities with the data infrastructure to operationalise AI at scale, and it will work against smaller specialist institutions that lack the supporting systems. Expect a sharper separation between the global Top 30 and the rest of the Top 100 by 2030.</w:t>
      </w:r>
    </w:p>
    <w:p>
      <w:pPr>
        <w:pStyle w:val="BlockAnchor"/>
        <w:keepNext/>
        <w:spacing w:after="40" w:before="200"/>
      </w:pPr>
      <w:r>
        <w:rPr>
          <w:rFonts w:ascii="Consolas" w:cs="Consolas" w:eastAsia="Consolas" w:hAnsi="Consolas"/>
          <w:b/>
          <w:bCs/>
          <w:color w:val="8A8A78"/>
          <w:sz w:val="16"/>
          <w:szCs w:val="16"/>
        </w:rPr>
        <w:t xml:space="preserve">[B-119]</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Geopolitical fragmentation is a real and growing risk.</w:t>
      </w:r>
    </w:p>
    <w:p>
      <w:pPr>
        <w:pStyle w:val="BlockAnchor"/>
        <w:keepNext/>
        <w:spacing w:after="40" w:before="200"/>
      </w:pPr>
      <w:r>
        <w:rPr>
          <w:rFonts w:ascii="Consolas" w:cs="Consolas" w:eastAsia="Consolas" w:hAnsi="Consolas"/>
          <w:b/>
          <w:bCs/>
          <w:color w:val="8A8A78"/>
          <w:sz w:val="16"/>
          <w:szCs w:val="16"/>
        </w:rPr>
        <w:t xml:space="preserve">[B-120]</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post-2022 decoupling between Russia and Western research networks has already produced the only major negative country-level shift in our citation analysis. A similar but slower decoupling between the United States and China would have larger effects, because the citation networks involved are larger. Cross-border research collaboration is a tailwind for many of the universities in the current Top 100; if it becomes a constraint, the geographic distribution of the elite tier will narrow. Neutral-ground research hosts, including the UAE, would become relative beneficiaries.</w:t>
      </w:r>
    </w:p>
    <w:p>
      <w:pPr>
        <w:pStyle w:val="BlockAnchor"/>
        <w:keepNext/>
        <w:spacing w:after="40" w:before="200"/>
      </w:pPr>
      <w:r>
        <w:rPr>
          <w:rFonts w:ascii="Consolas" w:cs="Consolas" w:eastAsia="Consolas" w:hAnsi="Consolas"/>
          <w:b/>
          <w:bCs/>
          <w:color w:val="8A8A78"/>
          <w:sz w:val="16"/>
          <w:szCs w:val="16"/>
        </w:rPr>
        <w:t xml:space="preserve">[B-121]</w:t>
      </w:r>
      <w:r>
        <w:rPr>
          <w:rFonts w:ascii="Arial" w:cs="Arial" w:eastAsia="Arial" w:hAnsi="Arial"/>
          <w:color w:val="8A8A78"/>
          <w:sz w:val="16"/>
          <w:szCs w:val="16"/>
        </w:rPr>
        <w:t xml:space="preserve">  &lt;h3&gt;</w:t>
      </w:r>
    </w:p>
    <w:p>
      <w:pPr>
        <w:pStyle w:val="EditableText"/>
        <w:spacing w:after="100" w:line="300"/>
        <w:ind w:left="120"/>
      </w:pPr>
      <w:r>
        <w:rPr>
          <w:rFonts w:ascii="Georgia" w:cs="Georgia" w:eastAsia="Georgia" w:hAnsi="Georgia"/>
          <w:color w:val="1A1A0A"/>
          <w:sz w:val="22"/>
          <w:szCs w:val="22"/>
        </w:rPr>
        <w:t xml:space="preserve">Demographics will tighten Western higher-education margins.</w:t>
      </w:r>
    </w:p>
    <w:p>
      <w:pPr>
        <w:pStyle w:val="BlockAnchor"/>
        <w:keepNext/>
        <w:spacing w:after="40" w:before="200"/>
      </w:pPr>
      <w:r>
        <w:rPr>
          <w:rFonts w:ascii="Consolas" w:cs="Consolas" w:eastAsia="Consolas" w:hAnsi="Consolas"/>
          <w:b/>
          <w:bCs/>
          <w:color w:val="8A8A78"/>
          <w:sz w:val="16"/>
          <w:szCs w:val="16"/>
        </w:rPr>
        <w:t xml:space="preserve">[B-122]</w:t>
      </w:r>
      <w:r>
        <w:rPr>
          <w:rFonts w:ascii="Arial" w:cs="Arial" w:eastAsia="Arial" w:hAnsi="Arial"/>
          <w:color w:val="8A8A78"/>
          <w:sz w:val="16"/>
          <w:szCs w:val="16"/>
        </w:rPr>
        <w:t xml:space="preserve">  &lt;p&gt;</w:t>
      </w:r>
    </w:p>
    <w:p>
      <w:pPr>
        <w:pStyle w:val="EditableText"/>
        <w:spacing w:after="100" w:line="300"/>
        <w:ind w:left="120"/>
      </w:pPr>
      <w:r>
        <w:rPr>
          <w:rFonts w:ascii="Georgia" w:cs="Georgia" w:eastAsia="Georgia" w:hAnsi="Georgia"/>
          <w:color w:val="1A1A0A"/>
          <w:sz w:val="22"/>
          <w:szCs w:val="22"/>
        </w:rPr>
        <w:t xml:space="preserve">The shrinking 18-year-old populations of North America, Western Europe, and East Asia (notably South Korea and Japan) will tighten margins at universities that depend on tuition revenue. The demographic dividend in India, Southeast Asia, and Sub-Saharan Africa is real but will not produce new Top-500 universities for at least 15 years. New universities take that long to build the research depth, reputation footprint, and faculty base the rankings require. The compositional shifts of the next decade will continue to flow through existing institutions, not new ones.</w:t>
      </w:r>
    </w:p>
    <w:p>
      <w:pPr>
        <w:pStyle w:val="BlockAnchor"/>
        <w:keepNext/>
        <w:spacing w:after="40" w:before="200"/>
      </w:pPr>
      <w:r>
        <w:rPr>
          <w:rFonts w:ascii="Consolas" w:cs="Consolas" w:eastAsia="Consolas" w:hAnsi="Consolas"/>
          <w:b/>
          <w:bCs/>
          <w:color w:val="8A8A78"/>
          <w:sz w:val="16"/>
          <w:szCs w:val="16"/>
        </w:rPr>
        <w:t xml:space="preserve">[B-123]</w:t>
      </w:r>
      <w:r>
        <w:rPr>
          <w:rFonts w:ascii="Arial" w:cs="Arial" w:eastAsia="Arial" w:hAnsi="Arial"/>
          <w:color w:val="8A8A78"/>
          <w:sz w:val="16"/>
          <w:szCs w:val="16"/>
        </w:rPr>
        <w:t xml:space="preserve">  &lt;p&gt;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The single most important fact about the next five years is that another rule change is plausible and probably coming. The 2024 rewrites were not the end of the publishers' adjustments. &lt;strong&gt;Any university or funder making a five-year ranking strategy that does not include "the rules may change again" as a planning assumption is making a fragile bet.&lt;/strong&gt;</w:t>
      </w:r>
    </w:p>
    <w:p>
      <w:pPr>
        <w:pStyle w:val="BlockAnchor"/>
        <w:keepNext/>
        <w:spacing w:after="40" w:before="200"/>
      </w:pPr>
      <w:r>
        <w:rPr>
          <w:rFonts w:ascii="Consolas" w:cs="Consolas" w:eastAsia="Consolas" w:hAnsi="Consolas"/>
          <w:b/>
          <w:bCs/>
          <w:color w:val="8A8A78"/>
          <w:sz w:val="16"/>
          <w:szCs w:val="16"/>
        </w:rPr>
        <w:t xml:space="preserve">[B-124]</w:t>
      </w:r>
      <w:r>
        <w:rPr>
          <w:rFonts w:ascii="Arial" w:cs="Arial" w:eastAsia="Arial" w:hAnsi="Arial"/>
          <w:color w:val="8A8A78"/>
          <w:sz w:val="16"/>
          <w:szCs w:val="16"/>
        </w:rPr>
        <w:t xml:space="preserve">  &lt;PullQuote&gt;</w:t>
      </w:r>
    </w:p>
    <w:p>
      <w:pPr>
        <w:pStyle w:val="EditableText"/>
        <w:spacing w:after="100" w:line="300"/>
        <w:ind w:left="120"/>
      </w:pPr>
      <w:r>
        <w:rPr>
          <w:rFonts w:ascii="Georgia" w:cs="Georgia" w:eastAsia="Georgia" w:hAnsi="Georgia"/>
          <w:color w:val="1A1A0A"/>
          <w:sz w:val="22"/>
          <w:szCs w:val="22"/>
        </w:rPr>
        <w:t xml:space="preserve">The 2024 rule change reshaped the rankings more than anything universities did. The next change is already coming.</w:t>
      </w:r>
    </w:p>
    <w:p>
      <w:pPr>
        <w:pStyle w:val="Heading2"/>
        <w:pBdr>
          <w:top w:val="single" w:color="3F4818" w:sz="6" w:space="8"/>
        </w:pBdr>
        <w:spacing w:after="160" w:before="400"/>
      </w:pPr>
      <w:r>
        <w:rPr>
          <w:rFonts w:ascii="Arial" w:cs="Arial" w:eastAsia="Arial" w:hAnsi="Arial"/>
          <w:b/>
          <w:bCs/>
          <w:color w:val="3F4818"/>
          <w:sz w:val="21"/>
          <w:szCs w:val="21"/>
        </w:rPr>
        <w:t xml:space="preserve">10 METHODOLOGY &amp; SOURCES</w:t>
      </w:r>
    </w:p>
    <w:p>
      <w:pPr>
        <w:pStyle w:val="BlockAnchor"/>
        <w:keepNext/>
        <w:spacing w:after="40" w:before="200"/>
      </w:pPr>
      <w:r>
        <w:rPr>
          <w:rFonts w:ascii="Consolas" w:cs="Consolas" w:eastAsia="Consolas" w:hAnsi="Consolas"/>
          <w:b/>
          <w:bCs/>
          <w:color w:val="8A8A78"/>
          <w:sz w:val="16"/>
          <w:szCs w:val="16"/>
        </w:rPr>
        <w:t xml:space="preserve">[B-125]</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&lt;strong&gt;Coverage.&lt;/strong&gt; QS Top 500, 2017–2026 (ten editions). THE Top 500, 2016–2026 (eleven editions). 1,038 distinct canonical institutions across 96 countries; 10,536 institution-year-system rows.</w:t>
      </w:r>
    </w:p>
    <w:p>
      <w:pPr>
        <w:pStyle w:val="BlockAnchor"/>
        <w:keepNext/>
        <w:spacing w:after="40" w:before="200"/>
      </w:pPr>
      <w:r>
        <w:rPr>
          <w:rFonts w:ascii="Consolas" w:cs="Consolas" w:eastAsia="Consolas" w:hAnsi="Consolas"/>
          <w:b/>
          <w:bCs/>
          <w:color w:val="8A8A78"/>
          <w:sz w:val="16"/>
          <w:szCs w:val="16"/>
        </w:rPr>
        <w:t xml:space="preserve">[B-126]</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&lt;strong&gt;Rank handling.&lt;/strong&gt; Integer ranks pass through unchanged. Banded ranks (e.g., "401–500") converted to numerical midpoints with the original band retained for tier-boundary analysis. Tie markers stripped.</w:t>
      </w:r>
    </w:p>
    <w:p>
      <w:pPr>
        <w:pStyle w:val="BlockAnchor"/>
        <w:keepNext/>
        <w:spacing w:after="40" w:before="200"/>
      </w:pPr>
      <w:r>
        <w:rPr>
          <w:rFonts w:ascii="Consolas" w:cs="Consolas" w:eastAsia="Consolas" w:hAnsi="Consolas"/>
          <w:b/>
          <w:bCs/>
          <w:color w:val="8A8A78"/>
          <w:sz w:val="16"/>
          <w:szCs w:val="16"/>
        </w:rPr>
        <w:t xml:space="preserve">[B-127]</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&lt;strong&gt;Country normalisation.&lt;/strong&gt; ISO-3166 alpha-3 via pycountry, plus manual aliases for Hong Kong, Macao, Taiwan, Iran, Korea, Russia, the UAE, and other commonly inconsistent entries. Greater China (China + Hong Kong + Macao + Taiwan) retained as a separate analytical view.</w:t>
      </w:r>
    </w:p>
    <w:p>
      <w:pPr>
        <w:pStyle w:val="BlockAnchor"/>
        <w:keepNext/>
        <w:spacing w:after="40" w:before="200"/>
      </w:pPr>
      <w:r>
        <w:rPr>
          <w:rFonts w:ascii="Consolas" w:cs="Consolas" w:eastAsia="Consolas" w:hAnsi="Consolas"/>
          <w:b/>
          <w:bCs/>
          <w:color w:val="8A8A78"/>
          <w:sz w:val="16"/>
          <w:szCs w:val="16"/>
        </w:rPr>
        <w:t xml:space="preserve">[B-128]</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&lt;strong&gt;Institution matching.&lt;/strong&gt; Three rules in order: hard alias for known cases; exact match on aggressively-normalised name; controlled fuzzy match (token_sort_ratio ≥ 97 AND first significant token agrees AND length ratio ≥ 0.75). All fuzzy edges audited.</w:t>
      </w:r>
    </w:p>
    <w:p>
      <w:pPr>
        <w:pStyle w:val="BlockAnchor"/>
        <w:keepNext/>
        <w:spacing w:after="40" w:before="200"/>
      </w:pPr>
      <w:r>
        <w:rPr>
          <w:rFonts w:ascii="Consolas" w:cs="Consolas" w:eastAsia="Consolas" w:hAnsi="Consolas"/>
          <w:b/>
          <w:bCs/>
          <w:color w:val="8A8A78"/>
          <w:sz w:val="16"/>
          <w:szCs w:val="16"/>
        </w:rPr>
        <w:t xml:space="preserve">[B-129]</w:t>
      </w:r>
      <w:r>
        <w:rPr>
          <w:rFonts w:ascii="Arial" w:cs="Arial" w:eastAsia="Arial" w:hAnsi="Arial"/>
          <w:color w:val="8A8A78"/>
          <w:sz w:val="16"/>
          <w:szCs w:val="16"/>
        </w:rPr>
        <w:t xml:space="preserve">  &lt;li&gt;</w:t>
      </w:r>
      <w:r>
        <w:rPr>
          <w:rFonts w:ascii="Arial" w:cs="Arial" w:eastAsia="Arial" w:hAnsi="Arial"/>
          <w:i/>
          <w:iCs/>
          <w:color w:val="8C5A1F"/>
          <w:sz w:val="16"/>
          <w:szCs w:val="16"/>
        </w:rPr>
        <w:t xml:space="preserve">   contains markup</w:t>
      </w:r>
    </w:p>
    <w:p>
      <w:pPr>
        <w:pStyle w:val="EditableText"/>
        <w:spacing w:after="100" w:line="300"/>
        <w:ind w:left="120"/>
      </w:pPr>
      <w:r>
        <w:rPr>
          <w:rFonts w:ascii="Georgia" w:cs="Georgia" w:eastAsia="Georgia" w:hAnsi="Georgia"/>
          <w:color w:val="1A1A0A"/>
          <w:sz w:val="22"/>
          <w:szCs w:val="22"/>
        </w:rPr>
        <w:t xml:space="preserve">&lt;strong&gt;2024 rule-change flagging.&lt;/strong&gt; Year-over-year rank changes computed only for integer-ranked rows. The 2024 changes (THE WUR 3.0; QS revision) are flagged in the data; cross-year analyses straddling the change are discussed as a rule change first throughout. Validated against a 28-institution truth panel with anti-collision tests.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78"/>
        <w:sz w:val="16"/>
        <w:szCs w:val="16"/>
      </w:rPr>
      <w:t xml:space="preserve">Page </w:t>
    </w:r>
    <w:r>
      <w:rPr>
        <w:rFonts w:ascii="Arial" w:cs="Arial" w:eastAsia="Arial" w:hAnsi="Arial"/>
        <w:color w:val="8A8A78"/>
        <w:sz w:val="16"/>
        <w:szCs w:val="16"/>
      </w:rPr>
      <w:fldChar w:fldCharType="begin"/>
      <w:instrText xml:space="preserve">PAGE</w:instrText>
      <w:fldChar w:fldCharType="separate"/>
      <w:fldChar w:fldCharType="end"/>
    </w:r>
    <w:r>
      <w:rPr>
        <w:rFonts w:ascii="Arial" w:cs="Arial" w:eastAsia="Arial" w:hAnsi="Arial"/>
        <w:color w:val="8A8A78"/>
        <w:sz w:val="16"/>
        <w:szCs w:val="16"/>
      </w:rPr>
      <w:t xml:space="preserve"> of </w:t>
    </w:r>
    <w:r>
      <w:rPr>
        <w:rFonts w:ascii="Arial" w:cs="Arial" w:eastAsia="Arial" w:hAnsi="Arial"/>
        <w:color w:val="8A8A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A78"/>
        <w:sz w:val="16"/>
        <w:szCs w:val="16"/>
      </w:rPr>
      <w:t xml:space="preserve">The Index · editorial review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ditableText">
    <w:name w:val="Editable Text"/>
    <w:basedOn w:val="Normal"/>
    <w:next w:val="Normal"/>
    <w:qFormat/>
    <w:rPr>
      <w:rFonts w:ascii="Georgia" w:cs="Georgia" w:eastAsia="Georgia" w:hAnsi="Georgia"/>
      <w:color w:val="1A1A0A"/>
      <w:sz w:val="22"/>
      <w:szCs w:val="22"/>
    </w:rPr>
  </w:style>
  <w:style w:type="paragraph" w:styleId="BlockAnchor">
    <w:name w:val="Block Anchor"/>
    <w:basedOn w:val="Normal"/>
    <w:next w:val="EditableText"/>
    <w:qFormat w:val="false"/>
    <w:rPr>
      <w:rFonts w:ascii="Consolas" w:cs="Consolas" w:eastAsia="Consolas" w:hAnsi="Consolas"/>
      <w:color w:val="8A8A78"/>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Index — editorial review copy</dc:title>
  <dc:creator>The Index — editorial tooling</dc:creator>
  <dc:description>Full editable text of both published articles, deduplicated and anchored by block ID.</dc:description>
  <cp:lastModifiedBy>Un-named</cp:lastModifiedBy>
  <cp:revision>1</cp:revision>
  <dcterms:created xsi:type="dcterms:W3CDTF">2026-08-07T08:03:06.950Z</dcterms:created>
  <dcterms:modified xsi:type="dcterms:W3CDTF">2026-08-07T08:03:06.951Z</dcterms:modified>
</cp:coreProperties>
</file>

<file path=docProps/custom.xml><?xml version="1.0" encoding="utf-8"?>
<Properties xmlns="http://schemas.openxmlformats.org/officeDocument/2006/custom-properties" xmlns:vt="http://schemas.openxmlformats.org/officeDocument/2006/docPropsVTypes"/>
</file>