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0"/>
          <w:szCs w:val="40"/>
        </w:rPr>
        <w:t xml:space="preserve">Week 1 – Day 2 Deliverable</w:t>
      </w:r>
    </w:p>
    <w:p>
      <w:pPr>
        <w:spacing w:after="220"/>
        <w:jc w:val="center"/>
      </w:pPr>
      <w:r>
        <w:rPr>
          <w:rFonts w:ascii="Calibri" w:cs="Calibri" w:eastAsia="Calibri" w:hAnsi="Calibri"/>
          <w:b/>
          <w:bCs/>
          <w:color w:val="2E5395"/>
          <w:sz w:val="26"/>
          <w:szCs w:val="26"/>
        </w:rPr>
        <w:t xml:space="preserve">Healthcare IAM Operations Simulation</w:t>
      </w:r>
    </w:p>
    <w:p>
      <w:pPr>
        <w:spacing w:after="260"/>
        <w:jc w:val="center"/>
      </w:pPr>
      <w:r>
        <w:rPr>
          <w:rFonts w:ascii="Calibri" w:cs="Calibri" w:eastAsia="Calibri" w:hAnsi="Calibri"/>
          <w:i/>
          <w:iCs/>
          <w:color w:val="444444"/>
          <w:sz w:val="21"/>
          <w:szCs w:val="21"/>
        </w:rPr>
        <w:t xml:space="preserve">RBAC Design, Simulated Applications, Organizational Unit (OU) Structure, and Security Group Design</w:t>
      </w:r>
    </w:p>
    <w:tbl>
      <w:tblPr>
        <w:tblW w:type="dxa" w:w="10440"/>
        <w:tblBorders>
          <w:top w:val="single" w:color="BFBFBF" w:sz="4"/>
          <w:left w:val="single" w:color="BFBFBF" w:sz="4"/>
          <w:bottom w:val="single" w:color="BFBFBF" w:sz="4"/>
          <w:right w:val="single" w:color="BFBFBF" w:sz="4"/>
          <w:insideH w:val="single" w:color="BFBFBF" w:sz="4"/>
          <w:insideV w:val="single" w:color="BFBFBF" w:sz="4"/>
        </w:tblBorders>
      </w:tblPr>
      <w:tblGrid>
        <w:gridCol w:w="3480"/>
        <w:gridCol w:w="6960"/>
      </w:tblGrid>
      <w:tr>
        <w:tc>
          <w:tcPr>
            <w:tcW w:type="dxa" w:w="3480"/>
            <w:shd w:fill="F2F2F2" w:color="auto" w:val="clear"/>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Project Name</w:t>
            </w:r>
          </w:p>
        </w:tc>
        <w:tc>
          <w:tcPr>
            <w:tcW w:type="dxa" w:w="6960"/>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Healthcare IAM Operations Simulation</w:t>
            </w:r>
          </w:p>
        </w:tc>
      </w:tr>
      <w:tr>
        <w:tc>
          <w:tcPr>
            <w:tcW w:type="dxa" w:w="3480"/>
            <w:shd w:fill="F2F2F2" w:color="auto" w:val="clear"/>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Organization</w:t>
            </w:r>
          </w:p>
        </w:tc>
        <w:tc>
          <w:tcPr>
            <w:tcW w:type="dxa" w:w="6960"/>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Horizon Valley Medical Center (HVMC)</w:t>
            </w:r>
          </w:p>
        </w:tc>
      </w:tr>
      <w:tr>
        <w:tc>
          <w:tcPr>
            <w:tcW w:type="dxa" w:w="3480"/>
            <w:shd w:fill="F2F2F2" w:color="auto" w:val="clear"/>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Project Week</w:t>
            </w:r>
          </w:p>
        </w:tc>
        <w:tc>
          <w:tcPr>
            <w:tcW w:type="dxa" w:w="6960"/>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Week 1</w:t>
            </w:r>
          </w:p>
        </w:tc>
      </w:tr>
      <w:tr>
        <w:tc>
          <w:tcPr>
            <w:tcW w:type="dxa" w:w="3480"/>
            <w:shd w:fill="F2F2F2" w:color="auto" w:val="clear"/>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Day</w:t>
            </w:r>
          </w:p>
        </w:tc>
        <w:tc>
          <w:tcPr>
            <w:tcW w:type="dxa" w:w="6960"/>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Day 2</w:t>
            </w:r>
          </w:p>
        </w:tc>
      </w:tr>
      <w:tr>
        <w:tc>
          <w:tcPr>
            <w:tcW w:type="dxa" w:w="3480"/>
            <w:shd w:fill="F2F2F2" w:color="auto" w:val="clear"/>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Document Version</w:t>
            </w:r>
          </w:p>
        </w:tc>
        <w:tc>
          <w:tcPr>
            <w:tcW w:type="dxa" w:w="6960"/>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1.0</w:t>
            </w:r>
          </w:p>
        </w:tc>
      </w:tr>
      <w:tr>
        <w:tc>
          <w:tcPr>
            <w:tcW w:type="dxa" w:w="3480"/>
            <w:shd w:fill="F2F2F2" w:color="auto" w:val="clear"/>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Prepared By</w:t>
            </w:r>
          </w:p>
        </w:tc>
        <w:tc>
          <w:tcPr>
            <w:tcW w:type="dxa" w:w="6960"/>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Sabitha S Karanavar</w:t>
            </w:r>
          </w:p>
        </w:tc>
      </w:tr>
    </w:tbl>
    <w:p>
      <w:pPr>
        <w:spacing w:before="320"/>
      </w:pPr>
    </w:p>
    <w:p>
      <w:pPr>
        <w:pStyle w:val="Heading1"/>
        <w:pBdr>
          <w:bottom w:val="single" w:color="9DB4CE" w:sz="6" w:space="4"/>
        </w:pBdr>
        <w:spacing w:after="160" w:before="360"/>
      </w:pPr>
      <w:r>
        <w:rPr>
          <w:rFonts w:ascii="Calibri" w:cs="Calibri" w:eastAsia="Calibri" w:hAnsi="Calibri"/>
          <w:b/>
          <w:bCs/>
          <w:color w:val="1F3864"/>
          <w:sz w:val="27"/>
          <w:szCs w:val="27"/>
        </w:rPr>
        <w:t xml:space="preserve">1. Purpose</w:t>
      </w:r>
    </w:p>
    <w:p>
      <w:pPr>
        <w:spacing w:after="160" w:line="276"/>
      </w:pPr>
      <w:r>
        <w:rPr>
          <w:rFonts w:ascii="Calibri" w:cs="Calibri" w:eastAsia="Calibri" w:hAnsi="Calibri"/>
          <w:color w:val="222222"/>
          <w:sz w:val="22"/>
          <w:szCs w:val="22"/>
        </w:rPr>
        <w:t xml:space="preserve">The objective of Day 2 is to design the Identity and Access Management (IAM) foundation by identifying business applications, defining Role-Based Access Control (RBAC), creating a logical Organizational Unit (OU) structure, and establishing a standardized security group naming convention. These components will support user provisioning, access reviews, onboarding, transfers, and offboarding throughout the remainder of the project.</w:t>
      </w:r>
    </w:p>
    <w:p>
      <w:pPr>
        <w:pStyle w:val="Heading1"/>
        <w:pBdr>
          <w:bottom w:val="single" w:color="9DB4CE" w:sz="6" w:space="4"/>
        </w:pBdr>
        <w:spacing w:after="160" w:before="360"/>
      </w:pPr>
      <w:r>
        <w:rPr>
          <w:rFonts w:ascii="Calibri" w:cs="Calibri" w:eastAsia="Calibri" w:hAnsi="Calibri"/>
          <w:b/>
          <w:bCs/>
          <w:color w:val="1F3864"/>
          <w:sz w:val="27"/>
          <w:szCs w:val="27"/>
        </w:rPr>
        <w:t xml:space="preserve">2. Simulated Business Applications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640"/>
      </w:tblGrid>
      <w:tr>
        <w:trPr>
          <w:tblHeader/>
        </w:trPr>
        <w:tc>
          <w:tcPr>
            <w:tcW w:type="dxa" w:w="2600"/>
            <w:shd w:fill="2E5395"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Application</w:t>
            </w:r>
          </w:p>
        </w:tc>
        <w:tc>
          <w:tcPr>
            <w:tcW w:type="dxa" w:w="4200"/>
            <w:shd w:fill="2E5395"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Business Purpose</w:t>
            </w:r>
          </w:p>
        </w:tc>
        <w:tc>
          <w:tcPr>
            <w:tcW w:type="dxa" w:w="3640"/>
            <w:shd w:fill="2E5395"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Departments Using the Application</w:t>
            </w:r>
          </w:p>
        </w:tc>
      </w:tr>
      <w:tr>
        <w:tc>
          <w:tcPr>
            <w:tcW w:type="dxa" w:w="2600"/>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Electronic Health Record (EHR)</w:t>
            </w:r>
          </w:p>
        </w:tc>
        <w:tc>
          <w:tcPr>
            <w:tcW w:type="dxa" w:w="4200"/>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Patient records and clinical documentation</w:t>
            </w:r>
          </w:p>
        </w:tc>
        <w:tc>
          <w:tcPr>
            <w:tcW w:type="dxa" w:w="3640"/>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Doctors, Nurses</w:t>
            </w:r>
          </w:p>
        </w:tc>
      </w:tr>
      <w:tr>
        <w:tc>
          <w:tcPr>
            <w:tcW w:type="dxa" w:w="2600"/>
            <w:shd w:fill="F2F2F2" w:color="auto" w:val="clear"/>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Pharmacy Management System</w:t>
            </w:r>
          </w:p>
        </w:tc>
        <w:tc>
          <w:tcPr>
            <w:tcW w:type="dxa" w:w="4200"/>
            <w:shd w:fill="F2F2F2"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Medication management</w:t>
            </w:r>
          </w:p>
        </w:tc>
        <w:tc>
          <w:tcPr>
            <w:tcW w:type="dxa" w:w="3640"/>
            <w:shd w:fill="F2F2F2"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Pharmacy</w:t>
            </w:r>
          </w:p>
        </w:tc>
      </w:tr>
      <w:tr>
        <w:tc>
          <w:tcPr>
            <w:tcW w:type="dxa" w:w="2600"/>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Laboratory Information System (LIS)</w:t>
            </w:r>
          </w:p>
        </w:tc>
        <w:tc>
          <w:tcPr>
            <w:tcW w:type="dxa" w:w="4200"/>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Lab orders and results</w:t>
            </w:r>
          </w:p>
        </w:tc>
        <w:tc>
          <w:tcPr>
            <w:tcW w:type="dxa" w:w="3640"/>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Laboratory, Doctors</w:t>
            </w:r>
          </w:p>
        </w:tc>
      </w:tr>
      <w:tr>
        <w:tc>
          <w:tcPr>
            <w:tcW w:type="dxa" w:w="2600"/>
            <w:shd w:fill="F2F2F2" w:color="auto" w:val="clear"/>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HR Portal</w:t>
            </w:r>
          </w:p>
        </w:tc>
        <w:tc>
          <w:tcPr>
            <w:tcW w:type="dxa" w:w="4200"/>
            <w:shd w:fill="F2F2F2"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Employee records</w:t>
            </w:r>
          </w:p>
        </w:tc>
        <w:tc>
          <w:tcPr>
            <w:tcW w:type="dxa" w:w="3640"/>
            <w:shd w:fill="F2F2F2"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Human Resources</w:t>
            </w:r>
          </w:p>
        </w:tc>
      </w:tr>
      <w:tr>
        <w:tc>
          <w:tcPr>
            <w:tcW w:type="dxa" w:w="2600"/>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Payroll System</w:t>
            </w:r>
          </w:p>
        </w:tc>
        <w:tc>
          <w:tcPr>
            <w:tcW w:type="dxa" w:w="4200"/>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Salary and payroll processing</w:t>
            </w:r>
          </w:p>
        </w:tc>
        <w:tc>
          <w:tcPr>
            <w:tcW w:type="dxa" w:w="3640"/>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HR, Finance</w:t>
            </w:r>
          </w:p>
        </w:tc>
      </w:tr>
      <w:tr>
        <w:tc>
          <w:tcPr>
            <w:tcW w:type="dxa" w:w="2600"/>
            <w:shd w:fill="F2F2F2" w:color="auto" w:val="clear"/>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Finance ERP</w:t>
            </w:r>
          </w:p>
        </w:tc>
        <w:tc>
          <w:tcPr>
            <w:tcW w:type="dxa" w:w="4200"/>
            <w:shd w:fill="F2F2F2"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Budgeting and financial reporting</w:t>
            </w:r>
          </w:p>
        </w:tc>
        <w:tc>
          <w:tcPr>
            <w:tcW w:type="dxa" w:w="3640"/>
            <w:shd w:fill="F2F2F2"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Finance</w:t>
            </w:r>
          </w:p>
        </w:tc>
      </w:tr>
      <w:tr>
        <w:tc>
          <w:tcPr>
            <w:tcW w:type="dxa" w:w="2600"/>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IT Administration Console</w:t>
            </w:r>
          </w:p>
        </w:tc>
        <w:tc>
          <w:tcPr>
            <w:tcW w:type="dxa" w:w="4200"/>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User account administration</w:t>
            </w:r>
          </w:p>
        </w:tc>
        <w:tc>
          <w:tcPr>
            <w:tcW w:type="dxa" w:w="3640"/>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IT</w:t>
            </w:r>
          </w:p>
        </w:tc>
      </w:tr>
      <w:tr>
        <w:tc>
          <w:tcPr>
            <w:tcW w:type="dxa" w:w="2600"/>
            <w:shd w:fill="F2F2F2" w:color="auto" w:val="clear"/>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Security Monitoring Portal</w:t>
            </w:r>
          </w:p>
        </w:tc>
        <w:tc>
          <w:tcPr>
            <w:tcW w:type="dxa" w:w="4200"/>
            <w:shd w:fill="F2F2F2"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Physical security and incident monitoring</w:t>
            </w:r>
          </w:p>
        </w:tc>
        <w:tc>
          <w:tcPr>
            <w:tcW w:type="dxa" w:w="3640"/>
            <w:shd w:fill="F2F2F2"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Security</w:t>
            </w:r>
          </w:p>
        </w:tc>
      </w:tr>
      <w:tr>
        <w:tc>
          <w:tcPr>
            <w:tcW w:type="dxa" w:w="2600"/>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Appointment Scheduling System</w:t>
            </w:r>
          </w:p>
        </w:tc>
        <w:tc>
          <w:tcPr>
            <w:tcW w:type="dxa" w:w="4200"/>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Patient appointment scheduling</w:t>
            </w:r>
          </w:p>
        </w:tc>
        <w:tc>
          <w:tcPr>
            <w:tcW w:type="dxa" w:w="3640"/>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Reception</w:t>
            </w:r>
          </w:p>
        </w:tc>
      </w:tr>
      <w:tr>
        <w:tc>
          <w:tcPr>
            <w:tcW w:type="dxa" w:w="2600"/>
            <w:shd w:fill="F2F2F2" w:color="auto" w:val="clear"/>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VPN Portal</w:t>
            </w:r>
          </w:p>
        </w:tc>
        <w:tc>
          <w:tcPr>
            <w:tcW w:type="dxa" w:w="4200"/>
            <w:shd w:fill="F2F2F2"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Remote access</w:t>
            </w:r>
          </w:p>
        </w:tc>
        <w:tc>
          <w:tcPr>
            <w:tcW w:type="dxa" w:w="3640"/>
            <w:shd w:fill="F2F2F2"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IT, Contractors</w:t>
            </w:r>
          </w:p>
        </w:tc>
      </w:tr>
    </w:tbl>
    <w:p>
      <w:pPr>
        <w:spacing w:before="320"/>
      </w:pPr>
    </w:p>
    <w:p>
      <w:pPr>
        <w:pStyle w:val="Heading1"/>
        <w:pBdr>
          <w:bottom w:val="single" w:color="9DB4CE" w:sz="6" w:space="4"/>
        </w:pBdr>
        <w:spacing w:after="160" w:before="360"/>
      </w:pPr>
      <w:r>
        <w:rPr>
          <w:rFonts w:ascii="Calibri" w:cs="Calibri" w:eastAsia="Calibri" w:hAnsi="Calibri"/>
          <w:b/>
          <w:bCs/>
          <w:color w:val="1F3864"/>
          <w:sz w:val="27"/>
          <w:szCs w:val="27"/>
        </w:rPr>
        <w:t xml:space="preserve">3. Role-Based Access Control (RBAC) Matrix</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900"/>
        <w:gridCol w:w="900"/>
        <w:gridCol w:w="950"/>
        <w:gridCol w:w="950"/>
        <w:gridCol w:w="1140"/>
        <w:gridCol w:w="1140"/>
        <w:gridCol w:w="1160"/>
      </w:tblGrid>
      <w:tr>
        <w:trPr>
          <w:tblHeader/>
        </w:trPr>
        <w:tc>
          <w:tcPr>
            <w:tcW w:type="dxa" w:w="1500"/>
            <w:shd w:fill="2E5395"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Role</w:t>
            </w:r>
          </w:p>
        </w:tc>
        <w:tc>
          <w:tcPr>
            <w:tcW w:type="dxa" w:w="900"/>
            <w:shd w:fill="2E5395"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EHR</w:t>
            </w:r>
          </w:p>
        </w:tc>
        <w:tc>
          <w:tcPr>
            <w:tcW w:type="dxa" w:w="900"/>
            <w:shd w:fill="2E5395"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Pharmacy</w:t>
            </w:r>
          </w:p>
        </w:tc>
        <w:tc>
          <w:tcPr>
            <w:tcW w:type="dxa" w:w="900"/>
            <w:shd w:fill="2E5395"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LIS</w:t>
            </w:r>
          </w:p>
        </w:tc>
        <w:tc>
          <w:tcPr>
            <w:tcW w:type="dxa" w:w="900"/>
            <w:shd w:fill="2E5395"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Payroll</w:t>
            </w:r>
          </w:p>
        </w:tc>
        <w:tc>
          <w:tcPr>
            <w:tcW w:type="dxa" w:w="950"/>
            <w:shd w:fill="2E5395"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HR Portal</w:t>
            </w:r>
          </w:p>
        </w:tc>
        <w:tc>
          <w:tcPr>
            <w:tcW w:type="dxa" w:w="950"/>
            <w:shd w:fill="2E5395"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Finance ERP</w:t>
            </w:r>
          </w:p>
        </w:tc>
        <w:tc>
          <w:tcPr>
            <w:tcW w:type="dxa" w:w="1140"/>
            <w:shd w:fill="2E5395"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IT Admin</w:t>
            </w:r>
          </w:p>
        </w:tc>
        <w:tc>
          <w:tcPr>
            <w:tcW w:type="dxa" w:w="1140"/>
            <w:shd w:fill="2E5395"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Security Portal</w:t>
            </w:r>
          </w:p>
        </w:tc>
        <w:tc>
          <w:tcPr>
            <w:tcW w:type="dxa" w:w="1160"/>
            <w:shd w:fill="2E5395"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Scheduling</w:t>
            </w:r>
          </w:p>
        </w:tc>
      </w:tr>
      <w:tr>
        <w:tc>
          <w:tcPr>
            <w:tcW w:type="dxa" w:w="1500"/>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Doctor</w:t>
            </w:r>
          </w:p>
        </w:tc>
        <w:tc>
          <w:tcPr>
            <w:tcW w:type="dxa" w:w="90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Read / Write</w:t>
            </w:r>
          </w:p>
        </w:tc>
        <w:tc>
          <w:tcPr>
            <w:tcW w:type="dxa" w:w="90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Read</w:t>
            </w:r>
          </w:p>
        </w:tc>
        <w:tc>
          <w:tcPr>
            <w:tcW w:type="dxa" w:w="90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Read</w:t>
            </w:r>
          </w:p>
        </w:tc>
        <w:tc>
          <w:tcPr>
            <w:tcW w:type="dxa" w:w="90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5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5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114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114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116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r>
      <w:tr>
        <w:tc>
          <w:tcPr>
            <w:tcW w:type="dxa" w:w="1500"/>
            <w:shd w:fill="F2F2F2" w:color="auto" w:val="clear"/>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Nurse</w:t>
            </w:r>
          </w:p>
        </w:tc>
        <w:tc>
          <w:tcPr>
            <w:tcW w:type="dxa" w:w="90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Read / Write</w:t>
            </w:r>
          </w:p>
        </w:tc>
        <w:tc>
          <w:tcPr>
            <w:tcW w:type="dxa" w:w="90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Read</w:t>
            </w:r>
          </w:p>
        </w:tc>
        <w:tc>
          <w:tcPr>
            <w:tcW w:type="dxa" w:w="90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Read</w:t>
            </w:r>
          </w:p>
        </w:tc>
        <w:tc>
          <w:tcPr>
            <w:tcW w:type="dxa" w:w="90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5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5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114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114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116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r>
      <w:tr>
        <w:tc>
          <w:tcPr>
            <w:tcW w:type="dxa" w:w="1500"/>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Pharmacist</w:t>
            </w:r>
          </w:p>
        </w:tc>
        <w:tc>
          <w:tcPr>
            <w:tcW w:type="dxa" w:w="90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Read</w:t>
            </w:r>
          </w:p>
        </w:tc>
        <w:tc>
          <w:tcPr>
            <w:tcW w:type="dxa" w:w="90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Read / Write</w:t>
            </w:r>
          </w:p>
        </w:tc>
        <w:tc>
          <w:tcPr>
            <w:tcW w:type="dxa" w:w="90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0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5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5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114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114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116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r>
      <w:tr>
        <w:tc>
          <w:tcPr>
            <w:tcW w:type="dxa" w:w="1500"/>
            <w:shd w:fill="F2F2F2" w:color="auto" w:val="clear"/>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Laboratory Technician</w:t>
            </w:r>
          </w:p>
        </w:tc>
        <w:tc>
          <w:tcPr>
            <w:tcW w:type="dxa" w:w="90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Read</w:t>
            </w:r>
          </w:p>
        </w:tc>
        <w:tc>
          <w:tcPr>
            <w:tcW w:type="dxa" w:w="90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0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Read / Write</w:t>
            </w:r>
          </w:p>
        </w:tc>
        <w:tc>
          <w:tcPr>
            <w:tcW w:type="dxa" w:w="90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5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5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114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114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116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r>
      <w:tr>
        <w:tc>
          <w:tcPr>
            <w:tcW w:type="dxa" w:w="1500"/>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Human Resources</w:t>
            </w:r>
          </w:p>
        </w:tc>
        <w:tc>
          <w:tcPr>
            <w:tcW w:type="dxa" w:w="90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0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0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0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Read / Write</w:t>
            </w:r>
          </w:p>
        </w:tc>
        <w:tc>
          <w:tcPr>
            <w:tcW w:type="dxa" w:w="95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Read / Write</w:t>
            </w:r>
          </w:p>
        </w:tc>
        <w:tc>
          <w:tcPr>
            <w:tcW w:type="dxa" w:w="95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114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114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116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r>
      <w:tr>
        <w:tc>
          <w:tcPr>
            <w:tcW w:type="dxa" w:w="1500"/>
            <w:shd w:fill="F2F2F2" w:color="auto" w:val="clear"/>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Finance</w:t>
            </w:r>
          </w:p>
        </w:tc>
        <w:tc>
          <w:tcPr>
            <w:tcW w:type="dxa" w:w="90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0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0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0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Read / Write</w:t>
            </w:r>
          </w:p>
        </w:tc>
        <w:tc>
          <w:tcPr>
            <w:tcW w:type="dxa" w:w="95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Read</w:t>
            </w:r>
          </w:p>
        </w:tc>
        <w:tc>
          <w:tcPr>
            <w:tcW w:type="dxa" w:w="95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Read / Write</w:t>
            </w:r>
          </w:p>
        </w:tc>
        <w:tc>
          <w:tcPr>
            <w:tcW w:type="dxa" w:w="114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114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116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r>
      <w:tr>
        <w:tc>
          <w:tcPr>
            <w:tcW w:type="dxa" w:w="1500"/>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IT Administrator</w:t>
            </w:r>
          </w:p>
        </w:tc>
        <w:tc>
          <w:tcPr>
            <w:tcW w:type="dxa" w:w="90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Read</w:t>
            </w:r>
          </w:p>
        </w:tc>
        <w:tc>
          <w:tcPr>
            <w:tcW w:type="dxa" w:w="90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Read</w:t>
            </w:r>
          </w:p>
        </w:tc>
        <w:tc>
          <w:tcPr>
            <w:tcW w:type="dxa" w:w="90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Read</w:t>
            </w:r>
          </w:p>
        </w:tc>
        <w:tc>
          <w:tcPr>
            <w:tcW w:type="dxa" w:w="90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5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5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114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Admin</w:t>
            </w:r>
          </w:p>
        </w:tc>
        <w:tc>
          <w:tcPr>
            <w:tcW w:type="dxa" w:w="114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Admin</w:t>
            </w:r>
          </w:p>
        </w:tc>
        <w:tc>
          <w:tcPr>
            <w:tcW w:type="dxa" w:w="116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Admin</w:t>
            </w:r>
          </w:p>
        </w:tc>
      </w:tr>
      <w:tr>
        <w:tc>
          <w:tcPr>
            <w:tcW w:type="dxa" w:w="1500"/>
            <w:shd w:fill="F2F2F2" w:color="auto" w:val="clear"/>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Security Officer</w:t>
            </w:r>
          </w:p>
        </w:tc>
        <w:tc>
          <w:tcPr>
            <w:tcW w:type="dxa" w:w="90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0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0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0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5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5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114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114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Admin</w:t>
            </w:r>
          </w:p>
        </w:tc>
        <w:tc>
          <w:tcPr>
            <w:tcW w:type="dxa" w:w="116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r>
      <w:tr>
        <w:tc>
          <w:tcPr>
            <w:tcW w:type="dxa" w:w="1500"/>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Receptionist</w:t>
            </w:r>
          </w:p>
        </w:tc>
        <w:tc>
          <w:tcPr>
            <w:tcW w:type="dxa" w:w="90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Read</w:t>
            </w:r>
          </w:p>
        </w:tc>
        <w:tc>
          <w:tcPr>
            <w:tcW w:type="dxa" w:w="90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0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0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5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5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114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114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1160"/>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Read / Write</w:t>
            </w:r>
          </w:p>
        </w:tc>
      </w:tr>
      <w:tr>
        <w:tc>
          <w:tcPr>
            <w:tcW w:type="dxa" w:w="1500"/>
            <w:shd w:fill="F2F2F2" w:color="auto" w:val="clear"/>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Contractor</w:t>
            </w:r>
          </w:p>
        </w:tc>
        <w:tc>
          <w:tcPr>
            <w:tcW w:type="dxa" w:w="90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Limited</w:t>
            </w:r>
          </w:p>
        </w:tc>
        <w:tc>
          <w:tcPr>
            <w:tcW w:type="dxa" w:w="90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0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0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5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95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114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Limited</w:t>
            </w:r>
          </w:p>
        </w:tc>
        <w:tc>
          <w:tcPr>
            <w:tcW w:type="dxa" w:w="114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c>
          <w:tcPr>
            <w:tcW w:type="dxa" w:w="1160"/>
            <w:shd w:fill="F2F2F2"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222222"/>
                <w:sz w:val="19"/>
                <w:szCs w:val="19"/>
              </w:rPr>
              <w:t xml:space="preserve">—</w:t>
            </w:r>
          </w:p>
        </w:tc>
      </w:tr>
    </w:tbl>
    <w:p>
      <w:pPr>
        <w:spacing w:before="320"/>
      </w:pPr>
    </w:p>
    <w:p>
      <w:pPr>
        <w:pStyle w:val="Heading1"/>
        <w:pBdr>
          <w:bottom w:val="single" w:color="9DB4CE" w:sz="6" w:space="4"/>
        </w:pBdr>
        <w:spacing w:after="160" w:before="360"/>
      </w:pPr>
      <w:r>
        <w:rPr>
          <w:rFonts w:ascii="Calibri" w:cs="Calibri" w:eastAsia="Calibri" w:hAnsi="Calibri"/>
          <w:b/>
          <w:bCs/>
          <w:color w:val="1F3864"/>
          <w:sz w:val="27"/>
          <w:szCs w:val="27"/>
        </w:rPr>
        <w:t xml:space="preserve">4. Organizational Unit (OU) Structure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shd w:fill="F2F2F2" w:color="auto" w:val="clear"/>
            <w:tcMar>
              <w:top w:type="dxa" w:w="180"/>
              <w:left w:type="dxa" w:w="220"/>
              <w:bottom w:type="dxa" w:w="180"/>
              <w:right w:type="dxa" w:w="220"/>
            </w:tcMar>
          </w:tcPr>
          <w:p>
            <w:pPr>
              <w:spacing w:after="0"/>
            </w:pPr>
            <w:r>
              <w:rPr>
                <w:rFonts w:ascii="Consolas" w:cs="Consolas" w:eastAsia="Consolas" w:hAnsi="Consolas"/>
                <w:color w:val="222222"/>
                <w:sz w:val="20"/>
                <w:szCs w:val="20"/>
              </w:rPr>
              <w:t xml:space="preserve">Horizon Valley Medical Center</w:t>
            </w:r>
          </w:p>
          <w:p>
            <w:pPr>
              <w:spacing w:after="0"/>
            </w:pPr>
            <w:r>
              <w:rPr>
                <w:rFonts w:ascii="Consolas" w:cs="Consolas" w:eastAsia="Consolas" w:hAnsi="Consolas"/>
                <w:color w:val="222222"/>
                <w:sz w:val="20"/>
                <w:szCs w:val="20"/>
              </w:rPr>
              <w:t xml:space="preserve">│</w:t>
            </w:r>
          </w:p>
          <w:p>
            <w:pPr>
              <w:spacing w:after="0"/>
            </w:pPr>
            <w:r>
              <w:rPr>
                <w:rFonts w:ascii="Consolas" w:cs="Consolas" w:eastAsia="Consolas" w:hAnsi="Consolas"/>
                <w:color w:val="222222"/>
                <w:sz w:val="20"/>
                <w:szCs w:val="20"/>
              </w:rPr>
              <w:t xml:space="preserve">├── Users</w:t>
            </w:r>
          </w:p>
          <w:p>
            <w:pPr>
              <w:spacing w:after="0"/>
            </w:pPr>
            <w:r>
              <w:rPr>
                <w:rFonts w:ascii="Consolas" w:cs="Consolas" w:eastAsia="Consolas" w:hAnsi="Consolas"/>
                <w:color w:val="222222"/>
                <w:sz w:val="20"/>
                <w:szCs w:val="20"/>
              </w:rPr>
              <w:t xml:space="preserve">│   ├── Doctors</w:t>
            </w:r>
          </w:p>
          <w:p>
            <w:pPr>
              <w:spacing w:after="0"/>
            </w:pPr>
            <w:r>
              <w:rPr>
                <w:rFonts w:ascii="Consolas" w:cs="Consolas" w:eastAsia="Consolas" w:hAnsi="Consolas"/>
                <w:color w:val="222222"/>
                <w:sz w:val="20"/>
                <w:szCs w:val="20"/>
              </w:rPr>
              <w:t xml:space="preserve">│   ├── Nursing</w:t>
            </w:r>
          </w:p>
          <w:p>
            <w:pPr>
              <w:spacing w:after="0"/>
            </w:pPr>
            <w:r>
              <w:rPr>
                <w:rFonts w:ascii="Consolas" w:cs="Consolas" w:eastAsia="Consolas" w:hAnsi="Consolas"/>
                <w:color w:val="222222"/>
                <w:sz w:val="20"/>
                <w:szCs w:val="20"/>
              </w:rPr>
              <w:t xml:space="preserve">│   ├── Pharmacy</w:t>
            </w:r>
          </w:p>
          <w:p>
            <w:pPr>
              <w:spacing w:after="0"/>
            </w:pPr>
            <w:r>
              <w:rPr>
                <w:rFonts w:ascii="Consolas" w:cs="Consolas" w:eastAsia="Consolas" w:hAnsi="Consolas"/>
                <w:color w:val="222222"/>
                <w:sz w:val="20"/>
                <w:szCs w:val="20"/>
              </w:rPr>
              <w:t xml:space="preserve">│   ├── Laboratory</w:t>
            </w:r>
          </w:p>
          <w:p>
            <w:pPr>
              <w:spacing w:after="0"/>
            </w:pPr>
            <w:r>
              <w:rPr>
                <w:rFonts w:ascii="Consolas" w:cs="Consolas" w:eastAsia="Consolas" w:hAnsi="Consolas"/>
                <w:color w:val="222222"/>
                <w:sz w:val="20"/>
                <w:szCs w:val="20"/>
              </w:rPr>
              <w:t xml:space="preserve">│   ├── Human Resources</w:t>
            </w:r>
          </w:p>
          <w:p>
            <w:pPr>
              <w:spacing w:after="0"/>
            </w:pPr>
            <w:r>
              <w:rPr>
                <w:rFonts w:ascii="Consolas" w:cs="Consolas" w:eastAsia="Consolas" w:hAnsi="Consolas"/>
                <w:color w:val="222222"/>
                <w:sz w:val="20"/>
                <w:szCs w:val="20"/>
              </w:rPr>
              <w:t xml:space="preserve">│   ├── Finance</w:t>
            </w:r>
          </w:p>
          <w:p>
            <w:pPr>
              <w:spacing w:after="0"/>
            </w:pPr>
            <w:r>
              <w:rPr>
                <w:rFonts w:ascii="Consolas" w:cs="Consolas" w:eastAsia="Consolas" w:hAnsi="Consolas"/>
                <w:color w:val="222222"/>
                <w:sz w:val="20"/>
                <w:szCs w:val="20"/>
              </w:rPr>
              <w:t xml:space="preserve">│   ├── IT</w:t>
            </w:r>
          </w:p>
          <w:p>
            <w:pPr>
              <w:spacing w:after="0"/>
            </w:pPr>
            <w:r>
              <w:rPr>
                <w:rFonts w:ascii="Consolas" w:cs="Consolas" w:eastAsia="Consolas" w:hAnsi="Consolas"/>
                <w:color w:val="222222"/>
                <w:sz w:val="20"/>
                <w:szCs w:val="20"/>
              </w:rPr>
              <w:t xml:space="preserve">│   ├── Security</w:t>
            </w:r>
          </w:p>
          <w:p>
            <w:pPr>
              <w:spacing w:after="0"/>
            </w:pPr>
            <w:r>
              <w:rPr>
                <w:rFonts w:ascii="Consolas" w:cs="Consolas" w:eastAsia="Consolas" w:hAnsi="Consolas"/>
                <w:color w:val="222222"/>
                <w:sz w:val="20"/>
                <w:szCs w:val="20"/>
              </w:rPr>
              <w:t xml:space="preserve">│   ├── Reception</w:t>
            </w:r>
          </w:p>
          <w:p>
            <w:pPr>
              <w:spacing w:after="0"/>
            </w:pPr>
            <w:r>
              <w:rPr>
                <w:rFonts w:ascii="Consolas" w:cs="Consolas" w:eastAsia="Consolas" w:hAnsi="Consolas"/>
                <w:color w:val="222222"/>
                <w:sz w:val="20"/>
                <w:szCs w:val="20"/>
              </w:rPr>
              <w:t xml:space="preserve">│   └── Contractors</w:t>
            </w:r>
          </w:p>
          <w:p>
            <w:pPr>
              <w:spacing w:after="0"/>
            </w:pPr>
            <w:r>
              <w:rPr>
                <w:rFonts w:ascii="Consolas" w:cs="Consolas" w:eastAsia="Consolas" w:hAnsi="Consolas"/>
                <w:color w:val="222222"/>
                <w:sz w:val="20"/>
                <w:szCs w:val="20"/>
              </w:rPr>
              <w:t xml:space="preserve">│</w:t>
            </w:r>
          </w:p>
          <w:p>
            <w:pPr>
              <w:spacing w:after="0"/>
            </w:pPr>
            <w:r>
              <w:rPr>
                <w:rFonts w:ascii="Consolas" w:cs="Consolas" w:eastAsia="Consolas" w:hAnsi="Consolas"/>
                <w:color w:val="222222"/>
                <w:sz w:val="20"/>
                <w:szCs w:val="20"/>
              </w:rPr>
              <w:t xml:space="preserve">├── Groups</w:t>
            </w:r>
          </w:p>
          <w:p>
            <w:pPr>
              <w:spacing w:after="0"/>
            </w:pPr>
            <w:r>
              <w:rPr>
                <w:rFonts w:ascii="Consolas" w:cs="Consolas" w:eastAsia="Consolas" w:hAnsi="Consolas"/>
                <w:color w:val="222222"/>
                <w:sz w:val="20"/>
                <w:szCs w:val="20"/>
              </w:rPr>
              <w:t xml:space="preserve">│</w:t>
            </w:r>
          </w:p>
          <w:p>
            <w:pPr>
              <w:spacing w:after="0"/>
            </w:pPr>
            <w:r>
              <w:rPr>
                <w:rFonts w:ascii="Consolas" w:cs="Consolas" w:eastAsia="Consolas" w:hAnsi="Consolas"/>
                <w:color w:val="222222"/>
                <w:sz w:val="20"/>
                <w:szCs w:val="20"/>
              </w:rPr>
              <w:t xml:space="preserve">├── Computers</w:t>
            </w:r>
          </w:p>
          <w:p>
            <w:pPr>
              <w:spacing w:after="0"/>
            </w:pPr>
            <w:r>
              <w:rPr>
                <w:rFonts w:ascii="Consolas" w:cs="Consolas" w:eastAsia="Consolas" w:hAnsi="Consolas"/>
                <w:color w:val="222222"/>
                <w:sz w:val="20"/>
                <w:szCs w:val="20"/>
              </w:rPr>
              <w:t xml:space="preserve">│</w:t>
            </w:r>
          </w:p>
          <w:p>
            <w:pPr>
              <w:spacing w:after="0"/>
            </w:pPr>
            <w:r>
              <w:rPr>
                <w:rFonts w:ascii="Consolas" w:cs="Consolas" w:eastAsia="Consolas" w:hAnsi="Consolas"/>
                <w:color w:val="222222"/>
                <w:sz w:val="20"/>
                <w:szCs w:val="20"/>
              </w:rPr>
              <w:t xml:space="preserve">├── Service Accounts</w:t>
            </w:r>
          </w:p>
          <w:p>
            <w:pPr>
              <w:spacing w:after="0"/>
            </w:pPr>
            <w:r>
              <w:rPr>
                <w:rFonts w:ascii="Consolas" w:cs="Consolas" w:eastAsia="Consolas" w:hAnsi="Consolas"/>
                <w:color w:val="222222"/>
                <w:sz w:val="20"/>
                <w:szCs w:val="20"/>
              </w:rPr>
              <w:t xml:space="preserve">│</w:t>
            </w:r>
          </w:p>
          <w:p>
            <w:pPr>
              <w:spacing w:after="0"/>
            </w:pPr>
            <w:r>
              <w:rPr>
                <w:rFonts w:ascii="Consolas" w:cs="Consolas" w:eastAsia="Consolas" w:hAnsi="Consolas"/>
                <w:color w:val="222222"/>
                <w:sz w:val="20"/>
                <w:szCs w:val="20"/>
              </w:rPr>
              <w:t xml:space="preserve">└── Disabled Users</w:t>
            </w:r>
          </w:p>
        </w:tc>
      </w:tr>
    </w:tbl>
    <w:p>
      <w:pPr>
        <w:spacing w:before="320"/>
      </w:pPr>
    </w:p>
    <w:p>
      <w:pPr>
        <w:pStyle w:val="Heading1"/>
        <w:pBdr>
          <w:bottom w:val="single" w:color="9DB4CE" w:sz="6" w:space="4"/>
        </w:pBdr>
        <w:spacing w:after="160" w:before="360"/>
      </w:pPr>
      <w:r>
        <w:rPr>
          <w:rFonts w:ascii="Calibri" w:cs="Calibri" w:eastAsia="Calibri" w:hAnsi="Calibri"/>
          <w:b/>
          <w:bCs/>
          <w:color w:val="1F3864"/>
          <w:sz w:val="27"/>
          <w:szCs w:val="27"/>
        </w:rPr>
        <w:t xml:space="preserve">5. Security Group Naming Convention</w:t>
      </w:r>
    </w:p>
    <w:p>
      <w:pPr>
        <w:spacing w:after="80"/>
      </w:pPr>
      <w:r>
        <w:rPr>
          <w:rFonts w:ascii="Calibri" w:cs="Calibri" w:eastAsia="Calibri" w:hAnsi="Calibri"/>
          <w:b/>
          <w:bCs/>
          <w:color w:val="1F3864"/>
          <w:sz w:val="22"/>
          <w:szCs w:val="22"/>
        </w:rPr>
        <w:t xml:space="preserve">Naming Standard</w:t>
      </w:r>
    </w:p>
    <w:p>
      <w:pPr>
        <w:spacing w:after="200"/>
      </w:pPr>
      <w:r>
        <w:rPr>
          <w:rFonts w:ascii="Consolas" w:cs="Consolas" w:eastAsia="Consolas" w:hAnsi="Consolas"/>
          <w:b/>
          <w:bCs/>
          <w:color w:val="222222"/>
          <w:sz w:val="21"/>
          <w:szCs w:val="21"/>
        </w:rPr>
        <w:t xml:space="preserve">SG-&lt;Department&gt;-&lt;Application&gt;-&lt;Access&gt;</w:t>
      </w:r>
    </w:p>
    <w:p>
      <w:pPr>
        <w:spacing w:after="100"/>
      </w:pPr>
      <w:r>
        <w:rPr>
          <w:rFonts w:ascii="Calibri" w:cs="Calibri" w:eastAsia="Calibri" w:hAnsi="Calibri"/>
          <w:b/>
          <w:bCs/>
          <w:color w:val="1F3864"/>
          <w:sz w:val="22"/>
          <w:szCs w:val="22"/>
        </w:rPr>
        <w:t xml:space="preserve">Examples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400"/>
        <w:gridCol w:w="6040"/>
      </w:tblGrid>
      <w:tr>
        <w:trPr>
          <w:tblHeader/>
        </w:trPr>
        <w:tc>
          <w:tcPr>
            <w:tcW w:type="dxa" w:w="4400"/>
            <w:shd w:fill="2E5395"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Security Group</w:t>
            </w:r>
          </w:p>
        </w:tc>
        <w:tc>
          <w:tcPr>
            <w:tcW w:type="dxa" w:w="6040"/>
            <w:shd w:fill="2E5395"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Purpose</w:t>
            </w:r>
          </w:p>
        </w:tc>
      </w:tr>
      <w:tr>
        <w:tc>
          <w:tcPr>
            <w:tcW w:type="dxa" w:w="4400"/>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SG-Doctors-EHR-RW</w:t>
            </w:r>
          </w:p>
        </w:tc>
        <w:tc>
          <w:tcPr>
            <w:tcW w:type="dxa" w:w="6040"/>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Doctors with Read/Write access to EHR</w:t>
            </w:r>
          </w:p>
        </w:tc>
      </w:tr>
      <w:tr>
        <w:tc>
          <w:tcPr>
            <w:tcW w:type="dxa" w:w="4400"/>
            <w:shd w:fill="F2F2F2" w:color="auto" w:val="clear"/>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SG-Nursing-EHR-RW</w:t>
            </w:r>
          </w:p>
        </w:tc>
        <w:tc>
          <w:tcPr>
            <w:tcW w:type="dxa" w:w="6040"/>
            <w:shd w:fill="F2F2F2"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Nurses with Read/Write access to EHR</w:t>
            </w:r>
          </w:p>
        </w:tc>
      </w:tr>
      <w:tr>
        <w:tc>
          <w:tcPr>
            <w:tcW w:type="dxa" w:w="4400"/>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SG-Pharmacy-PharmacySystem-RW</w:t>
            </w:r>
          </w:p>
        </w:tc>
        <w:tc>
          <w:tcPr>
            <w:tcW w:type="dxa" w:w="6040"/>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Pharmacy application access</w:t>
            </w:r>
          </w:p>
        </w:tc>
      </w:tr>
      <w:tr>
        <w:tc>
          <w:tcPr>
            <w:tcW w:type="dxa" w:w="4400"/>
            <w:shd w:fill="F2F2F2" w:color="auto" w:val="clear"/>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SG-Lab-LIS-RW</w:t>
            </w:r>
          </w:p>
        </w:tc>
        <w:tc>
          <w:tcPr>
            <w:tcW w:type="dxa" w:w="6040"/>
            <w:shd w:fill="F2F2F2"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Laboratory Information System access</w:t>
            </w:r>
          </w:p>
        </w:tc>
      </w:tr>
      <w:tr>
        <w:tc>
          <w:tcPr>
            <w:tcW w:type="dxa" w:w="4400"/>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SG-HR-HRPortal-RW</w:t>
            </w:r>
          </w:p>
        </w:tc>
        <w:tc>
          <w:tcPr>
            <w:tcW w:type="dxa" w:w="6040"/>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HR Portal access</w:t>
            </w:r>
          </w:p>
        </w:tc>
      </w:tr>
      <w:tr>
        <w:tc>
          <w:tcPr>
            <w:tcW w:type="dxa" w:w="4400"/>
            <w:shd w:fill="F2F2F2" w:color="auto" w:val="clear"/>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SG-Finance-Payroll-RW</w:t>
            </w:r>
          </w:p>
        </w:tc>
        <w:tc>
          <w:tcPr>
            <w:tcW w:type="dxa" w:w="6040"/>
            <w:shd w:fill="F2F2F2"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Payroll access</w:t>
            </w:r>
          </w:p>
        </w:tc>
      </w:tr>
      <w:tr>
        <w:tc>
          <w:tcPr>
            <w:tcW w:type="dxa" w:w="4400"/>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SG-IT-ITAdmin-Admin</w:t>
            </w:r>
          </w:p>
        </w:tc>
        <w:tc>
          <w:tcPr>
            <w:tcW w:type="dxa" w:w="6040"/>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IT administrative access</w:t>
            </w:r>
          </w:p>
        </w:tc>
      </w:tr>
      <w:tr>
        <w:tc>
          <w:tcPr>
            <w:tcW w:type="dxa" w:w="4400"/>
            <w:shd w:fill="F2F2F2" w:color="auto" w:val="clear"/>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SG-Security-SecurityPortal-Admin</w:t>
            </w:r>
          </w:p>
        </w:tc>
        <w:tc>
          <w:tcPr>
            <w:tcW w:type="dxa" w:w="6040"/>
            <w:shd w:fill="F2F2F2"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Security monitoring access</w:t>
            </w:r>
          </w:p>
        </w:tc>
      </w:tr>
      <w:tr>
        <w:tc>
          <w:tcPr>
            <w:tcW w:type="dxa" w:w="4400"/>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SG-Reception-Scheduling-RW</w:t>
            </w:r>
          </w:p>
        </w:tc>
        <w:tc>
          <w:tcPr>
            <w:tcW w:type="dxa" w:w="6040"/>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Appointment scheduling access</w:t>
            </w:r>
          </w:p>
        </w:tc>
      </w:tr>
      <w:tr>
        <w:tc>
          <w:tcPr>
            <w:tcW w:type="dxa" w:w="4400"/>
            <w:shd w:fill="F2F2F2" w:color="auto" w:val="clear"/>
            <w:tcMar>
              <w:top w:type="dxa" w:w="50"/>
              <w:left w:type="dxa" w:w="90"/>
              <w:bottom w:type="dxa" w:w="50"/>
              <w:right w:type="dxa" w:w="90"/>
            </w:tcMar>
            <w:vAlign w:val="center"/>
          </w:tcPr>
          <w:p>
            <w:pPr>
              <w:jc w:val="left"/>
            </w:pPr>
            <w:r>
              <w:rPr>
                <w:rFonts w:ascii="Calibri" w:cs="Calibri" w:eastAsia="Calibri" w:hAnsi="Calibri"/>
                <w:b/>
                <w:bCs/>
                <w:color w:val="222222"/>
                <w:sz w:val="19"/>
                <w:szCs w:val="19"/>
              </w:rPr>
              <w:t xml:space="preserve">SG-Contractors-VPN-Read</w:t>
            </w:r>
          </w:p>
        </w:tc>
        <w:tc>
          <w:tcPr>
            <w:tcW w:type="dxa" w:w="6040"/>
            <w:shd w:fill="F2F2F2"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222222"/>
                <w:sz w:val="19"/>
                <w:szCs w:val="19"/>
              </w:rPr>
              <w:t xml:space="preserve">Contractor VPN access</w:t>
            </w:r>
          </w:p>
        </w:tc>
      </w:tr>
    </w:tbl>
    <w:p>
      <w:pPr>
        <w:spacing w:before="320"/>
      </w:pPr>
    </w:p>
    <w:p>
      <w:pPr>
        <w:pStyle w:val="Heading1"/>
        <w:pBdr>
          <w:bottom w:val="single" w:color="9DB4CE" w:sz="6" w:space="4"/>
        </w:pBdr>
        <w:spacing w:after="160" w:before="360"/>
      </w:pPr>
      <w:r>
        <w:rPr>
          <w:rFonts w:ascii="Calibri" w:cs="Calibri" w:eastAsia="Calibri" w:hAnsi="Calibri"/>
          <w:b/>
          <w:bCs/>
          <w:color w:val="1F3864"/>
          <w:sz w:val="27"/>
          <w:szCs w:val="27"/>
        </w:rPr>
        <w:t xml:space="preserve">6. IAM Design Principles</w:t>
      </w:r>
    </w:p>
    <w:p>
      <w:pPr>
        <w:spacing w:after="160" w:line="276"/>
      </w:pPr>
      <w:r>
        <w:rPr>
          <w:rFonts w:ascii="Calibri" w:cs="Calibri" w:eastAsia="Calibri" w:hAnsi="Calibri"/>
          <w:color w:val="222222"/>
          <w:sz w:val="22"/>
          <w:szCs w:val="22"/>
        </w:rPr>
        <w:t xml:space="preserve">The following principles will guide access management throughout the project:</w:t>
      </w:r>
    </w:p>
    <w:p>
      <w:pPr>
        <w:pStyle w:val="ListParagraph"/>
        <w:numPr>
          <w:ilvl w:val="0"/>
          <w:numId w:val="2"/>
        </w:numPr>
        <w:spacing w:after="90"/>
      </w:pPr>
      <w:r>
        <w:rPr>
          <w:rFonts w:ascii="Calibri" w:cs="Calibri" w:eastAsia="Calibri" w:hAnsi="Calibri"/>
          <w:color w:val="222222"/>
          <w:sz w:val="22"/>
          <w:szCs w:val="22"/>
        </w:rPr>
        <w:t xml:space="preserve">Role-Based Access Control (RBAC)</w:t>
      </w:r>
    </w:p>
    <w:p>
      <w:pPr>
        <w:pStyle w:val="ListParagraph"/>
        <w:numPr>
          <w:ilvl w:val="0"/>
          <w:numId w:val="2"/>
        </w:numPr>
        <w:spacing w:after="90"/>
      </w:pPr>
      <w:r>
        <w:rPr>
          <w:rFonts w:ascii="Calibri" w:cs="Calibri" w:eastAsia="Calibri" w:hAnsi="Calibri"/>
          <w:color w:val="222222"/>
          <w:sz w:val="22"/>
          <w:szCs w:val="22"/>
        </w:rPr>
        <w:t xml:space="preserve">Principle of Least Privilege</w:t>
      </w:r>
    </w:p>
    <w:p>
      <w:pPr>
        <w:pStyle w:val="ListParagraph"/>
        <w:numPr>
          <w:ilvl w:val="0"/>
          <w:numId w:val="2"/>
        </w:numPr>
        <w:spacing w:after="90"/>
      </w:pPr>
      <w:r>
        <w:rPr>
          <w:rFonts w:ascii="Calibri" w:cs="Calibri" w:eastAsia="Calibri" w:hAnsi="Calibri"/>
          <w:color w:val="222222"/>
          <w:sz w:val="22"/>
          <w:szCs w:val="22"/>
        </w:rPr>
        <w:t xml:space="preserve">Group-Based Permission Assignment</w:t>
      </w:r>
    </w:p>
    <w:p>
      <w:pPr>
        <w:pStyle w:val="ListParagraph"/>
        <w:numPr>
          <w:ilvl w:val="0"/>
          <w:numId w:val="2"/>
        </w:numPr>
        <w:spacing w:after="90"/>
      </w:pPr>
      <w:r>
        <w:rPr>
          <w:rFonts w:ascii="Calibri" w:cs="Calibri" w:eastAsia="Calibri" w:hAnsi="Calibri"/>
          <w:color w:val="222222"/>
          <w:sz w:val="22"/>
          <w:szCs w:val="22"/>
        </w:rPr>
        <w:t xml:space="preserve">Separation of Duties</w:t>
      </w:r>
    </w:p>
    <w:p>
      <w:pPr>
        <w:pStyle w:val="ListParagraph"/>
        <w:numPr>
          <w:ilvl w:val="0"/>
          <w:numId w:val="2"/>
        </w:numPr>
        <w:spacing w:after="90"/>
      </w:pPr>
      <w:r>
        <w:rPr>
          <w:rFonts w:ascii="Calibri" w:cs="Calibri" w:eastAsia="Calibri" w:hAnsi="Calibri"/>
          <w:color w:val="222222"/>
          <w:sz w:val="22"/>
          <w:szCs w:val="22"/>
        </w:rPr>
        <w:t xml:space="preserve">Centralized Identity Management</w:t>
      </w:r>
    </w:p>
    <w:p>
      <w:pPr>
        <w:pStyle w:val="ListParagraph"/>
        <w:numPr>
          <w:ilvl w:val="0"/>
          <w:numId w:val="2"/>
        </w:numPr>
        <w:spacing w:after="90"/>
      </w:pPr>
      <w:r>
        <w:rPr>
          <w:rFonts w:ascii="Calibri" w:cs="Calibri" w:eastAsia="Calibri" w:hAnsi="Calibri"/>
          <w:color w:val="222222"/>
          <w:sz w:val="22"/>
          <w:szCs w:val="22"/>
        </w:rPr>
        <w:t xml:space="preserve">Standardized Naming Conventions</w:t>
      </w:r>
    </w:p>
    <w:p>
      <w:pPr>
        <w:pStyle w:val="ListParagraph"/>
        <w:numPr>
          <w:ilvl w:val="0"/>
          <w:numId w:val="2"/>
        </w:numPr>
        <w:spacing w:after="90"/>
      </w:pPr>
      <w:r>
        <w:rPr>
          <w:rFonts w:ascii="Calibri" w:cs="Calibri" w:eastAsia="Calibri" w:hAnsi="Calibri"/>
          <w:color w:val="222222"/>
          <w:sz w:val="22"/>
          <w:szCs w:val="22"/>
        </w:rPr>
        <w:t xml:space="preserve">Audit Readiness</w:t>
      </w:r>
    </w:p>
    <w:p>
      <w:pPr>
        <w:spacing w:before="320"/>
      </w:pPr>
    </w:p>
    <w:p>
      <w:pPr>
        <w:pStyle w:val="Heading1"/>
        <w:pBdr>
          <w:bottom w:val="single" w:color="9DB4CE" w:sz="6" w:space="4"/>
        </w:pBdr>
        <w:spacing w:after="160" w:before="360"/>
      </w:pPr>
      <w:r>
        <w:rPr>
          <w:rFonts w:ascii="Calibri" w:cs="Calibri" w:eastAsia="Calibri" w:hAnsi="Calibri"/>
          <w:b/>
          <w:bCs/>
          <w:color w:val="1F3864"/>
          <w:sz w:val="27"/>
          <w:szCs w:val="27"/>
        </w:rPr>
        <w:t xml:space="preserve">7. RBAC Governance Policies (Decide Your RBAC Rules)</w:t>
      </w:r>
    </w:p>
    <w:p>
      <w:pPr>
        <w:spacing w:after="160" w:line="276"/>
      </w:pPr>
      <w:r>
        <w:rPr>
          <w:rFonts w:ascii="Calibri" w:cs="Calibri" w:eastAsia="Calibri" w:hAnsi="Calibri"/>
          <w:color w:val="222222"/>
          <w:sz w:val="22"/>
          <w:szCs w:val="22"/>
        </w:rPr>
        <w:t xml:space="preserve">To guide the remainder of the project, the following IAM policies have been documented. These rules establish how roles, access, and identity lifecycle events will be governed across Horizon Valley Medical Center.</w:t>
      </w:r>
    </w:p>
    <w:p>
      <w:pPr>
        <w:pStyle w:val="ListParagraph"/>
        <w:numPr>
          <w:ilvl w:val="0"/>
          <w:numId w:val="2"/>
        </w:numPr>
        <w:spacing w:after="90"/>
      </w:pPr>
      <w:r>
        <w:rPr>
          <w:rFonts w:ascii="Calibri" w:cs="Calibri" w:eastAsia="Calibri" w:hAnsi="Calibri"/>
          <w:color w:val="222222"/>
          <w:sz w:val="22"/>
          <w:szCs w:val="22"/>
        </w:rPr>
        <w:t xml:space="preserve">Every employee is assigned one primary role.</w:t>
      </w:r>
    </w:p>
    <w:p>
      <w:pPr>
        <w:pStyle w:val="ListParagraph"/>
        <w:numPr>
          <w:ilvl w:val="0"/>
          <w:numId w:val="2"/>
        </w:numPr>
        <w:spacing w:after="90"/>
      </w:pPr>
      <w:r>
        <w:rPr>
          <w:rFonts w:ascii="Calibri" w:cs="Calibri" w:eastAsia="Calibri" w:hAnsi="Calibri"/>
          <w:color w:val="222222"/>
          <w:sz w:val="22"/>
          <w:szCs w:val="22"/>
        </w:rPr>
        <w:t xml:space="preserve">Access is granted through security group membership, not directly to users.</w:t>
      </w:r>
    </w:p>
    <w:p>
      <w:pPr>
        <w:pStyle w:val="ListParagraph"/>
        <w:numPr>
          <w:ilvl w:val="0"/>
          <w:numId w:val="2"/>
        </w:numPr>
        <w:spacing w:after="90"/>
      </w:pPr>
      <w:r>
        <w:rPr>
          <w:rFonts w:ascii="Calibri" w:cs="Calibri" w:eastAsia="Calibri" w:hAnsi="Calibri"/>
          <w:color w:val="222222"/>
          <w:sz w:val="22"/>
          <w:szCs w:val="22"/>
        </w:rPr>
        <w:t xml:space="preserve">Users receive the minimum access required (Least Privilege).</w:t>
      </w:r>
    </w:p>
    <w:p>
      <w:pPr>
        <w:pStyle w:val="ListParagraph"/>
        <w:numPr>
          <w:ilvl w:val="0"/>
          <w:numId w:val="2"/>
        </w:numPr>
        <w:spacing w:after="90"/>
      </w:pPr>
      <w:r>
        <w:rPr>
          <w:rFonts w:ascii="Calibri" w:cs="Calibri" w:eastAsia="Calibri" w:hAnsi="Calibri"/>
          <w:color w:val="222222"/>
          <w:sz w:val="22"/>
          <w:szCs w:val="22"/>
        </w:rPr>
        <w:t xml:space="preserve">Contractors receive temporary accounts with limited permissions.</w:t>
      </w:r>
    </w:p>
    <w:p>
      <w:pPr>
        <w:pStyle w:val="ListParagraph"/>
        <w:numPr>
          <w:ilvl w:val="0"/>
          <w:numId w:val="2"/>
        </w:numPr>
        <w:spacing w:after="90"/>
      </w:pPr>
      <w:r>
        <w:rPr>
          <w:rFonts w:ascii="Calibri" w:cs="Calibri" w:eastAsia="Calibri" w:hAnsi="Calibri"/>
          <w:color w:val="222222"/>
          <w:sz w:val="22"/>
          <w:szCs w:val="22"/>
        </w:rPr>
        <w:t xml:space="preserve">IT Administrators approve all access requests.</w:t>
      </w:r>
    </w:p>
    <w:p>
      <w:pPr>
        <w:pStyle w:val="ListParagraph"/>
        <w:numPr>
          <w:ilvl w:val="0"/>
          <w:numId w:val="2"/>
        </w:numPr>
        <w:spacing w:after="90"/>
      </w:pPr>
      <w:r>
        <w:rPr>
          <w:rFonts w:ascii="Calibri" w:cs="Calibri" w:eastAsia="Calibri" w:hAnsi="Calibri"/>
          <w:color w:val="222222"/>
          <w:sz w:val="22"/>
          <w:szCs w:val="22"/>
        </w:rPr>
        <w:t xml:space="preserve">HR notifies IT when employees join, transfer, or leave.</w:t>
      </w:r>
    </w:p>
    <w:p>
      <w:pPr>
        <w:pStyle w:val="ListParagraph"/>
        <w:numPr>
          <w:ilvl w:val="0"/>
          <w:numId w:val="2"/>
        </w:numPr>
        <w:spacing w:after="90"/>
      </w:pPr>
      <w:r>
        <w:rPr>
          <w:rFonts w:ascii="Calibri" w:cs="Calibri" w:eastAsia="Calibri" w:hAnsi="Calibri"/>
          <w:color w:val="222222"/>
          <w:sz w:val="22"/>
          <w:szCs w:val="22"/>
        </w:rPr>
        <w:t xml:space="preserve">Departing employees are disabled on the same day.</w:t>
      </w:r>
    </w:p>
    <w:p>
      <w:pPr>
        <w:spacing w:before="320"/>
      </w:pPr>
    </w:p>
    <w:p>
      <w:pPr>
        <w:pStyle w:val="Heading1"/>
        <w:pBdr>
          <w:bottom w:val="single" w:color="9DB4CE" w:sz="6" w:space="4"/>
        </w:pBdr>
        <w:spacing w:after="160" w:before="360"/>
      </w:pPr>
      <w:r>
        <w:rPr>
          <w:rFonts w:ascii="Calibri" w:cs="Calibri" w:eastAsia="Calibri" w:hAnsi="Calibri"/>
          <w:b/>
          <w:bCs/>
          <w:color w:val="1F3864"/>
          <w:sz w:val="27"/>
          <w:szCs w:val="27"/>
        </w:rPr>
        <w:t xml:space="preserve">8. Security Considerations</w:t>
      </w:r>
    </w:p>
    <w:p>
      <w:pPr>
        <w:pStyle w:val="ListParagraph"/>
        <w:numPr>
          <w:ilvl w:val="0"/>
          <w:numId w:val="2"/>
        </w:numPr>
        <w:spacing w:after="90"/>
      </w:pPr>
      <w:r>
        <w:rPr>
          <w:rFonts w:ascii="Calibri" w:cs="Calibri" w:eastAsia="Calibri" w:hAnsi="Calibri"/>
          <w:color w:val="222222"/>
          <w:sz w:val="22"/>
          <w:szCs w:val="22"/>
        </w:rPr>
        <w:t xml:space="preserve">Access is assigned to security groups, not individual users.</w:t>
      </w:r>
    </w:p>
    <w:p>
      <w:pPr>
        <w:pStyle w:val="ListParagraph"/>
        <w:numPr>
          <w:ilvl w:val="0"/>
          <w:numId w:val="2"/>
        </w:numPr>
        <w:spacing w:after="90"/>
      </w:pPr>
      <w:r>
        <w:rPr>
          <w:rFonts w:ascii="Calibri" w:cs="Calibri" w:eastAsia="Calibri" w:hAnsi="Calibri"/>
          <w:color w:val="222222"/>
          <w:sz w:val="22"/>
          <w:szCs w:val="22"/>
        </w:rPr>
        <w:t xml:space="preserve">Users receive permissions based on their job role.</w:t>
      </w:r>
    </w:p>
    <w:p>
      <w:pPr>
        <w:pStyle w:val="ListParagraph"/>
        <w:numPr>
          <w:ilvl w:val="0"/>
          <w:numId w:val="2"/>
        </w:numPr>
        <w:spacing w:after="90"/>
      </w:pPr>
      <w:r>
        <w:rPr>
          <w:rFonts w:ascii="Calibri" w:cs="Calibri" w:eastAsia="Calibri" w:hAnsi="Calibri"/>
          <w:color w:val="222222"/>
          <w:sz w:val="22"/>
          <w:szCs w:val="22"/>
        </w:rPr>
        <w:t xml:space="preserve">Contractors receive limited access.</w:t>
      </w:r>
    </w:p>
    <w:p>
      <w:pPr>
        <w:pStyle w:val="ListParagraph"/>
        <w:numPr>
          <w:ilvl w:val="0"/>
          <w:numId w:val="2"/>
        </w:numPr>
        <w:spacing w:after="90"/>
      </w:pPr>
      <w:r>
        <w:rPr>
          <w:rFonts w:ascii="Calibri" w:cs="Calibri" w:eastAsia="Calibri" w:hAnsi="Calibri"/>
          <w:color w:val="222222"/>
          <w:sz w:val="22"/>
          <w:szCs w:val="22"/>
        </w:rPr>
        <w:t xml:space="preserve">Administrative privileges are restricted to IT Administrators.</w:t>
      </w:r>
    </w:p>
    <w:p>
      <w:pPr>
        <w:pStyle w:val="ListParagraph"/>
        <w:numPr>
          <w:ilvl w:val="0"/>
          <w:numId w:val="2"/>
        </w:numPr>
        <w:spacing w:after="90"/>
      </w:pPr>
      <w:r>
        <w:rPr>
          <w:rFonts w:ascii="Calibri" w:cs="Calibri" w:eastAsia="Calibri" w:hAnsi="Calibri"/>
          <w:color w:val="222222"/>
          <w:sz w:val="22"/>
          <w:szCs w:val="22"/>
        </w:rPr>
        <w:t xml:space="preserve">Access changes will follow documented onboarding, transfer, and offboarding processes.</w:t>
      </w:r>
    </w:p>
    <w:p>
      <w:pPr>
        <w:spacing w:before="320"/>
      </w:pPr>
    </w:p>
    <w:p>
      <w:pPr>
        <w:pStyle w:val="Heading1"/>
        <w:pBdr>
          <w:bottom w:val="single" w:color="9DB4CE" w:sz="6" w:space="4"/>
        </w:pBdr>
        <w:spacing w:after="160" w:before="360"/>
      </w:pPr>
      <w:r>
        <w:rPr>
          <w:rFonts w:ascii="Calibri" w:cs="Calibri" w:eastAsia="Calibri" w:hAnsi="Calibri"/>
          <w:b/>
          <w:bCs/>
          <w:color w:val="1F3864"/>
          <w:sz w:val="27"/>
          <w:szCs w:val="27"/>
        </w:rPr>
        <w:t xml:space="preserve">9. Key Outcomes</w:t>
      </w:r>
    </w:p>
    <w:p>
      <w:pPr>
        <w:spacing w:after="160" w:line="276"/>
      </w:pPr>
      <w:r>
        <w:rPr>
          <w:rFonts w:ascii="Calibri" w:cs="Calibri" w:eastAsia="Calibri" w:hAnsi="Calibri"/>
          <w:color w:val="222222"/>
          <w:sz w:val="22"/>
          <w:szCs w:val="22"/>
        </w:rPr>
        <w:t xml:space="preserve">At the conclusion of Day 2:</w:t>
      </w:r>
    </w:p>
    <w:p>
      <w:pPr>
        <w:pStyle w:val="ListParagraph"/>
        <w:numPr>
          <w:ilvl w:val="0"/>
          <w:numId w:val="2"/>
        </w:numPr>
        <w:spacing w:after="90"/>
      </w:pPr>
      <w:r>
        <w:rPr>
          <w:rFonts w:ascii="Calibri" w:cs="Calibri" w:eastAsia="Calibri" w:hAnsi="Calibri"/>
          <w:color w:val="222222"/>
          <w:sz w:val="22"/>
          <w:szCs w:val="22"/>
        </w:rPr>
        <w:t xml:space="preserve">A standardized list of business applications was documented.</w:t>
      </w:r>
    </w:p>
    <w:p>
      <w:pPr>
        <w:pStyle w:val="ListParagraph"/>
        <w:numPr>
          <w:ilvl w:val="0"/>
          <w:numId w:val="2"/>
        </w:numPr>
        <w:spacing w:after="90"/>
      </w:pPr>
      <w:r>
        <w:rPr>
          <w:rFonts w:ascii="Calibri" w:cs="Calibri" w:eastAsia="Calibri" w:hAnsi="Calibri"/>
          <w:color w:val="222222"/>
          <w:sz w:val="22"/>
          <w:szCs w:val="22"/>
        </w:rPr>
        <w:t xml:space="preserve">An RBAC matrix was created to define role-based permissions.</w:t>
      </w:r>
    </w:p>
    <w:p>
      <w:pPr>
        <w:pStyle w:val="ListParagraph"/>
        <w:numPr>
          <w:ilvl w:val="0"/>
          <w:numId w:val="2"/>
        </w:numPr>
        <w:spacing w:after="90"/>
      </w:pPr>
      <w:r>
        <w:rPr>
          <w:rFonts w:ascii="Calibri" w:cs="Calibri" w:eastAsia="Calibri" w:hAnsi="Calibri"/>
          <w:color w:val="222222"/>
          <w:sz w:val="22"/>
          <w:szCs w:val="22"/>
        </w:rPr>
        <w:t xml:space="preserve">An Active Directory OU structure was designed.</w:t>
      </w:r>
    </w:p>
    <w:p>
      <w:pPr>
        <w:pStyle w:val="ListParagraph"/>
        <w:numPr>
          <w:ilvl w:val="0"/>
          <w:numId w:val="2"/>
        </w:numPr>
        <w:spacing w:after="90"/>
      </w:pPr>
      <w:r>
        <w:rPr>
          <w:rFonts w:ascii="Calibri" w:cs="Calibri" w:eastAsia="Calibri" w:hAnsi="Calibri"/>
          <w:color w:val="222222"/>
          <w:sz w:val="22"/>
          <w:szCs w:val="22"/>
        </w:rPr>
        <w:t xml:space="preserve">A security group naming convention was established.</w:t>
      </w:r>
    </w:p>
    <w:p>
      <w:pPr>
        <w:pStyle w:val="ListParagraph"/>
        <w:numPr>
          <w:ilvl w:val="0"/>
          <w:numId w:val="2"/>
        </w:numPr>
        <w:spacing w:after="90"/>
      </w:pPr>
      <w:r>
        <w:rPr>
          <w:rFonts w:ascii="Calibri" w:cs="Calibri" w:eastAsia="Calibri" w:hAnsi="Calibri"/>
          <w:color w:val="222222"/>
          <w:sz w:val="22"/>
          <w:szCs w:val="22"/>
        </w:rPr>
        <w:t xml:space="preserve">IAM governance principles and RBAC policies were documented to support future identity lifecycle activities.</w:t>
      </w:r>
    </w:p>
    <w:p>
      <w:pPr>
        <w:spacing w:before="320"/>
      </w:pPr>
    </w:p>
    <w:p>
      <w:pPr>
        <w:pStyle w:val="Heading1"/>
        <w:pBdr>
          <w:bottom w:val="single" w:color="9DB4CE" w:sz="6" w:space="4"/>
        </w:pBdr>
        <w:spacing w:after="160" w:before="360"/>
      </w:pPr>
      <w:r>
        <w:rPr>
          <w:rFonts w:ascii="Calibri" w:cs="Calibri" w:eastAsia="Calibri" w:hAnsi="Calibri"/>
          <w:b/>
          <w:bCs/>
          <w:color w:val="1F3864"/>
          <w:sz w:val="27"/>
          <w:szCs w:val="27"/>
        </w:rPr>
        <w:t xml:space="preserve">10. Deliverables</w:t>
      </w:r>
    </w:p>
    <w:p>
      <w:pPr>
        <w:pStyle w:val="ListParagraph"/>
        <w:numPr>
          <w:ilvl w:val="0"/>
          <w:numId w:val="2"/>
        </w:numPr>
        <w:spacing w:after="90"/>
      </w:pPr>
      <w:r>
        <w:rPr>
          <w:rFonts w:ascii="Calibri" w:cs="Calibri" w:eastAsia="Calibri" w:hAnsi="Calibri"/>
          <w:color w:val="222222"/>
          <w:sz w:val="22"/>
          <w:szCs w:val="22"/>
        </w:rPr>
        <w:t xml:space="preserve">Simulated Application Inventory</w:t>
      </w:r>
    </w:p>
    <w:p>
      <w:pPr>
        <w:pStyle w:val="ListParagraph"/>
        <w:numPr>
          <w:ilvl w:val="0"/>
          <w:numId w:val="2"/>
        </w:numPr>
        <w:spacing w:after="90"/>
      </w:pPr>
      <w:r>
        <w:rPr>
          <w:rFonts w:ascii="Calibri" w:cs="Calibri" w:eastAsia="Calibri" w:hAnsi="Calibri"/>
          <w:color w:val="222222"/>
          <w:sz w:val="22"/>
          <w:szCs w:val="22"/>
        </w:rPr>
        <w:t xml:space="preserve">RBAC Matrix v1</w:t>
      </w:r>
    </w:p>
    <w:p>
      <w:pPr>
        <w:pStyle w:val="ListParagraph"/>
        <w:numPr>
          <w:ilvl w:val="0"/>
          <w:numId w:val="2"/>
        </w:numPr>
        <w:spacing w:after="90"/>
      </w:pPr>
      <w:r>
        <w:rPr>
          <w:rFonts w:ascii="Calibri" w:cs="Calibri" w:eastAsia="Calibri" w:hAnsi="Calibri"/>
          <w:color w:val="222222"/>
          <w:sz w:val="22"/>
          <w:szCs w:val="22"/>
        </w:rPr>
        <w:t xml:space="preserve">Organizational Unit (OU) Structure</w:t>
      </w:r>
    </w:p>
    <w:p>
      <w:pPr>
        <w:pStyle w:val="ListParagraph"/>
        <w:numPr>
          <w:ilvl w:val="0"/>
          <w:numId w:val="2"/>
        </w:numPr>
        <w:spacing w:after="90"/>
      </w:pPr>
      <w:r>
        <w:rPr>
          <w:rFonts w:ascii="Calibri" w:cs="Calibri" w:eastAsia="Calibri" w:hAnsi="Calibri"/>
          <w:color w:val="222222"/>
          <w:sz w:val="22"/>
          <w:szCs w:val="22"/>
        </w:rPr>
        <w:t xml:space="preserve">Security Group Naming Convention</w:t>
      </w:r>
    </w:p>
    <w:p>
      <w:pPr>
        <w:pStyle w:val="ListParagraph"/>
        <w:numPr>
          <w:ilvl w:val="0"/>
          <w:numId w:val="2"/>
        </w:numPr>
        <w:spacing w:after="90"/>
      </w:pPr>
      <w:r>
        <w:rPr>
          <w:rFonts w:ascii="Calibri" w:cs="Calibri" w:eastAsia="Calibri" w:hAnsi="Calibri"/>
          <w:color w:val="222222"/>
          <w:sz w:val="22"/>
          <w:szCs w:val="22"/>
        </w:rPr>
        <w:t xml:space="preserve">IAM Design Principles</w:t>
      </w:r>
    </w:p>
    <w:p>
      <w:pPr>
        <w:pStyle w:val="ListParagraph"/>
        <w:numPr>
          <w:ilvl w:val="0"/>
          <w:numId w:val="2"/>
        </w:numPr>
        <w:spacing w:after="90"/>
      </w:pPr>
      <w:r>
        <w:rPr>
          <w:rFonts w:ascii="Calibri" w:cs="Calibri" w:eastAsia="Calibri" w:hAnsi="Calibri"/>
          <w:color w:val="222222"/>
          <w:sz w:val="22"/>
          <w:szCs w:val="22"/>
        </w:rPr>
        <w:t xml:space="preserve">RBAC Governance Policies</w:t>
      </w:r>
    </w:p>
    <w:p>
      <w:pPr>
        <w:pStyle w:val="ListParagraph"/>
        <w:numPr>
          <w:ilvl w:val="0"/>
          <w:numId w:val="2"/>
        </w:numPr>
        <w:spacing w:after="90"/>
      </w:pPr>
      <w:r>
        <w:rPr>
          <w:rFonts w:ascii="Calibri" w:cs="Calibri" w:eastAsia="Calibri" w:hAnsi="Calibri"/>
          <w:color w:val="222222"/>
          <w:sz w:val="22"/>
          <w:szCs w:val="22"/>
        </w:rPr>
        <w:t xml:space="preserve">Security Considerations</w:t>
      </w:r>
    </w:p>
    <w:p>
      <w:pPr>
        <w:pStyle w:val="ListParagraph"/>
        <w:numPr>
          <w:ilvl w:val="0"/>
          <w:numId w:val="2"/>
        </w:numPr>
        <w:spacing w:after="90"/>
      </w:pPr>
      <w:r>
        <w:rPr>
          <w:rFonts w:ascii="Calibri" w:cs="Calibri" w:eastAsia="Calibri" w:hAnsi="Calibri"/>
          <w:color w:val="222222"/>
          <w:sz w:val="22"/>
          <w:szCs w:val="22"/>
        </w:rPr>
        <w:t xml:space="preserve">Day 2 Documentation for GitHub Portfolio</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B8C"/>
        <w:sz w:val="16"/>
        <w:szCs w:val="16"/>
      </w:rPr>
      <w:t xml:space="preserve">Page </w:t>
    </w:r>
    <w:r>
      <w:rPr>
        <w:rFonts w:ascii="Calibri" w:cs="Calibri" w:eastAsia="Calibri" w:hAnsi="Calibri"/>
        <w:color w:val="6B7B8C"/>
        <w:sz w:val="16"/>
        <w:szCs w:val="16"/>
      </w:rPr>
      <w:fldChar w:fldCharType="begin"/>
      <w:instrText xml:space="preserve">PAGE</w:instrText>
      <w:fldChar w:fldCharType="separate"/>
      <w:fldChar w:fldCharType="end"/>
    </w:r>
    <w:r>
      <w:rPr>
        <w:rFonts w:ascii="Calibri" w:cs="Calibri" w:eastAsia="Calibri" w:hAnsi="Calibri"/>
        <w:color w:val="6B7B8C"/>
        <w:sz w:val="16"/>
        <w:szCs w:val="16"/>
      </w:rPr>
      <w:t xml:space="preserve"> of </w:t>
    </w:r>
    <w:r>
      <w:rPr>
        <w:rFonts w:ascii="Calibri" w:cs="Calibri" w:eastAsia="Calibri" w:hAnsi="Calibri"/>
        <w:color w:val="6B7B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DB4CE" w:sz="4" w:space="4"/>
      </w:pBdr>
      <w:jc w:val="right"/>
    </w:pPr>
    <w:r>
      <w:rPr>
        <w:rFonts w:ascii="Calibri" w:cs="Calibri" w:eastAsia="Calibri" w:hAnsi="Calibri"/>
        <w:i/>
        <w:iCs/>
        <w:color w:val="6B7B8C"/>
        <w:sz w:val="16"/>
        <w:szCs w:val="16"/>
      </w:rPr>
      <w:t xml:space="preserve">Horizon Valley Medical Center  |  Healthcare IAM Operations Simulation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IAM Operations Simulation - Week 1 Day 2 Deliverable</dc:title>
  <dc:creator>Sabitha S Karanavar</dc:creator>
  <cp:lastModifiedBy>Un-named</cp:lastModifiedBy>
  <cp:revision>1</cp:revision>
  <dcterms:created xsi:type="dcterms:W3CDTF">2026-08-18T18:40:34.498Z</dcterms:created>
  <dcterms:modified xsi:type="dcterms:W3CDTF">2026-08-18T18:40:34.498Z</dcterms:modified>
</cp:coreProperties>
</file>

<file path=docProps/custom.xml><?xml version="1.0" encoding="utf-8"?>
<Properties xmlns="http://schemas.openxmlformats.org/officeDocument/2006/custom-properties" xmlns:vt="http://schemas.openxmlformats.org/officeDocument/2006/docPropsVTypes"/>
</file>