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900" w:after="240"/>
        <w:jc w:val="center"/>
      </w:pPr>
      <w:r>
        <w:drawing>
          <wp:inline distT="0" distB="0" distL="0" distR="0">
            <wp:extent cx="2743200" cy="1058600"/>
            <wp:docPr id="101" name="VIT Logo" descr="Victorian Institute of Technology logo"/>
            <a:graphic xmlns:a="http://schemas.openxmlformats.org/drawingml/2006/main">
              <a:graphicData uri="http://schemas.openxmlformats.org/drawingml/2006/picture">
                <pic:pic xmlns:pic="http://schemas.openxmlformats.org/drawingml/2006/picture">
                  <pic:nvPicPr>
                    <pic:cNvPr id="101" name="vit_logo.png"/>
                    <pic:cNvPicPr/>
                  </pic:nvPicPr>
                  <pic:blipFill>
                    <a:blip r:embed="rIdVitLogo"/>
                    <a:stretch>
                      <a:fillRect/>
                    </a:stretch>
                  </pic:blipFill>
                  <pic:spPr>
                    <a:xfrm>
                      <a:off x="0" y="0"/>
                      <a:ext cx="2743200" cy="1058600"/>
                    </a:xfrm>
                    <a:prstGeom prst="rect">
                      <a:avLst/>
                    </a:prstGeom>
                  </pic:spPr>
                </pic:pic>
              </a:graphicData>
            </a:graphic>
          </wp:inline>
        </w:drawing>
      </w:r>
    </w:p>
    <w:p>
      <w:pPr>
        <w:pBdr>
          <w:bottom w:val="single" w:sz="18" w:space="1" w:color="F15A24"/>
        </w:pBdr>
        <w:spacing w:before="0" w:after="600"/>
        <w:jc w:val="center"/>
      </w:pPr>
    </w:p>
    <w:p>
      <w:pPr>
        <w:spacing w:before="240" w:after="80"/>
        <w:jc w:val="center"/>
      </w:pPr>
      <w:r>
        <w:rPr>
          <w:rFonts w:ascii="Calibri" w:hAnsi="Calibri" w:cs="Calibri"/>
          <w:b/>
          <w:bCs/>
          <w:color w:val="1F3864"/>
          <w:sz w:val="30"/>
          <w:szCs w:val="30"/>
        </w:rPr>
        <w:t xml:space="preserve">ITSU2006R  |  Project Management</w:t>
      </w:r>
    </w:p>
    <w:p>
      <w:pPr>
        <w:spacing w:before="0" w:after="60"/>
        <w:jc w:val="center"/>
      </w:pPr>
      <w:r>
        <w:rPr>
          <w:rFonts w:ascii="Calibri" w:hAnsi="Calibri" w:cs="Calibri"/>
          <w:b/>
          <w:bCs/>
          <w:caps/>
          <w:spacing w:val="20"/>
          <w:color w:val="F15A24"/>
          <w:sz w:val="24"/>
          <w:szCs w:val="24"/>
        </w:rPr>
        <w:t xml:space="preserve">Assessment Item 3</w:t>
      </w:r>
    </w:p>
    <w:p>
      <w:pPr>
        <w:spacing w:before="0" w:after="480"/>
        <w:jc w:val="center"/>
      </w:pPr>
      <w:r>
        <w:rPr>
          <w:rFonts w:ascii="Calibri" w:hAnsi="Calibri" w:cs="Calibri"/>
          <w:color w:val="404040"/>
          <w:sz w:val="26"/>
          <w:szCs w:val="26"/>
        </w:rPr>
        <w:t xml:space="preserve">Project Plan Report</w:t>
      </w:r>
    </w:p>
    <w:p>
      <w:pPr>
        <w:spacing w:before="0" w:after="360"/>
        <w:jc w:val="center"/>
      </w:pPr>
      <w:r>
        <w:rPr>
          <w:rFonts w:ascii="Calibri" w:hAnsi="Calibri" w:cs="Calibri"/>
          <w:b/>
          <w:bCs/>
          <w:color w:val="1F3864"/>
          <w:sz w:val="40"/>
          <w:szCs w:val="40"/>
        </w:rPr>
        <w:t xml:space="preserve">Development and Deployment of a Learning Management System (LMS) for Online Education</w:t>
      </w:r>
    </w:p>
    <w:p>
      <w:pPr>
        <w:pBdr>
          <w:bottom w:val="single" w:sz="6" w:space="1" w:color="BFC7D5"/>
        </w:pBdr>
        <w:spacing w:before="0" w:after="900"/>
        <w:jc w:val="center"/>
      </w:pPr>
    </w:p>
    <w:p>
      <w:pPr>
        <w:spacing w:before="0" w:after="160"/>
        <w:jc w:val="center"/>
      </w:pPr>
      <w:r>
        <w:rPr>
          <w:rFonts w:ascii="Calibri" w:hAnsi="Calibri" w:cs="Calibri"/>
          <w:b/>
          <w:bCs/>
          <w:caps/>
          <w:spacing w:val="20"/>
          <w:color w:val="595959"/>
          <w:sz w:val="22"/>
          <w:szCs w:val="22"/>
        </w:rPr>
        <w:t xml:space="preserve">Prepared by</w:t>
      </w:r>
    </w:p>
    <w:tbl>
      <w:tblPr>
        <w:tblW w:w="6400" w:type="dxa"/>
        <w:jc w:val="center"/>
        <w:tblBorders>
          <w:top w:val="single" w:sz="8" w:space="0" w:color="1F3864"/>
          <w:left w:val="single" w:sz="4" w:space="0" w:color="BFC7D5"/>
          <w:bottom w:val="single" w:sz="8" w:space="0" w:color="1F3864"/>
          <w:right w:val="single" w:sz="4" w:space="0" w:color="BFC7D5"/>
          <w:insideH w:val="single" w:sz="4" w:space="0" w:color="BFC7D5"/>
          <w:insideV w:val="single" w:sz="4" w:space="0" w:color="BFC7D5"/>
        </w:tblBorders>
        <w:tblLayout w:type="fixed"/>
        <w:tblCellMar>
          <w:left w:w="140" w:type="dxa"/>
          <w:right w:w="140" w:type="dxa"/>
        </w:tblCellMar>
        <w:tblLook w:val="0000"/>
      </w:tblPr>
      <w:tblGrid>
        <w:gridCol w:w="4200"/>
        <w:gridCol w:w="2200"/>
      </w:tblGrid>
      <w:tr>
        <w:trPr>
          <w:trHeight w:val="440"/>
          <w:jc w:val="center"/>
        </w:trPr>
        <w:tc>
          <w:tcPr>
            <w:tcW w:w="4200" w:type="dxa"/>
            <w:shd w:val="clear" w:color="auto" w:fill="1F3864"/>
            <w:vAlign w:val="center"/>
          </w:tcPr>
          <w:p>
            <w:pPr>
              <w:spacing w:before="0" w:after="0"/>
              <w:jc w:val="left"/>
            </w:pPr>
            <w:r>
              <w:rPr>
                <w:rFonts w:ascii="Calibri" w:hAnsi="Calibri" w:cs="Calibri"/>
                <w:b/>
                <w:bCs/>
                <w:color w:val="FFFFFF"/>
                <w:sz w:val="23"/>
                <w:szCs w:val="23"/>
              </w:rPr>
              <w:t>Group Member</w:t>
            </w:r>
          </w:p>
        </w:tc>
        <w:tc>
          <w:tcPr>
            <w:tcW w:w="2200" w:type="dxa"/>
            <w:shd w:val="clear" w:color="auto" w:fill="1F3864"/>
            <w:vAlign w:val="center"/>
          </w:tcPr>
          <w:p>
            <w:pPr>
              <w:spacing w:before="0" w:after="0"/>
              <w:jc w:val="center"/>
            </w:pPr>
            <w:r>
              <w:rPr>
                <w:rFonts w:ascii="Calibri" w:hAnsi="Calibri" w:cs="Calibri"/>
                <w:b/>
                <w:bCs/>
                <w:color w:val="FFFFFF"/>
                <w:sz w:val="23"/>
                <w:szCs w:val="23"/>
              </w:rPr>
              <w:t>Student ID</w:t>
            </w:r>
          </w:p>
        </w:tc>
      </w:tr>
      <w:tr>
        <w:trPr>
          <w:trHeight w:val="420"/>
          <w:jc w:val="center"/>
        </w:trPr>
        <w:tc>
          <w:tcPr>
            <w:tcW w:w="4200" w:type="dxa"/>
            <w:shd w:val="clear" w:color="auto" w:fill="FFFFFF"/>
            <w:vAlign w:val="center"/>
          </w:tcPr>
          <w:p>
            <w:pPr>
              <w:spacing w:before="0" w:after="0"/>
              <w:jc w:val="left"/>
            </w:pPr>
            <w:r>
              <w:rPr>
                <w:rFonts w:ascii="Calibri" w:hAnsi="Calibri" w:cs="Calibri"/>
                <w:color w:val="000000"/>
                <w:sz w:val="23"/>
                <w:szCs w:val="23"/>
              </w:rPr>
              <w:t>MD Sabid Hossen</w:t>
            </w:r>
          </w:p>
        </w:tc>
        <w:tc>
          <w:tcPr>
            <w:tcW w:w="2200" w:type="dxa"/>
            <w:shd w:val="clear" w:color="auto" w:fill="FFFFFF"/>
            <w:vAlign w:val="center"/>
          </w:tcPr>
          <w:p>
            <w:pPr>
              <w:spacing w:before="0" w:after="0"/>
              <w:jc w:val="center"/>
            </w:pPr>
            <w:r>
              <w:rPr>
                <w:rFonts w:ascii="Calibri" w:hAnsi="Calibri" w:cs="Calibri"/>
                <w:color w:val="000000"/>
                <w:sz w:val="23"/>
                <w:szCs w:val="23"/>
              </w:rPr>
              <w:t>66311</w:t>
            </w:r>
          </w:p>
        </w:tc>
      </w:tr>
      <w:tr>
        <w:trPr>
          <w:trHeight w:val="420"/>
          <w:jc w:val="center"/>
        </w:trPr>
        <w:tc>
          <w:tcPr>
            <w:tcW w:w="4200" w:type="dxa"/>
            <w:shd w:val="clear" w:color="auto" w:fill="F2F5FA"/>
            <w:vAlign w:val="center"/>
          </w:tcPr>
          <w:p>
            <w:pPr>
              <w:spacing w:before="0" w:after="0"/>
              <w:jc w:val="left"/>
            </w:pPr>
            <w:r>
              <w:rPr>
                <w:rFonts w:ascii="Calibri" w:hAnsi="Calibri" w:cs="Calibri"/>
                <w:color w:val="000000"/>
                <w:sz w:val="23"/>
                <w:szCs w:val="23"/>
              </w:rPr>
              <w:t>Yousuf Ali</w:t>
            </w:r>
          </w:p>
        </w:tc>
        <w:tc>
          <w:tcPr>
            <w:tcW w:w="2200" w:type="dxa"/>
            <w:shd w:val="clear" w:color="auto" w:fill="F2F5FA"/>
            <w:vAlign w:val="center"/>
          </w:tcPr>
          <w:p>
            <w:pPr>
              <w:spacing w:before="0" w:after="0"/>
              <w:jc w:val="center"/>
            </w:pPr>
            <w:r>
              <w:rPr>
                <w:rFonts w:ascii="Calibri" w:hAnsi="Calibri" w:cs="Calibri"/>
                <w:color w:val="000000"/>
                <w:sz w:val="23"/>
                <w:szCs w:val="23"/>
              </w:rPr>
              <w:t>68306</w:t>
            </w:r>
          </w:p>
        </w:tc>
      </w:tr>
      <w:tr>
        <w:trPr>
          <w:trHeight w:val="420"/>
          <w:jc w:val="center"/>
        </w:trPr>
        <w:tc>
          <w:tcPr>
            <w:tcW w:w="4200" w:type="dxa"/>
            <w:shd w:val="clear" w:color="auto" w:fill="FFFFFF"/>
            <w:vAlign w:val="center"/>
          </w:tcPr>
          <w:p>
            <w:pPr>
              <w:spacing w:before="0" w:after="0"/>
              <w:jc w:val="left"/>
            </w:pPr>
            <w:r>
              <w:rPr>
                <w:rFonts w:ascii="Calibri" w:hAnsi="Calibri" w:cs="Calibri"/>
                <w:color w:val="000000"/>
                <w:sz w:val="23"/>
                <w:szCs w:val="23"/>
              </w:rPr>
              <w:t>M Arnab bin Zaman</w:t>
            </w:r>
          </w:p>
        </w:tc>
        <w:tc>
          <w:tcPr>
            <w:tcW w:w="2200" w:type="dxa"/>
            <w:shd w:val="clear" w:color="auto" w:fill="FFFFFF"/>
            <w:vAlign w:val="center"/>
          </w:tcPr>
          <w:p>
            <w:pPr>
              <w:spacing w:before="0" w:after="0"/>
              <w:jc w:val="center"/>
            </w:pPr>
            <w:r>
              <w:rPr>
                <w:rFonts w:ascii="Calibri" w:hAnsi="Calibri" w:cs="Calibri"/>
                <w:color w:val="000000"/>
                <w:sz w:val="23"/>
                <w:szCs w:val="23"/>
              </w:rPr>
              <w:t>71963</w:t>
            </w:r>
          </w:p>
        </w:tc>
      </w:tr>
      <w:tr>
        <w:trPr>
          <w:trHeight w:val="420"/>
          <w:jc w:val="center"/>
        </w:trPr>
        <w:tc>
          <w:tcPr>
            <w:tcW w:w="4200" w:type="dxa"/>
            <w:shd w:val="clear" w:color="auto" w:fill="F2F5FA"/>
            <w:vAlign w:val="center"/>
          </w:tcPr>
          <w:p>
            <w:pPr>
              <w:spacing w:before="0" w:after="0"/>
              <w:jc w:val="left"/>
            </w:pPr>
            <w:r>
              <w:rPr>
                <w:rFonts w:ascii="Calibri" w:hAnsi="Calibri" w:cs="Calibri"/>
                <w:color w:val="000000"/>
                <w:sz w:val="23"/>
                <w:szCs w:val="23"/>
              </w:rPr>
              <w:t>Mahmudul Hassan Joy</w:t>
            </w:r>
          </w:p>
        </w:tc>
        <w:tc>
          <w:tcPr>
            <w:tcW w:w="2200" w:type="dxa"/>
            <w:shd w:val="clear" w:color="auto" w:fill="F2F5FA"/>
            <w:vAlign w:val="center"/>
          </w:tcPr>
          <w:p>
            <w:pPr>
              <w:spacing w:before="0" w:after="0"/>
              <w:jc w:val="center"/>
            </w:pPr>
            <w:r>
              <w:rPr>
                <w:rFonts w:ascii="Calibri" w:hAnsi="Calibri" w:cs="Calibri"/>
                <w:color w:val="000000"/>
                <w:sz w:val="23"/>
                <w:szCs w:val="23"/>
              </w:rPr>
              <w:t>68121</w:t>
            </w:r>
          </w:p>
        </w:tc>
      </w:tr>
    </w:tbl>
    <w:p>
      <w:pPr>
        <w:spacing w:before="720" w:after="0"/>
        <w:jc w:val="center"/>
      </w:pPr>
      <w:r>
        <w:rPr>
          <w:rFonts w:ascii="Calibri" w:hAnsi="Calibri" w:cs="Calibri"/>
          <w:b/>
          <w:bCs/>
          <w:color w:val="1F3864"/>
          <w:sz w:val="24"/>
        </w:rPr>
        <w:t xml:space="preserve">Submission Date: </w:t>
      </w:r>
      <w:r>
        <w:rPr>
          <w:rFonts w:ascii="Calibri" w:hAnsi="Calibri" w:cs="Calibri"/>
          <w:sz w:val="24"/>
          <w:highlight w:val="yellow"/>
        </w:rPr>
        <w:t>[Date]</w:t>
      </w:r>
    </w:p>
    <w:p w:rsidR="00EB510C" w:rsidRDefault="00EB510C">
      <w:pPr>
        <w:sectPr w:rsidR="00EB510C">
          <w:pgSz w:w="11906" w:h="16838"/>
          <w:pgMar w:top="1440" w:right="1440" w:bottom="1440" w:left="1440" w:header="708" w:footer="708" w:gutter="0"/>
          <w:cols w:space="720"/>
          <w:docGrid w:linePitch="360"/>
        </w:sectPr>
      </w:pPr>
    </w:p>
    <w:p w:rsidR="00EB510C" w:rsidRDefault="003F5293">
      <w:pPr>
        <w:spacing w:after="200"/>
      </w:pPr>
      <w:r>
        <w:rPr>
          <w:b/>
          <w:bCs/>
          <w:sz w:val="32"/>
          <w:szCs w:val="32"/>
        </w:rPr>
        <w:lastRenderedPageBreak/>
        <w:t>Table of Contents</w:t>
      </w:r>
    </w:p>
    <w:sdt>
      <w:sdtPr>
        <w:alias w:val="Table of Contents"/>
        <w:id w:val="-294904300"/>
      </w:sdtPr>
      <w:sdtEndPr/>
      <w:sdtContent>
        <w:p w:rsidR="00A04CE8" w:rsidRDefault="003F5293">
          <w:pPr>
            <w:pStyle w:val="TOC1"/>
            <w:tabs>
              <w:tab w:val="right" w:leader="dot" w:pos="9016"/>
            </w:tabs>
            <w:rPr>
              <w:noProof/>
            </w:rPr>
          </w:pPr>
          <w:r>
            <w:fldChar w:fldCharType="begin"/>
            <w:instrText>TOC \o "1-1" \h</w:instrText>
            <w:fldChar w:fldCharType="separate"/>
          </w:r>
          <w:hyperlink w:anchor="_Toc243565006" w:history="1">
            <w:r>
              <w:rPr>
                <w:rStyle w:val="Hyperlink"/>
                <w:noProof/>
              </w:rPr>
              <w:t>Executive Summary</w:t>
            </w:r>
            <w:r>
              <w:rPr>
                <w:noProof/>
              </w:rPr>
              <w:tab/>
              <w:fldChar w:fldCharType="begin"/>
              <w:instrText xml:space="preserve"> PAGEREF _Toc243565006 \h </w:instrText>
              <w:fldChar w:fldCharType="separate"/>
              <w:t>3</w:t>
              <w:fldChar w:fldCharType="end"/>
            </w:r>
          </w:hyperlink>
        </w:p>
        <w:p w:rsidR="00A04CE8" w:rsidRDefault="00A04CE8">
          <w:pPr>
            <w:pStyle w:val="TOC1"/>
            <w:tabs>
              <w:tab w:val="right" w:leader="dot" w:pos="9016"/>
            </w:tabs>
            <w:rPr>
              <w:noProof/>
            </w:rPr>
          </w:pPr>
          <w:hyperlink w:anchor="_Toc243565007" w:history="1">
            <w:r>
              <w:rPr>
                <w:rStyle w:val="Hyperlink"/>
                <w:noProof/>
              </w:rPr>
              <w:t>List of Abbreviations</w:t>
            </w:r>
            <w:r>
              <w:rPr>
                <w:noProof/>
              </w:rPr>
              <w:tab/>
              <w:fldChar w:fldCharType="begin"/>
              <w:instrText xml:space="preserve"> PAGEREF _Toc243565007 \h </w:instrText>
              <w:fldChar w:fldCharType="separate"/>
              <w:t>4</w:t>
              <w:fldChar w:fldCharType="end"/>
            </w:r>
          </w:hyperlink>
        </w:p>
        <w:p w:rsidR="00A04CE8" w:rsidRDefault="00A04CE8">
          <w:pPr>
            <w:pStyle w:val="TOC1"/>
            <w:tabs>
              <w:tab w:val="right" w:leader="dot" w:pos="9016"/>
            </w:tabs>
            <w:rPr>
              <w:noProof/>
            </w:rPr>
          </w:pPr>
          <w:hyperlink w:anchor="_Toc243565008" w:history="1">
            <w:r>
              <w:rPr>
                <w:rStyle w:val="Hyperlink"/>
                <w:noProof/>
              </w:rPr>
              <w:t>1. Introduction</w:t>
            </w:r>
            <w:r>
              <w:rPr>
                <w:noProof/>
              </w:rPr>
              <w:tab/>
              <w:fldChar w:fldCharType="begin"/>
              <w:instrText xml:space="preserve"> PAGEREF _Toc243565008 \h </w:instrText>
              <w:fldChar w:fldCharType="separate"/>
              <w:t>5</w:t>
              <w:fldChar w:fldCharType="end"/>
            </w:r>
          </w:hyperlink>
        </w:p>
        <w:p w:rsidR="00A04CE8" w:rsidRDefault="00A04CE8">
          <w:pPr>
            <w:pStyle w:val="TOC1"/>
            <w:tabs>
              <w:tab w:val="right" w:leader="dot" w:pos="9016"/>
            </w:tabs>
            <w:rPr>
              <w:noProof/>
            </w:rPr>
          </w:pPr>
          <w:hyperlink w:anchor="_Toc243565009" w:history="1">
            <w:r>
              <w:rPr>
                <w:rStyle w:val="Hyperlink"/>
                <w:noProof/>
              </w:rPr>
              <w:t>2. Literature Review</w:t>
            </w:r>
            <w:r>
              <w:rPr>
                <w:noProof/>
              </w:rPr>
              <w:tab/>
              <w:fldChar w:fldCharType="begin"/>
              <w:instrText xml:space="preserve"> PAGEREF _Toc243565009 \h </w:instrText>
              <w:fldChar w:fldCharType="separate"/>
              <w:t>7</w:t>
              <w:fldChar w:fldCharType="end"/>
            </w:r>
          </w:hyperlink>
        </w:p>
        <w:p w:rsidR="00A04CE8" w:rsidRDefault="00A04CE8">
          <w:pPr>
            <w:pStyle w:val="TOC1"/>
            <w:tabs>
              <w:tab w:val="right" w:leader="dot" w:pos="9016"/>
            </w:tabs>
            <w:rPr>
              <w:noProof/>
            </w:rPr>
          </w:pPr>
          <w:hyperlink w:anchor="_Toc243565010" w:history="1">
            <w:r>
              <w:rPr>
                <w:rStyle w:val="Hyperlink"/>
                <w:noProof/>
              </w:rPr>
              <w:t>3. Project Overview and Objectives</w:t>
            </w:r>
            <w:r>
              <w:rPr>
                <w:noProof/>
              </w:rPr>
              <w:tab/>
              <w:fldChar w:fldCharType="begin"/>
              <w:instrText xml:space="preserve"> PAGEREF _Toc243565010 \h </w:instrText>
              <w:fldChar w:fldCharType="separate"/>
              <w:t>11</w:t>
              <w:fldChar w:fldCharType="end"/>
            </w:r>
          </w:hyperlink>
        </w:p>
        <w:p w:rsidR="00A04CE8" w:rsidRDefault="00A04CE8">
          <w:pPr>
            <w:pStyle w:val="TOC1"/>
            <w:tabs>
              <w:tab w:val="right" w:leader="dot" w:pos="9016"/>
            </w:tabs>
            <w:rPr>
              <w:noProof/>
            </w:rPr>
          </w:pPr>
          <w:hyperlink w:anchor="_Toc243565011" w:history="1">
            <w:r>
              <w:rPr>
                <w:rStyle w:val="Hyperlink"/>
                <w:noProof/>
              </w:rPr>
              <w:t>4. Project Scope Statement and Project Charter</w:t>
            </w:r>
            <w:r>
              <w:rPr>
                <w:noProof/>
              </w:rPr>
              <w:tab/>
              <w:fldChar w:fldCharType="begin"/>
              <w:instrText xml:space="preserve"> PAGEREF _Toc243565011 \h </w:instrText>
              <w:fldChar w:fldCharType="separate"/>
              <w:t>13</w:t>
              <w:fldChar w:fldCharType="end"/>
            </w:r>
          </w:hyperlink>
        </w:p>
        <w:p w:rsidR="00A04CE8" w:rsidRDefault="00A04CE8">
          <w:pPr>
            <w:pStyle w:val="TOC1"/>
            <w:tabs>
              <w:tab w:val="right" w:leader="dot" w:pos="9016"/>
            </w:tabs>
            <w:rPr>
              <w:noProof/>
            </w:rPr>
          </w:pPr>
          <w:hyperlink w:anchor="_Toc243565012" w:history="1">
            <w:r>
              <w:rPr>
                <w:rStyle w:val="Hyperlink"/>
                <w:noProof/>
              </w:rPr>
              <w:t>5. Platform Evaluation and Selection</w:t>
            </w:r>
            <w:r>
              <w:rPr>
                <w:noProof/>
              </w:rPr>
              <w:tab/>
              <w:fldChar w:fldCharType="begin"/>
              <w:instrText xml:space="preserve"> PAGEREF _Toc243565012 \h </w:instrText>
              <w:fldChar w:fldCharType="separate"/>
              <w:t>19</w:t>
              <w:fldChar w:fldCharType="end"/>
            </w:r>
          </w:hyperlink>
        </w:p>
        <w:p w:rsidR="00A04CE8" w:rsidRDefault="00A04CE8">
          <w:pPr>
            <w:pStyle w:val="TOC1"/>
            <w:tabs>
              <w:tab w:val="right" w:leader="dot" w:pos="9016"/>
            </w:tabs>
            <w:rPr>
              <w:noProof/>
            </w:rPr>
          </w:pPr>
          <w:hyperlink w:anchor="_Toc243565013" w:history="1">
            <w:r>
              <w:rPr>
                <w:rStyle w:val="Hyperlink"/>
                <w:noProof/>
              </w:rPr>
              <w:t>6. Work Breakdown Structure</w:t>
            </w:r>
            <w:r>
              <w:rPr>
                <w:noProof/>
              </w:rPr>
              <w:tab/>
              <w:fldChar w:fldCharType="begin"/>
              <w:instrText xml:space="preserve"> PAGEREF _Toc243565013 \h </w:instrText>
              <w:fldChar w:fldCharType="separate"/>
              <w:t>21</w:t>
              <w:fldChar w:fldCharType="end"/>
            </w:r>
          </w:hyperlink>
        </w:p>
        <w:p w:rsidR="00A04CE8" w:rsidRDefault="00A04CE8">
          <w:pPr>
            <w:pStyle w:val="TOC1"/>
            <w:tabs>
              <w:tab w:val="right" w:leader="dot" w:pos="9016"/>
            </w:tabs>
            <w:rPr>
              <w:noProof/>
            </w:rPr>
          </w:pPr>
          <w:hyperlink w:anchor="_Toc243565014" w:history="1">
            <w:r>
              <w:rPr>
                <w:rStyle w:val="Hyperlink"/>
                <w:noProof/>
              </w:rPr>
              <w:t>7. Project Schedule and Gantt Chart</w:t>
            </w:r>
            <w:r>
              <w:rPr>
                <w:noProof/>
              </w:rPr>
              <w:tab/>
              <w:fldChar w:fldCharType="begin"/>
              <w:instrText xml:space="preserve"> PAGEREF _Toc243565014 \h </w:instrText>
              <w:fldChar w:fldCharType="separate"/>
              <w:t>24</w:t>
              <w:fldChar w:fldCharType="end"/>
            </w:r>
          </w:hyperlink>
        </w:p>
        <w:p w:rsidR="00A04CE8" w:rsidRDefault="00A04CE8">
          <w:pPr>
            <w:pStyle w:val="TOC1"/>
            <w:tabs>
              <w:tab w:val="right" w:leader="dot" w:pos="9016"/>
            </w:tabs>
            <w:rPr>
              <w:noProof/>
            </w:rPr>
          </w:pPr>
          <w:hyperlink w:anchor="_Toc243565015" w:history="1">
            <w:r>
              <w:rPr>
                <w:rStyle w:val="Hyperlink"/>
                <w:noProof/>
              </w:rPr>
              <w:t>8. Resource Allocation and Responsibility Matrix</w:t>
            </w:r>
            <w:r>
              <w:rPr>
                <w:noProof/>
              </w:rPr>
              <w:tab/>
              <w:fldChar w:fldCharType="begin"/>
              <w:instrText xml:space="preserve"> PAGEREF _Toc243565015 \h </w:instrText>
              <w:fldChar w:fldCharType="separate"/>
              <w:t>29</w:t>
              <w:fldChar w:fldCharType="end"/>
            </w:r>
          </w:hyperlink>
        </w:p>
        <w:p w:rsidR="00A04CE8" w:rsidRDefault="00A04CE8">
          <w:pPr>
            <w:pStyle w:val="TOC1"/>
            <w:tabs>
              <w:tab w:val="right" w:leader="dot" w:pos="9016"/>
            </w:tabs>
            <w:rPr>
              <w:noProof/>
            </w:rPr>
          </w:pPr>
          <w:hyperlink w:anchor="_Toc243565016" w:history="1">
            <w:r>
              <w:rPr>
                <w:rStyle w:val="Hyperlink"/>
                <w:noProof/>
              </w:rPr>
              <w:t>9. Risk Identification, Analysis and Mitigation</w:t>
            </w:r>
            <w:r>
              <w:rPr>
                <w:noProof/>
              </w:rPr>
              <w:tab/>
              <w:fldChar w:fldCharType="begin"/>
              <w:instrText xml:space="preserve"> PAGEREF _Toc243565016 \h </w:instrText>
              <w:fldChar w:fldCharType="separate"/>
              <w:t>31</w:t>
              <w:fldChar w:fldCharType="end"/>
            </w:r>
          </w:hyperlink>
        </w:p>
        <w:p w:rsidR="00A04CE8" w:rsidRDefault="00A04CE8">
          <w:pPr>
            <w:pStyle w:val="TOC1"/>
            <w:tabs>
              <w:tab w:val="right" w:leader="dot" w:pos="9016"/>
            </w:tabs>
            <w:rPr>
              <w:noProof/>
            </w:rPr>
          </w:pPr>
          <w:hyperlink w:anchor="_Toc243565017" w:history="1">
            <w:r>
              <w:rPr>
                <w:rStyle w:val="Hyperlink"/>
                <w:noProof/>
              </w:rPr>
              <w:t>10. Issue Management Strategy</w:t>
            </w:r>
            <w:r>
              <w:rPr>
                <w:noProof/>
              </w:rPr>
              <w:tab/>
              <w:fldChar w:fldCharType="begin"/>
              <w:instrText xml:space="preserve"> PAGEREF _Toc243565017 \h </w:instrText>
              <w:fldChar w:fldCharType="separate"/>
              <w:t>36</w:t>
              <w:fldChar w:fldCharType="end"/>
            </w:r>
          </w:hyperlink>
        </w:p>
        <w:p w:rsidR="00A04CE8" w:rsidRDefault="00A04CE8">
          <w:pPr>
            <w:pStyle w:val="TOC1"/>
            <w:tabs>
              <w:tab w:val="right" w:leader="dot" w:pos="9016"/>
            </w:tabs>
            <w:rPr>
              <w:noProof/>
            </w:rPr>
          </w:pPr>
          <w:hyperlink w:anchor="_Toc243565018" w:history="1">
            <w:r>
              <w:rPr>
                <w:rStyle w:val="Hyperlink"/>
                <w:noProof/>
              </w:rPr>
              <w:t>11. Change Request and Change Management Process</w:t>
            </w:r>
            <w:r>
              <w:rPr>
                <w:noProof/>
              </w:rPr>
              <w:tab/>
              <w:fldChar w:fldCharType="begin"/>
              <w:instrText xml:space="preserve"> PAGEREF _Toc243565018 \h </w:instrText>
              <w:fldChar w:fldCharType="separate"/>
              <w:t>38</w:t>
              <w:fldChar w:fldCharType="end"/>
            </w:r>
          </w:hyperlink>
        </w:p>
        <w:p w:rsidR="00A04CE8" w:rsidRDefault="00A04CE8">
          <w:pPr>
            <w:pStyle w:val="TOC1"/>
            <w:tabs>
              <w:tab w:val="right" w:leader="dot" w:pos="9016"/>
            </w:tabs>
            <w:rPr>
              <w:noProof/>
            </w:rPr>
          </w:pPr>
          <w:hyperlink w:anchor="_Toc243565019" w:history="1">
            <w:r>
              <w:rPr>
                <w:rStyle w:val="Hyperlink"/>
                <w:noProof/>
              </w:rPr>
              <w:t>12. Communication Management Plan</w:t>
            </w:r>
            <w:r>
              <w:rPr>
                <w:noProof/>
              </w:rPr>
              <w:tab/>
              <w:fldChar w:fldCharType="begin"/>
              <w:instrText xml:space="preserve"> PAGEREF _Toc243565019 \h </w:instrText>
              <w:fldChar w:fldCharType="separate"/>
              <w:t>42</w:t>
              <w:fldChar w:fldCharType="end"/>
            </w:r>
          </w:hyperlink>
        </w:p>
        <w:p w:rsidR="00A04CE8" w:rsidRDefault="00A04CE8">
          <w:pPr>
            <w:pStyle w:val="TOC1"/>
            <w:tabs>
              <w:tab w:val="right" w:leader="dot" w:pos="9016"/>
            </w:tabs>
            <w:rPr>
              <w:noProof/>
            </w:rPr>
          </w:pPr>
          <w:hyperlink w:anchor="_Toc243565020" w:history="1">
            <w:r>
              <w:rPr>
                <w:rStyle w:val="Hyperlink"/>
                <w:noProof/>
              </w:rPr>
              <w:t>13. Quality Management Approach</w:t>
            </w:r>
            <w:r>
              <w:rPr>
                <w:noProof/>
              </w:rPr>
              <w:tab/>
              <w:fldChar w:fldCharType="begin"/>
              <w:instrText xml:space="preserve"> PAGEREF _Toc243565020 \h </w:instrText>
              <w:fldChar w:fldCharType="separate"/>
              <w:t>43</w:t>
              <w:fldChar w:fldCharType="end"/>
            </w:r>
          </w:hyperlink>
        </w:p>
        <w:p w:rsidR="00A04CE8" w:rsidRDefault="00A04CE8">
          <w:pPr>
            <w:pStyle w:val="TOC1"/>
            <w:tabs>
              <w:tab w:val="right" w:leader="dot" w:pos="9016"/>
            </w:tabs>
            <w:rPr>
              <w:noProof/>
            </w:rPr>
          </w:pPr>
          <w:hyperlink w:anchor="_Toc243565021" w:history="1">
            <w:r>
              <w:rPr>
                <w:rStyle w:val="Hyperlink"/>
                <w:noProof/>
              </w:rPr>
              <w:t>14. Configuration Management and GitHub Version Control</w:t>
            </w:r>
            <w:r>
              <w:rPr>
                <w:noProof/>
              </w:rPr>
              <w:tab/>
              <w:fldChar w:fldCharType="begin"/>
              <w:instrText xml:space="preserve"> PAGEREF _Toc243565021 \h </w:instrText>
              <w:fldChar w:fldCharType="separate"/>
              <w:t>45</w:t>
              <w:fldChar w:fldCharType="end"/>
            </w:r>
          </w:hyperlink>
        </w:p>
        <w:p w:rsidR="00A04CE8" w:rsidRDefault="00A04CE8">
          <w:pPr>
            <w:pStyle w:val="TOC1"/>
            <w:tabs>
              <w:tab w:val="right" w:leader="dot" w:pos="9016"/>
            </w:tabs>
            <w:rPr>
              <w:noProof/>
            </w:rPr>
          </w:pPr>
          <w:hyperlink w:anchor="_Toc243565022" w:history="1">
            <w:r>
              <w:rPr>
                <w:rStyle w:val="Hyperlink"/>
                <w:noProof/>
              </w:rPr>
              <w:t>15. Deployment, Pilot and Post-Implementation Support</w:t>
            </w:r>
            <w:r>
              <w:rPr>
                <w:noProof/>
              </w:rPr>
              <w:tab/>
              <w:fldChar w:fldCharType="begin"/>
              <w:instrText xml:space="preserve"> PAGEREF _Toc243565022 \h </w:instrText>
              <w:fldChar w:fldCharType="separate"/>
              <w:t>47</w:t>
              <w:fldChar w:fldCharType="end"/>
            </w:r>
          </w:hyperlink>
        </w:p>
        <w:p w:rsidR="00A04CE8" w:rsidRDefault="00A04CE8">
          <w:pPr>
            <w:pStyle w:val="TOC1"/>
            <w:tabs>
              <w:tab w:val="right" w:leader="dot" w:pos="9016"/>
            </w:tabs>
            <w:rPr>
              <w:noProof/>
            </w:rPr>
          </w:pPr>
          <w:hyperlink w:anchor="_Toc243565023" w:history="1">
            <w:r>
              <w:rPr>
                <w:rStyle w:val="Hyperlink"/>
                <w:noProof/>
              </w:rPr>
              <w:t>16. Conclusion</w:t>
            </w:r>
            <w:r>
              <w:rPr>
                <w:noProof/>
              </w:rPr>
              <w:tab/>
              <w:fldChar w:fldCharType="begin"/>
              <w:instrText xml:space="preserve"> PAGEREF _Toc243565023 \h </w:instrText>
              <w:fldChar w:fldCharType="separate"/>
              <w:t>49</w:t>
              <w:fldChar w:fldCharType="end"/>
            </w:r>
          </w:hyperlink>
        </w:p>
        <w:p w:rsidR="00A04CE8" w:rsidRDefault="00A04CE8">
          <w:pPr>
            <w:pStyle w:val="TOC1"/>
            <w:tabs>
              <w:tab w:val="right" w:leader="dot" w:pos="9016"/>
            </w:tabs>
            <w:rPr>
              <w:noProof/>
            </w:rPr>
          </w:pPr>
          <w:hyperlink w:anchor="_Toc243565024" w:history="1">
            <w:r>
              <w:rPr>
                <w:rStyle w:val="Hyperlink"/>
                <w:noProof/>
              </w:rPr>
              <w:t>References</w:t>
            </w:r>
            <w:r>
              <w:rPr>
                <w:noProof/>
              </w:rPr>
              <w:tab/>
              <w:fldChar w:fldCharType="begin"/>
              <w:instrText xml:space="preserve"> PAGEREF _Toc243565024 \h </w:instrText>
              <w:fldChar w:fldCharType="separate"/>
              <w:t>51</w:t>
              <w:fldChar w:fldCharType="end"/>
            </w:r>
          </w:hyperlink>
        </w:p>
        <w:p w:rsidR="00A04CE8" w:rsidRDefault="00A04CE8">
          <w:pPr>
            <w:pStyle w:val="TOC1"/>
            <w:tabs>
              <w:tab w:val="right" w:leader="dot" w:pos="9016"/>
            </w:tabs>
            <w:rPr>
              <w:noProof/>
            </w:rPr>
          </w:pPr>
          <w:hyperlink w:anchor="_Toc900003" w:history="1">
            <w:r>
              <w:rPr>
                <w:rStyle w:val="Hyperlink"/>
                <w:noProof/>
              </w:rPr>
              <w:t>Appendix A: GitHub Repository Evidence</w:t>
            </w:r>
            <w:r>
              <w:rPr>
                <w:noProof/>
              </w:rPr>
              <w:tab/>
              <w:fldChar w:fldCharType="begin"/>
              <w:instrText xml:space="preserve"> PAGEREF _Toc900003 \h </w:instrText>
              <w:fldChar w:fldCharType="separate"/>
              <w:t>53</w:t>
              <w:fldChar w:fldCharType="end"/>
            </w:r>
          </w:hyperlink>
        </w:p>
        <w:p w:rsidR="00EB510C" w:rsidRDefault="003F5293">
          <w:r>
            <w:fldChar w:fldCharType="end"/>
          </w:r>
        </w:p>
      </w:sdtContent>
    </w:sdt>
    <w:p w:rsidR="00EB510C" w:rsidRDefault="003F5293">
      <w:pPr>
        <w:pStyle w:val="Heading1"/>
        <w:pageBreakBefore/>
      </w:pPr>
      <w:bookmarkStart w:id="1" w:name="_Toc243565006"/>
      <w:r>
        <w:lastRenderedPageBreak/>
        <w:t>Executive Summary</w:t>
      </w:r>
      <w:bookmarkEnd w:id="1"/>
    </w:p>
    <w:p w:rsidR="00EB510C" w:rsidRDefault="003F5293">
      <w:pPr>
        <w:spacing w:after="160" w:line="360" w:lineRule="auto"/>
        <w:jc w:val="both"/>
      </w:pPr>
      <w:r>
        <w:t>This report presents a project plan for the development and deployment of a Learning Management System (LMS) at Riverbend Institute of Higher Education (RIHE), a fictional private higher education provider created for this assignment. RIHE currently delivers online learning through a combination of shared network drives, email and an ageing course portal that is approaching the end of vendor support. This fragmented arrangement creates inconsistent student experiences, manual assessment handling and weak control over student data.</w:t>
      </w:r>
    </w:p>
    <w:p w:rsidR="00EB510C" w:rsidRDefault="003F5293">
      <w:pPr>
        <w:spacing w:after="160" w:line="360" w:lineRule="auto"/>
        <w:jc w:val="both"/>
      </w:pPr>
      <w:r>
        <w:t xml:space="preserve">The project will implement a centralised, web-based LMS that supports course delivery, assessment submission and feedback, online quizzes, progress tracking and announcements. After a weighted evaluation of Moodle and Canvas LMS, Moodle is recommended because it offers the lowest licensing cost, full control over hosting and data, and extensive configurability, although it requires stronger in-house administration skills and places greater reliance on community or partner support.</w:t>
      </w:r>
    </w:p>
    <w:p w:rsidR="00EB510C" w:rsidRDefault="003F5293">
      <w:pPr>
        <w:spacing w:after="160" w:line="360" w:lineRule="auto"/>
        <w:jc w:val="both"/>
      </w:pPr>
      <w:r>
        <w:t xml:space="preserve">The plan covers a 28-week implementation organised into 13 deliverable-oriented work packages, with a critical path running through requirements, design, infrastructure, configuration, testing, a five-course pilot, remediation, user acceptance testing (UAT) and go-live. Institution-wide staff training is completed before acceptance testing, and a dedicated week for retesting and the go/no-go decision separates UAT from production deployment. Research on LMS implementation consistently shows that human factors, particularly lecturer workload concerns, resistance to change and sudden introduction, are more likely to undermine adoption than technical faults [1], [2]. The plan therefore places a pilot phase, structured training, stakeholder communication and formal change control at the centre of the schedule rather than treating them as afterthoughts.</w:t>
      </w:r>
    </w:p>
    <w:p w:rsidR="00EB510C" w:rsidRDefault="003F5293">
      <w:pPr>
        <w:spacing w:after="160" w:line="360" w:lineRule="auto"/>
        <w:jc w:val="both"/>
      </w:pPr>
      <w:r>
        <w:t>The report includes the project charter (with a named core team, authority levels, stakeholder register and sign-off block) and scope statement, Work Breakdown Structure (WBS), a dated schedule and Gantt chart showing task dependencies, RACI responsibility matrix, risk register with a heat map and an expected monetary value (EMV) justification of the contingency reserve, issue management strategy, change control process with a worked change request, communication plan, quality management approach and a configuration management strategy using GitHub. All figures, costs and targets are planning assumptions for a hypothetical scenario and are labelled as such.</w:t>
      </w:r>
    </w:p>
    <w:p w:rsidR="00EB510C" w:rsidRDefault="003F5293">
      <w:pPr>
        <w:pStyle w:val="Heading1"/>
        <w:pageBreakBefore/>
      </w:pPr>
      <w:bookmarkStart w:id="2" w:name="_Toc243565007"/>
      <w:r>
        <w:lastRenderedPageBreak/>
        <w:t>List of Abbreviations</w:t>
      </w:r>
      <w:bookmarkEnd w:id="2"/>
    </w:p>
    <w:p w:rsidR="00EB510C" w:rsidRDefault="003F5293">
      <w:pPr>
        <w:keepNext/>
        <w:spacing w:before="200" w:after="80"/>
      </w:pPr>
      <w:r>
        <w:rPr>
          <w:b/>
          <w:bCs/>
        </w:rPr>
        <w:t xml:space="preserve">Table 1: </w:t>
      </w:r>
      <w:r>
        <w:rPr>
          <w:i/>
          <w:iCs/>
        </w:rPr>
        <w:t>Abbreviations used in this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4"/>
        <w:gridCol w:w="6162"/>
      </w:tblGrid>
      <w:tr w:rsidR="00EB510C">
        <w:tblPrEx>
          <w:tblCellMar>
            <w:top w:w="0" w:type="dxa"/>
            <w:bottom w:w="0" w:type="dxa"/>
          </w:tblCellMar>
        </w:tblPrEx>
        <w:trPr>
          <w:cantSplit/>
          <w:tblHeader/>
        </w:trPr>
        <w:tc>
          <w:tcPr>
            <w:tcW w:w="2864"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Abbreviation</w:t>
            </w:r>
          </w:p>
        </w:tc>
        <w:tc>
          <w:tcPr>
            <w:tcW w:w="616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Meaning</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CCB</w:t>
            </w:r>
          </w:p>
        </w:tc>
        <w:tc>
          <w:tcPr>
            <w:tcW w:w="6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Change Control Board</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CR</w:t>
            </w:r>
          </w:p>
        </w:tc>
        <w:tc>
          <w:tcPr>
            <w:tcW w:w="61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Change Request</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EMV</w:t>
            </w:r>
          </w:p>
        </w:tc>
        <w:tc>
          <w:tcPr>
            <w:tcW w:w="61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Expected Monetary Value</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FTE</w:t>
            </w:r>
          </w:p>
        </w:tc>
        <w:tc>
          <w:tcPr>
            <w:tcW w:w="6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Full-Time Equivalent</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HE</w:t>
            </w:r>
          </w:p>
        </w:tc>
        <w:tc>
          <w:tcPr>
            <w:tcW w:w="61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Higher Education</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IS</w:t>
            </w:r>
          </w:p>
        </w:tc>
        <w:tc>
          <w:tcPr>
            <w:tcW w:w="6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Information System</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LTI</w:t>
            </w:r>
          </w:p>
        </w:tc>
        <w:tc>
          <w:tcPr>
            <w:tcW w:w="61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Learning Tools Interoperability</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LMS</w:t>
            </w:r>
          </w:p>
        </w:tc>
        <w:tc>
          <w:tcPr>
            <w:tcW w:w="61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Learning Management System</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MFA</w:t>
            </w:r>
          </w:p>
        </w:tc>
        <w:tc>
          <w:tcPr>
            <w:tcW w:w="6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Multi-Factor Authentication</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OWASP ASVS</w:t>
            </w:r>
          </w:p>
        </w:tc>
        <w:tc>
          <w:tcPr>
            <w:tcW w:w="61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Open Worldwide Application Security Project Application Security Verification Standard</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PM</w:t>
            </w:r>
          </w:p>
        </w:tc>
        <w:tc>
          <w:tcPr>
            <w:tcW w:w="6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Project Manager</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PR</w:t>
            </w:r>
          </w:p>
        </w:tc>
        <w:tc>
          <w:tcPr>
            <w:tcW w:w="61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Pull Request (GitHub)</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QA / QC</w:t>
            </w:r>
          </w:p>
        </w:tc>
        <w:tc>
          <w:tcPr>
            <w:tcW w:w="6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Quality Assurance / Quality Control</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RAG</w:t>
            </w:r>
          </w:p>
        </w:tc>
        <w:tc>
          <w:tcPr>
            <w:tcW w:w="61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Red / Amber / Green status rating</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RACI</w:t>
            </w:r>
          </w:p>
        </w:tc>
        <w:tc>
          <w:tcPr>
            <w:tcW w:w="61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Responsible, Accountable, Consulted, Informed</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RIHE</w:t>
            </w:r>
          </w:p>
        </w:tc>
        <w:tc>
          <w:tcPr>
            <w:tcW w:w="6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Riverbend Institute of Higher Education (fictional)</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SaaS</w:t>
            </w:r>
          </w:p>
        </w:tc>
        <w:tc>
          <w:tcPr>
            <w:tcW w:w="61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Software as a Service</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SMART</w:t>
            </w:r>
          </w:p>
        </w:tc>
        <w:tc>
          <w:tcPr>
            <w:tcW w:w="6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Specific, Measurable, Achievable, Relevant, Time-bound</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TAM</w:t>
            </w:r>
          </w:p>
        </w:tc>
        <w:tc>
          <w:tcPr>
            <w:tcW w:w="61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Technology Acceptance Model</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UAT</w:t>
            </w:r>
          </w:p>
        </w:tc>
        <w:tc>
          <w:tcPr>
            <w:tcW w:w="6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User Acceptance Testing</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WBS</w:t>
            </w:r>
          </w:p>
        </w:tc>
        <w:tc>
          <w:tcPr>
            <w:tcW w:w="61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Work Breakdown Structure</w:t>
            </w:r>
          </w:p>
        </w:tc>
      </w:tr>
      <w:tr w:rsidR="00EB510C">
        <w:tblPrEx>
          <w:tblCellMar>
            <w:top w:w="0" w:type="dxa"/>
            <w:bottom w:w="0" w:type="dxa"/>
          </w:tblCellMar>
        </w:tblPrEx>
        <w:trPr>
          <w:cantSplit/>
        </w:trPr>
        <w:tc>
          <w:tcPr>
            <w:tcW w:w="28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WCAG</w:t>
            </w:r>
          </w:p>
        </w:tc>
        <w:tc>
          <w:tcPr>
            <w:tcW w:w="6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Web Content Accessibility Guidelines</w:t>
            </w:r>
          </w:p>
        </w:tc>
      </w:tr>
    </w:tbl>
    <w:p w:rsidR="00EB510C" w:rsidRDefault="00EB510C">
      <w:pPr>
        <w:spacing w:after="120"/>
      </w:pPr>
    </w:p>
    <w:p w:rsidR="00EB510C" w:rsidRDefault="003F5293">
      <w:pPr>
        <w:pStyle w:val="Heading1"/>
        <w:pageBreakBefore/>
      </w:pPr>
      <w:bookmarkStart w:id="3" w:name="_Toc243565008"/>
      <w:r>
        <w:lastRenderedPageBreak/>
        <w:t>1. Introduction</w:t>
      </w:r>
      <w:bookmarkEnd w:id="3"/>
    </w:p>
    <w:p w:rsidR="00EB510C" w:rsidRDefault="003F5293">
      <w:pPr>
        <w:pStyle w:val="Heading2"/>
      </w:pPr>
      <w:bookmarkStart w:id="4" w:name="_Toc100004"/>
      <w:r>
        <w:t>1.1 Background</w:t>
      </w:r>
      <w:bookmarkEnd w:id="4"/>
    </w:p>
    <w:p w:rsidR="00EB510C" w:rsidRDefault="003F5293">
      <w:pPr>
        <w:spacing w:after="160" w:line="360" w:lineRule="auto"/>
        <w:jc w:val="both"/>
      </w:pPr>
      <w:r>
        <w:t>Learning Management Systems have become core infrastructure in higher education. An LMS provides a single environment in which lecturers publish learning materials, set and grade assessments, communicate with students and monitor progress, while students access resources, submit work and receive feedback. The scale of adoption is substantial: Moodle alone reports more than 148,000 registered sites in 237 countries and over 538 million users, although these figures are self-registered and should be read as indicative rather than exact [3].</w:t>
      </w:r>
    </w:p>
    <w:p w:rsidR="00EB510C" w:rsidRDefault="003F5293">
      <w:pPr>
        <w:spacing w:after="160" w:line="360" w:lineRule="auto"/>
        <w:jc w:val="both"/>
      </w:pPr>
      <w:r>
        <w:t xml:space="preserve">Wide adoption, however, does not guarantee successful implementation. Studies of LMS rollouts in Norway, Sweden, Saudi Arabia and the Philippines show that institutions often struggle with integration, resource shortages, staff resistance and the extra time lecturers need to redesign their teaching [1], [2], [4], [5]. An LMS project is therefore as much an organisational change project as a technical installation, which makes disciplined project management essential.</w:t>
      </w:r>
    </w:p>
    <w:p w:rsidR="00EB510C" w:rsidRDefault="003F5293">
      <w:pPr>
        <w:pStyle w:val="Heading2"/>
      </w:pPr>
      <w:bookmarkStart w:id="5" w:name="_Toc100005"/>
      <w:r>
        <w:t>1.2 Institutional Problem</w:t>
      </w:r>
      <w:bookmarkEnd w:id="5"/>
    </w:p>
    <w:p w:rsidR="00EB510C" w:rsidRDefault="003F5293">
      <w:pPr>
        <w:spacing w:after="160" w:line="360" w:lineRule="auto"/>
        <w:jc w:val="both"/>
      </w:pPr>
      <w:r>
        <w:t>RIHE is a fictional Melbourne-based private higher education provider with approximately 2,800 students and 140 academic staff across four schools. These figures are hypothetical planning assumptions. RIHE's current online learning arrangements have four main weaknesses:</w:t>
      </w:r>
    </w:p>
    <w:p w:rsidR="00EB510C" w:rsidRDefault="003F5293">
      <w:pPr>
        <w:pStyle w:val="ListParagraph"/>
        <w:numPr>
          <w:ilvl w:val="0"/>
          <w:numId w:val="2"/>
        </w:numPr>
        <w:spacing w:after="80" w:line="360" w:lineRule="auto"/>
        <w:jc w:val="both"/>
      </w:pPr>
      <w:r>
        <w:t>Learning materials are scattered across shared drives, email attachments and an ageing course portal, so students cannot find resources consistently.</w:t>
      </w:r>
    </w:p>
    <w:p w:rsidR="00EB510C" w:rsidRDefault="003F5293">
      <w:pPr>
        <w:pStyle w:val="ListParagraph"/>
        <w:numPr>
          <w:ilvl w:val="0"/>
          <w:numId w:val="2"/>
        </w:numPr>
        <w:spacing w:after="80" w:line="360" w:lineRule="auto"/>
        <w:jc w:val="both"/>
      </w:pPr>
      <w:r>
        <w:t>Assignment submission and feedback are partly manual, which increases administrative workload and the risk of lost submissions.</w:t>
      </w:r>
    </w:p>
    <w:p w:rsidR="00EB510C" w:rsidRDefault="003F5293">
      <w:pPr>
        <w:pStyle w:val="ListParagraph"/>
        <w:numPr>
          <w:ilvl w:val="0"/>
          <w:numId w:val="2"/>
        </w:numPr>
        <w:spacing w:after="80" w:line="360" w:lineRule="auto"/>
        <w:jc w:val="both"/>
      </w:pPr>
      <w:r>
        <w:t>The existing portal is approaching the end of vendor support, creating security and continuity risks.</w:t>
      </w:r>
    </w:p>
    <w:p w:rsidR="00EB510C" w:rsidRDefault="003F5293">
      <w:pPr>
        <w:pStyle w:val="ListParagraph"/>
        <w:numPr>
          <w:ilvl w:val="0"/>
          <w:numId w:val="2"/>
        </w:numPr>
        <w:spacing w:after="80" w:line="360" w:lineRule="auto"/>
        <w:jc w:val="both"/>
      </w:pPr>
      <w:r>
        <w:t>Student data is stored in several locations with inconsistent access controls, which weakens RIHE's ability to meet its obligations under the Australian Privacy Principles [6].</w:t>
      </w:r>
    </w:p>
    <w:p>
      <w:pPr>
        <w:spacing w:after="160" w:line="360" w:lineRule="auto"/>
        <w:jc w:val="both"/>
      </w:pPr>
      <w:r>
        <w:rPr>
          <w:b/>
          <w:bCs/>
        </w:rPr>
        <w:t xml:space="preserve">Problem statement. </w:t>
      </w:r>
      <w:r>
        <w:t xml:space="preserve">RIHE has no single, secure and supported platform for online learning. Unless the ageing portal is replaced before vendor support ends, the institute will continue to face an inconsistent student experience, avoidable administrative workload and growing security and privacy exposure, with a hard deadline set by the start of the next teaching trimester.</w:t>
      </w:r>
    </w:p>
    <w:p w:rsidR="00EB510C" w:rsidRDefault="003F5293">
      <w:pPr>
        <w:pStyle w:val="Heading2"/>
      </w:pPr>
      <w:bookmarkStart w:id="6" w:name="_Toc100006"/>
      <w:r>
        <w:lastRenderedPageBreak/>
        <w:t>1.3 Proposed Solution and Purpose of this Report</w:t>
      </w:r>
      <w:bookmarkEnd w:id="6"/>
    </w:p>
    <w:p w:rsidR="00EB510C" w:rsidRDefault="003F5293">
      <w:pPr>
        <w:spacing w:after="160" w:line="360" w:lineRule="auto"/>
        <w:jc w:val="both"/>
      </w:pPr>
      <w:r>
        <w:t xml:space="preserve">The proposed solution is a centralised, web-based LMS, recommended to be Moodle, implemented through a structured project with a pilot phase before institution-wide deployment. The purpose of this report is to present a complete project plan that shows how the LMS will be initiated, planned, executed, monitored, controlled, tested, deployed and closed.</w:t>
      </w:r>
    </w:p>
    <w:p>
      <w:pPr>
        <w:spacing w:after="160" w:line="360" w:lineRule="auto"/>
        <w:jc w:val="both"/>
      </w:pPr>
      <w:r>
        <w:rPr>
          <w:b/>
          <w:bCs/>
        </w:rPr>
        <w:t xml:space="preserve">Thesis. </w:t>
      </w:r>
      <w:r>
        <w:t xml:space="preserve">This report argues that a pilot-led, change-managed Moodle implementation, governed by a signed charter, formal change control and measurable quality gates, is the lowest-risk way for RIHE to replace its fragmented tools within a fixed budget and before the start of a teaching trimester. The remainder of the report sets out the plan that supports this argument.</w:t>
      </w:r>
    </w:p>
    <w:p w:rsidR="00EB510C" w:rsidRDefault="003F5293">
      <w:pPr>
        <w:pStyle w:val="Heading2"/>
      </w:pPr>
      <w:bookmarkStart w:id="7" w:name="_Toc100007"/>
      <w:r>
        <w:t>1.4 Planning Approach</w:t>
      </w:r>
      <w:bookmarkEnd w:id="7"/>
    </w:p>
    <w:p w:rsidR="00EB510C" w:rsidRDefault="003F5293">
      <w:pPr>
        <w:spacing w:after="160" w:line="360" w:lineRule="auto"/>
        <w:jc w:val="both"/>
      </w:pPr>
      <w:r>
        <w:t xml:space="preserve">The plan follows a predictive (plan-driven) life cycle for the overall project because the scope, regulatory obligations and academic calendar require fixed milestones, a defined budget and formal approvals [7]. Within the configuration and remediation work packages, short iterative cycles are used so that feedback from the pilot can be incorporated quickly. This hybrid approach balances predictability with the need to respond to user feedback.</w:t>
      </w:r>
    </w:p>
    <w:p w:rsidR="00EB510C" w:rsidRDefault="003F5293">
      <w:pPr>
        <w:pStyle w:val="Heading2"/>
      </w:pPr>
      <w:bookmarkStart w:id="8" w:name="_Toc100008"/>
      <w:r>
        <w:t>1.5 Report Structure</w:t>
      </w:r>
      <w:bookmarkEnd w:id="8"/>
    </w:p>
    <w:p w:rsidR="00EB510C" w:rsidRDefault="003F5293">
      <w:pPr>
        <w:spacing w:after="160" w:line="360" w:lineRule="auto"/>
        <w:jc w:val="both"/>
      </w:pPr>
      <w:r>
        <w:t>Section 2 reviews the literature on LMS adoption and implementation. Sections 3 to 5 define the project, its scope and the platform decision. Sections 6 to 8 present the WBS, schedule and resource plan. Sections 9 to 14 cover risk, issue, change, communication, quality and configuration management. Section 15 describes deployment and support, and Section 16 concludes with recommendations. Appendix A provides the GitHub repository evidence.</w:t>
      </w:r>
    </w:p>
    <w:p w:rsidR="00EB510C" w:rsidRDefault="003F5293">
      <w:pPr>
        <w:pStyle w:val="Heading1"/>
        <w:pageBreakBefore/>
      </w:pPr>
      <w:bookmarkStart w:id="9" w:name="_Toc243565009"/>
      <w:r>
        <w:lastRenderedPageBreak/>
        <w:t>2. Literature Review</w:t>
      </w:r>
      <w:bookmarkEnd w:id="9"/>
    </w:p>
    <w:p w:rsidR="00EB510C" w:rsidRDefault="003F5293">
      <w:pPr>
        <w:spacing w:after="160" w:line="360" w:lineRule="auto"/>
        <w:jc w:val="both"/>
      </w:pPr>
      <w:r>
        <w:t>This section reviews research on LMS adoption and implementation and explains how the evidence shapes the project decisions. Empirical studies are distinguished from industry guidance, which is used only to inform process structure.</w:t>
      </w:r>
    </w:p>
    <w:p w:rsidR="00EB510C" w:rsidRDefault="003F5293">
      <w:pPr>
        <w:pStyle w:val="Heading2"/>
      </w:pPr>
      <w:bookmarkStart w:id="10" w:name="_Toc100010"/>
      <w:r>
        <w:t>2.1 Technology Acceptance and LMS Adoption</w:t>
      </w:r>
      <w:bookmarkEnd w:id="10"/>
    </w:p>
    <w:p w:rsidR="00EB510C" w:rsidRDefault="003F5293">
      <w:pPr>
        <w:spacing w:after="160" w:line="360" w:lineRule="auto"/>
        <w:jc w:val="both"/>
      </w:pPr>
      <w:r>
        <w:t xml:space="preserve">Most LMS adoption research is grounded in a small set of theoretical models. A systematic review of 68 studies published between 2005 and 2020 found that the Technology Acceptance Model (TAM), the DeLone and McLean IS success model and the Unified Theory of Acceptance and Use of Technology (UTAUT) dominate the field [8]. TAM proposes that users adopt a system when they perceive it as useful and easy to use [9]. For this project, the implication is that technical availability is not enough: lecturers and students must experience the LMS as both useful and easy, which requires usability testing, training and visible early benefits.</w:t>
      </w:r>
    </w:p>
    <w:p w:rsidR="00EB510C" w:rsidRDefault="003F5293">
      <w:pPr>
        <w:pStyle w:val="Heading2"/>
      </w:pPr>
      <w:bookmarkStart w:id="11" w:name="_Toc100011"/>
      <w:r>
        <w:t>2.2 Human Factors: Lecturer Workload and Resistance to Change</w:t>
      </w:r>
      <w:bookmarkEnd w:id="11"/>
    </w:p>
    <w:p w:rsidR="00EB510C" w:rsidRDefault="003F5293">
      <w:pPr>
        <w:spacing w:after="160" w:line="360" w:lineRule="auto"/>
        <w:jc w:val="both"/>
      </w:pPr>
      <w:r>
        <w:t xml:space="preserve">Human factors appear repeatedly as the most persistent barrier. In a longitudinal study at the University of Borås, Garrote Jurado [1] interviewed 17 lecturers in 2006 and again in 2011 and found that most still used the LMS mainly to distribute documents and manage administration. The author attributes this to lecturers' fear of additional demands on their time and argues that incentives are needed in addition to training and support. A recent survey of 182 faculty members and 29 administrators in Philippine higher education institutions similarly identified insufficient time to plan technology-integrated lessons and resistance to change as common challenges [2].</w:t>
      </w:r>
    </w:p>
    <w:p w:rsidR="00EB510C" w:rsidRDefault="003F5293">
      <w:pPr>
        <w:spacing w:after="160" w:line="360" w:lineRule="auto"/>
        <w:jc w:val="both"/>
      </w:pPr>
      <w:r>
        <w:t>These studies agree on the problem but differ in context. The Swedish study is small, qualitative and focused on a single engineering school, while the Philippine study is larger but relies on self-reported survey data. Neither can be generalised directly to RIHE. Nevertheless, the consistency of the finding across countries and decades is strong enough to treat faculty workload and resistance as a high-priority project risk (Section 9) and to schedule dedicated training, lecturer champions and workload support.</w:t>
      </w:r>
    </w:p>
    <w:p w:rsidR="00EB510C" w:rsidRDefault="003F5293">
      <w:pPr>
        <w:pStyle w:val="Heading2"/>
      </w:pPr>
      <w:bookmarkStart w:id="12" w:name="_Toc100012"/>
      <w:r>
        <w:t>2.3 Implementation Drivers and Barriers</w:t>
      </w:r>
      <w:bookmarkEnd w:id="12"/>
    </w:p>
    <w:p w:rsidR="00EB510C" w:rsidRDefault="003F5293">
      <w:pPr>
        <w:spacing w:after="160" w:line="360" w:lineRule="auto"/>
        <w:jc w:val="both"/>
      </w:pPr>
      <w:r>
        <w:t>A qualitative case study of the Canvas implementation at the University of Oslo identified six implementation drivers: modelling previous success, motivating change, freedom in decision-</w:t>
        <w:lastRenderedPageBreak/>
        <w:t>making, a pilot phase acting as a front-runner, a support system and user satisfaction. The most prominent barriers were integration challenges, resource shortages and sudden introduction [5]. This study is particularly relevant because it examines the implementation process itself rather than post-implementation use. It provides direct evidence for three planning decisions: including a pilot before full deployment, avoiding a "big bang" introduction, and allocating explicit resources to integration and support.</w:t>
      </w:r>
    </w:p>
    <w:p w:rsidR="00EB510C" w:rsidRDefault="003F5293">
      <w:pPr>
        <w:pStyle w:val="Heading2"/>
      </w:pPr>
      <w:bookmarkStart w:id="13" w:name="_Toc100013"/>
      <w:r>
        <w:t>2.4 Technical Infrastructure and IT Governance</w:t>
      </w:r>
      <w:bookmarkEnd w:id="13"/>
    </w:p>
    <w:p w:rsidR="00EB510C" w:rsidRDefault="003F5293">
      <w:pPr>
        <w:spacing w:after="160" w:line="360" w:lineRule="auto"/>
        <w:jc w:val="both"/>
      </w:pPr>
      <w:r>
        <w:t xml:space="preserve">Alduraywish et al. [4] used interpretive structural modelling to examine relationships among success factors for LMS diffusion in Saudi Arabian universities. They found that clearly defined IT policies and appropriate technology infrastructure are the factors with the greatest driving power on the technology side, while standardised IT resources, staff computer skills and proper training programmes drive the human side. The authors note that their relationship model was not statistically validated, which limits the strength of the conclusions. Even so, the findings support dedicated work packages for solution architecture, infrastructure provisioning and IT governance, and they reinforce the link between technical readiness and staff capability.</w:t>
      </w:r>
    </w:p>
    <w:p w:rsidR="00EB510C" w:rsidRDefault="003F5293">
      <w:pPr>
        <w:pStyle w:val="Heading2"/>
      </w:pPr>
      <w:bookmarkStart w:id="14" w:name="_Toc100014"/>
      <w:r>
        <w:t xml:space="preserve">2.5 Quality, User Satisfaction and Sustained Use</w:t>
      </w:r>
      <w:bookmarkEnd w:id="14"/>
    </w:p>
    <w:p w:rsidR="00EB510C" w:rsidRDefault="003F5293">
      <w:pPr>
        <w:spacing w:after="160" w:line="360" w:lineRule="auto"/>
        <w:jc w:val="both"/>
      </w:pPr>
      <w:r>
        <w:t xml:space="preserve">The DeLone and McLean model proposes that system quality, information quality and service quality influence use and user satisfaction, which in turn produce net benefits [10]. A literature review of 14 LMS studies applying this model found that user satisfaction is influenced mainly by information quality and system quality, and that net benefits are influenced mainly by user satisfaction [11]. The same review noted that service quality, use and intention to use were less consistently significant, possibly because LMS use is often mandatory.</w:t>
      </w:r>
    </w:p>
    <w:p w:rsidR="00EB510C" w:rsidRDefault="003F5293">
      <w:pPr>
        <w:spacing w:after="160" w:line="360" w:lineRule="auto"/>
        <w:jc w:val="both"/>
      </w:pPr>
      <w:r>
        <w:t>Al-Busaidi [12], surveying 512 learners, argued that while instructors may initiate LMS adoption, the system survives in the long run through learners' continuous use. Learner, instructor, system, course and organisational characteristics were all found to be critical to at least one success measure. This finding broadens the stakeholder focus of the project: students must be represented in requirements, pilot feedback and communication, not treated only as end users.</w:t>
      </w:r>
    </w:p>
    <w:p w:rsidR="00EB510C" w:rsidRDefault="003F5293">
      <w:pPr>
        <w:pStyle w:val="Heading2"/>
      </w:pPr>
      <w:bookmarkStart w:id="15" w:name="_Toc100015"/>
      <w:r>
        <w:lastRenderedPageBreak/>
        <w:t>2.6 Accessibility, Security and Privacy</w:t>
      </w:r>
      <w:bookmarkEnd w:id="15"/>
    </w:p>
    <w:p w:rsidR="00EB510C" w:rsidRDefault="003F5293">
      <w:pPr>
        <w:spacing w:after="160" w:line="360" w:lineRule="auto"/>
        <w:jc w:val="both"/>
      </w:pPr>
      <w:r>
        <w:t>Accessibility and security are often under-represented in LMS adoption studies but are essential for an institution handling student data. The Web Content Accessibility Guidelines (WCAG) 2.2 provide the internationally recognised benchmark for accessible web content [13]. The OWASP Application Security Verification Standard (ASVS) provides a structured set of security requirements for web applications [14]. In the Australian context, the Privacy Act 1988 (Cth) and the Australian Privacy Principles govern how personal information is collected, stored and disclosed [6]. These sources do not describe LMS outcomes, but they define the standards against which the system will be tested.</w:t>
      </w:r>
    </w:p>
    <w:p w:rsidR="00EB510C" w:rsidRDefault="003F5293">
      <w:pPr>
        <w:pStyle w:val="Heading2"/>
      </w:pPr>
      <w:bookmarkStart w:id="16" w:name="_Toc100016"/>
      <w:r>
        <w:t>2.7 Industry Implementation Guidance</w:t>
      </w:r>
      <w:bookmarkEnd w:id="16"/>
    </w:p>
    <w:p w:rsidR="00EB510C" w:rsidRDefault="003F5293">
      <w:pPr>
        <w:spacing w:after="160" w:line="360" w:lineRule="auto"/>
        <w:jc w:val="both"/>
      </w:pPr>
      <w:r>
        <w:t>Industry sources broadly agree on the sequence of LMS implementation activities. Lambda Solutions [15] describes needs assessment, vendor shortlisting, system setup, content migration, testing, communication and change management, and a gradual rollout to user groups. 360Learning [16] organises implementation into "think", "build" and "launch" phases. These sources are commercial and are not empirical evidence, but they align closely with the academic findings on pilot rollouts and change management and have been used to structure the WBS.</w:t>
      </w:r>
    </w:p>
    <w:p w:rsidR="00EB510C" w:rsidRDefault="003F5293">
      <w:pPr>
        <w:pStyle w:val="Heading2"/>
      </w:pPr>
      <w:bookmarkStart w:id="17" w:name="_Toc100017"/>
      <w:r>
        <w:t>2.8 Synthesis and Implications</w:t>
      </w:r>
      <w:bookmarkEnd w:id="17"/>
    </w:p>
    <w:p w:rsidR="00EB510C" w:rsidRDefault="003F5293">
      <w:pPr>
        <w:keepNext/>
        <w:spacing w:before="200" w:after="80"/>
      </w:pPr>
      <w:r>
        <w:rPr>
          <w:b/>
          <w:bCs/>
        </w:rPr>
        <w:t xml:space="preserve">Table 2: </w:t>
      </w:r>
      <w:r>
        <w:rPr>
          <w:i/>
          <w:iCs/>
        </w:rPr>
        <w:t>Literature synthesis and implications for the RIHE LMS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2"/>
        <w:gridCol w:w="1852"/>
        <w:gridCol w:w="2074"/>
        <w:gridCol w:w="1738"/>
        <w:gridCol w:w="2020"/>
      </w:tblGrid>
      <w:tr w:rsidR="00EB510C">
        <w:tblPrEx>
          <w:tblCellMar>
            <w:top w:w="0" w:type="dxa"/>
            <w:bottom w:w="0" w:type="dxa"/>
          </w:tblCellMar>
        </w:tblPrEx>
        <w:trPr>
          <w:cantSplit/>
          <w:tblHeader/>
        </w:trPr>
        <w:tc>
          <w:tcPr>
            <w:tcW w:w="134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Source</w:t>
            </w:r>
          </w:p>
        </w:tc>
        <w:tc>
          <w:tcPr>
            <w:tcW w:w="185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Context and method</w:t>
            </w:r>
          </w:p>
        </w:tc>
        <w:tc>
          <w:tcPr>
            <w:tcW w:w="2074"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Key findings</w:t>
            </w:r>
          </w:p>
        </w:tc>
        <w:tc>
          <w:tcPr>
            <w:tcW w:w="1738"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Limitations</w:t>
            </w:r>
          </w:p>
        </w:tc>
        <w:tc>
          <w:tcPr>
            <w:tcW w:w="202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Implication for this project</w:t>
            </w:r>
          </w:p>
        </w:tc>
      </w:tr>
      <w:tr w:rsidR="00EB510C">
        <w:tblPrEx>
          <w:tblCellMar>
            <w:top w:w="0" w:type="dxa"/>
            <w:bottom w:w="0" w:type="dxa"/>
          </w:tblCellMar>
        </w:tblPrEx>
        <w:trPr>
          <w:cantSplit/>
        </w:trPr>
        <w:tc>
          <w:tcPr>
            <w:tcW w:w="13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Al-Nuaimi &amp; Al-Emran [8]</w:t>
            </w:r>
          </w:p>
        </w:tc>
        <w:tc>
          <w:tcPr>
            <w:tcW w:w="18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Systematic review, 68 studies (2005–2020)</w:t>
            </w:r>
          </w:p>
        </w:tc>
        <w:tc>
          <w:tcPr>
            <w:tcW w:w="20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TAM, DeLone &amp; McLean and UTAUT dominate LMS adoption research</w:t>
            </w:r>
          </w:p>
        </w:tc>
        <w:tc>
          <w:tcPr>
            <w:tcW w:w="1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Review of models, not implementation outcomes</w:t>
            </w:r>
          </w:p>
        </w:tc>
        <w:tc>
          <w:tcPr>
            <w:tcW w:w="20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Design for perceived usefulness and ease of use; usability testing</w:t>
            </w:r>
          </w:p>
        </w:tc>
      </w:tr>
      <w:tr w:rsidR="00EB510C">
        <w:tblPrEx>
          <w:tblCellMar>
            <w:top w:w="0" w:type="dxa"/>
            <w:bottom w:w="0" w:type="dxa"/>
          </w:tblCellMar>
        </w:tblPrEx>
        <w:trPr>
          <w:cantSplit/>
        </w:trPr>
        <w:tc>
          <w:tcPr>
            <w:tcW w:w="134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Garrote Jurado [1]</w:t>
            </w:r>
          </w:p>
        </w:tc>
        <w:tc>
          <w:tcPr>
            <w:tcW w:w="185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Sweden; interviews with 17 lecturers, 2006 and 2011</w:t>
            </w:r>
          </w:p>
        </w:tc>
        <w:tc>
          <w:tcPr>
            <w:tcW w:w="207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LMS used mainly for documents; fear of extra time is the main barrier</w:t>
            </w:r>
          </w:p>
        </w:tc>
        <w:tc>
          <w:tcPr>
            <w:tcW w:w="17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Small, single-school, qualitative</w:t>
            </w:r>
          </w:p>
        </w:tc>
        <w:tc>
          <w:tcPr>
            <w:tcW w:w="202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Faculty adoption risk; incentives, champions and training</w:t>
            </w:r>
          </w:p>
        </w:tc>
      </w:tr>
      <w:tr w:rsidR="00EB510C">
        <w:tblPrEx>
          <w:tblCellMar>
            <w:top w:w="0" w:type="dxa"/>
            <w:bottom w:w="0" w:type="dxa"/>
          </w:tblCellMar>
        </w:tblPrEx>
        <w:trPr>
          <w:cantSplit/>
        </w:trPr>
        <w:tc>
          <w:tcPr>
            <w:tcW w:w="13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Delen [2]</w:t>
            </w:r>
          </w:p>
        </w:tc>
        <w:tc>
          <w:tcPr>
            <w:tcW w:w="18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Philippines; survey of 182 faculty, 29 administrators</w:t>
            </w:r>
          </w:p>
        </w:tc>
        <w:tc>
          <w:tcPr>
            <w:tcW w:w="20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Lack of planning time and resistance to change</w:t>
            </w:r>
          </w:p>
        </w:tc>
        <w:tc>
          <w:tcPr>
            <w:tcW w:w="1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Self-reported survey; different national context</w:t>
            </w:r>
          </w:p>
        </w:tc>
        <w:tc>
          <w:tcPr>
            <w:tcW w:w="20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Training plan; change management; workload support</w:t>
            </w:r>
          </w:p>
        </w:tc>
      </w:tr>
      <w:tr w:rsidR="00EB510C">
        <w:tblPrEx>
          <w:tblCellMar>
            <w:top w:w="0" w:type="dxa"/>
            <w:bottom w:w="0" w:type="dxa"/>
          </w:tblCellMar>
        </w:tblPrEx>
        <w:trPr>
          <w:cantSplit/>
        </w:trPr>
        <w:tc>
          <w:tcPr>
            <w:tcW w:w="134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Sagvik [5]</w:t>
            </w:r>
          </w:p>
        </w:tc>
        <w:tc>
          <w:tcPr>
            <w:tcW w:w="185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Norway; qualitative case study of Canvas implementation</w:t>
            </w:r>
          </w:p>
        </w:tc>
        <w:tc>
          <w:tcPr>
            <w:tcW w:w="207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Pilot phase and support as drivers; integration, resources, sudden introduction as barriers</w:t>
            </w:r>
          </w:p>
        </w:tc>
        <w:tc>
          <w:tcPr>
            <w:tcW w:w="17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Single institution; staff perspective only</w:t>
            </w:r>
          </w:p>
        </w:tc>
        <w:tc>
          <w:tcPr>
            <w:tcW w:w="202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Pilot phase; phased rollout; integration and support resourcing</w:t>
            </w:r>
          </w:p>
        </w:tc>
      </w:tr>
      <w:tr w:rsidR="00EB510C">
        <w:tblPrEx>
          <w:tblCellMar>
            <w:top w:w="0" w:type="dxa"/>
            <w:bottom w:w="0" w:type="dxa"/>
          </w:tblCellMar>
        </w:tblPrEx>
        <w:trPr>
          <w:cantSplit/>
        </w:trPr>
        <w:tc>
          <w:tcPr>
            <w:tcW w:w="13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lastRenderedPageBreak/>
              <w:t>Alduraywish et al. [4]</w:t>
            </w:r>
          </w:p>
        </w:tc>
        <w:tc>
          <w:tcPr>
            <w:tcW w:w="18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Saudi Arabia; interpretive structural modelling</w:t>
            </w:r>
          </w:p>
        </w:tc>
        <w:tc>
          <w:tcPr>
            <w:tcW w:w="20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IT policy and infrastructure drive technology factors; training drives human factors</w:t>
            </w:r>
          </w:p>
        </w:tc>
        <w:tc>
          <w:tcPr>
            <w:tcW w:w="1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Model not statistically validated</w:t>
            </w:r>
          </w:p>
        </w:tc>
        <w:tc>
          <w:tcPr>
            <w:tcW w:w="20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Architecture, infrastructure and governance work packages</w:t>
            </w:r>
          </w:p>
        </w:tc>
      </w:tr>
      <w:tr w:rsidR="00EB510C">
        <w:tblPrEx>
          <w:tblCellMar>
            <w:top w:w="0" w:type="dxa"/>
            <w:bottom w:w="0" w:type="dxa"/>
          </w:tblCellMar>
        </w:tblPrEx>
        <w:trPr>
          <w:cantSplit/>
        </w:trPr>
        <w:tc>
          <w:tcPr>
            <w:tcW w:w="134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Otto et al. [11]</w:t>
            </w:r>
          </w:p>
        </w:tc>
        <w:tc>
          <w:tcPr>
            <w:tcW w:w="185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Literature review, 14 studies, DeLone &amp; McLean</w:t>
            </w:r>
          </w:p>
        </w:tc>
        <w:tc>
          <w:tcPr>
            <w:tcW w:w="207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Information and system quality drive satisfaction; satisfaction drives net benefits</w:t>
            </w:r>
          </w:p>
        </w:tc>
        <w:tc>
          <w:tcPr>
            <w:tcW w:w="17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Mostly student surveys</w:t>
            </w:r>
          </w:p>
        </w:tc>
        <w:tc>
          <w:tcPr>
            <w:tcW w:w="202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Quality metrics for content and system quality</w:t>
            </w:r>
          </w:p>
        </w:tc>
      </w:tr>
      <w:tr w:rsidR="00EB510C">
        <w:tblPrEx>
          <w:tblCellMar>
            <w:top w:w="0" w:type="dxa"/>
            <w:bottom w:w="0" w:type="dxa"/>
          </w:tblCellMar>
        </w:tblPrEx>
        <w:trPr>
          <w:cantSplit/>
        </w:trPr>
        <w:tc>
          <w:tcPr>
            <w:tcW w:w="13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Al-Busaidi [12]</w:t>
            </w:r>
          </w:p>
        </w:tc>
        <w:tc>
          <w:tcPr>
            <w:tcW w:w="18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Oman; survey of 512 learners</w:t>
            </w:r>
          </w:p>
        </w:tc>
        <w:tc>
          <w:tcPr>
            <w:tcW w:w="20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Learners' continued use sustains LMS success</w:t>
            </w:r>
          </w:p>
        </w:tc>
        <w:tc>
          <w:tcPr>
            <w:tcW w:w="1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Single country; blended learning context</w:t>
            </w:r>
          </w:p>
        </w:tc>
        <w:tc>
          <w:tcPr>
            <w:tcW w:w="20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Student representation in pilot and communication</w:t>
            </w:r>
          </w:p>
        </w:tc>
      </w:tr>
    </w:tbl>
    <w:p w:rsidR="00EB510C" w:rsidRDefault="00EB510C">
      <w:pPr>
        <w:spacing w:after="120"/>
      </w:pPr>
    </w:p>
    <w:p w:rsidR="00EB510C" w:rsidRDefault="003F5293">
      <w:pPr>
        <w:spacing w:after="160" w:line="360" w:lineRule="auto"/>
        <w:jc w:val="both"/>
      </w:pPr>
      <w:r>
        <w:t xml:space="preserve">Three conclusions guide the plan. First, adoption depends more on people than technology, so training, communication and change control must be scheduled and resourced. Second, a pilot phase reduces the risk of sudden introduction and provides evidence for go-live decisions. Third, quality must be defined in terms that users experience, namely system reliability, content quality and satisfaction, rather than only technical test results. The main gap in the literature is that few studies examine the implementation process in detail, which is why this plan draws on both academic evidence and established project management practice.</w:t>
      </w:r>
    </w:p>
    <w:p w:rsidR="00EB510C" w:rsidRDefault="003F5293">
      <w:pPr>
        <w:pStyle w:val="Heading1"/>
        <w:pageBreakBefore/>
      </w:pPr>
      <w:bookmarkStart w:id="18" w:name="_Toc243565010"/>
      <w:r>
        <w:lastRenderedPageBreak/>
        <w:t>3. Project Overview and Objectives</w:t>
      </w:r>
      <w:bookmarkEnd w:id="18"/>
    </w:p>
    <w:p w:rsidR="00EB510C" w:rsidRDefault="003F5293">
      <w:pPr>
        <w:pStyle w:val="Heading2"/>
      </w:pPr>
      <w:bookmarkStart w:id="19" w:name="_Toc100019"/>
      <w:r>
        <w:t>3.1 Project Purpose</w:t>
      </w:r>
      <w:bookmarkEnd w:id="19"/>
    </w:p>
    <w:p w:rsidR="00EB510C" w:rsidRDefault="003F5293">
      <w:pPr>
        <w:spacing w:after="160" w:line="360" w:lineRule="auto"/>
        <w:jc w:val="both"/>
      </w:pPr>
      <w:r>
        <w:t>The purpose of the project is to replace RIHE's fragmented online learning arrangements with a single, secure and accessible LMS that improves the student learning experience, reduces manual administration and strengthens control over student data.</w:t>
      </w:r>
    </w:p>
    <w:p w:rsidR="00EB510C" w:rsidRDefault="003F5293">
      <w:pPr>
        <w:pStyle w:val="Heading2"/>
      </w:pPr>
      <w:bookmarkStart w:id="20" w:name="_Toc100020"/>
      <w:r>
        <w:t>3.2 Intended Users and Benefits</w:t>
      </w:r>
      <w:bookmarkEnd w:id="20"/>
    </w:p>
    <w:p w:rsidR="00EB510C" w:rsidRDefault="003F5293">
      <w:pPr>
        <w:keepNext/>
        <w:spacing w:before="200" w:after="80"/>
      </w:pPr>
      <w:r>
        <w:rPr>
          <w:b/>
          <w:bCs/>
        </w:rPr>
        <w:t xml:space="preserve">Table 3: </w:t>
      </w:r>
      <w:r>
        <w:rPr>
          <w:i/>
          <w:iCs/>
        </w:rPr>
        <w:t>Intended users and expected benefits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3350"/>
        <w:gridCol w:w="3478"/>
      </w:tblGrid>
      <w:tr w:rsidR="00EB510C">
        <w:tblPrEx>
          <w:tblCellMar>
            <w:top w:w="0" w:type="dxa"/>
            <w:bottom w:w="0" w:type="dxa"/>
          </w:tblCellMar>
        </w:tblPrEx>
        <w:trPr>
          <w:cantSplit/>
          <w:tblHeader/>
        </w:trPr>
        <w:tc>
          <w:tcPr>
            <w:tcW w:w="2198"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User group</w:t>
            </w:r>
          </w:p>
        </w:tc>
        <w:tc>
          <w:tcPr>
            <w:tcW w:w="335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Primary needs</w:t>
            </w:r>
          </w:p>
        </w:tc>
        <w:tc>
          <w:tcPr>
            <w:tcW w:w="3478"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Expected benefit</w:t>
            </w:r>
          </w:p>
        </w:tc>
      </w:tr>
      <w:tr w:rsidR="00EB510C">
        <w:tblPrEx>
          <w:tblCellMar>
            <w:top w:w="0" w:type="dxa"/>
            <w:bottom w:w="0" w:type="dxa"/>
          </w:tblCellMar>
        </w:tblPrEx>
        <w:trPr>
          <w:cantSplit/>
        </w:trPr>
        <w:tc>
          <w:tcPr>
            <w:tcW w:w="21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Students (approx. 2,800)</w:t>
            </w:r>
          </w:p>
        </w:tc>
        <w:tc>
          <w:tcPr>
            <w:tcW w:w="3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Find materials, submit work, receive feedback, track progress</w:t>
            </w:r>
          </w:p>
        </w:tc>
        <w:tc>
          <w:tcPr>
            <w:tcW w:w="34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One consistent location for all learning activity; faster feedback</w:t>
            </w:r>
          </w:p>
        </w:tc>
      </w:tr>
      <w:tr w:rsidR="00EB510C">
        <w:tblPrEx>
          <w:tblCellMar>
            <w:top w:w="0" w:type="dxa"/>
            <w:bottom w:w="0" w:type="dxa"/>
          </w:tblCellMar>
        </w:tblPrEx>
        <w:trPr>
          <w:cantSplit/>
        </w:trPr>
        <w:tc>
          <w:tcPr>
            <w:tcW w:w="219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Lecturers (approx. 140)</w:t>
            </w:r>
          </w:p>
        </w:tc>
        <w:tc>
          <w:tcPr>
            <w:tcW w:w="33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Publish content, manage assessments, grade, communicate</w:t>
            </w:r>
          </w:p>
        </w:tc>
        <w:tc>
          <w:tcPr>
            <w:tcW w:w="347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Less manual handling; reusable course templates; built-in grading</w:t>
            </w:r>
          </w:p>
        </w:tc>
      </w:tr>
      <w:tr w:rsidR="00EB510C">
        <w:tblPrEx>
          <w:tblCellMar>
            <w:top w:w="0" w:type="dxa"/>
            <w:bottom w:w="0" w:type="dxa"/>
          </w:tblCellMar>
        </w:tblPrEx>
        <w:trPr>
          <w:cantSplit/>
        </w:trPr>
        <w:tc>
          <w:tcPr>
            <w:tcW w:w="21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Academic administrators</w:t>
            </w:r>
          </w:p>
        </w:tc>
        <w:tc>
          <w:tcPr>
            <w:tcW w:w="3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Course setup, enrolment, reporting</w:t>
            </w:r>
          </w:p>
        </w:tc>
        <w:tc>
          <w:tcPr>
            <w:tcW w:w="34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Centralised enrolment and reporting</w:t>
            </w:r>
          </w:p>
        </w:tc>
      </w:tr>
      <w:tr w:rsidR="00EB510C">
        <w:tblPrEx>
          <w:tblCellMar>
            <w:top w:w="0" w:type="dxa"/>
            <w:bottom w:w="0" w:type="dxa"/>
          </w:tblCellMar>
        </w:tblPrEx>
        <w:trPr>
          <w:cantSplit/>
        </w:trPr>
        <w:tc>
          <w:tcPr>
            <w:tcW w:w="219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IT services</w:t>
            </w:r>
          </w:p>
        </w:tc>
        <w:tc>
          <w:tcPr>
            <w:tcW w:w="33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Secure, maintainable platform</w:t>
            </w:r>
          </w:p>
        </w:tc>
        <w:tc>
          <w:tcPr>
            <w:tcW w:w="347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Supported, patched platform with controlled configuration</w:t>
            </w:r>
          </w:p>
        </w:tc>
      </w:tr>
      <w:tr w:rsidR="00EB510C">
        <w:tblPrEx>
          <w:tblCellMar>
            <w:top w:w="0" w:type="dxa"/>
            <w:bottom w:w="0" w:type="dxa"/>
          </w:tblCellMar>
        </w:tblPrEx>
        <w:trPr>
          <w:cantSplit/>
        </w:trPr>
        <w:tc>
          <w:tcPr>
            <w:tcW w:w="21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Executive management</w:t>
            </w:r>
          </w:p>
        </w:tc>
        <w:tc>
          <w:tcPr>
            <w:tcW w:w="3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Quality, compliance, value for money</w:t>
            </w:r>
          </w:p>
        </w:tc>
        <w:tc>
          <w:tcPr>
            <w:tcW w:w="34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Improved student experience and reduced compliance risk</w:t>
            </w:r>
          </w:p>
        </w:tc>
      </w:tr>
    </w:tbl>
    <w:p w:rsidR="00EB510C" w:rsidRDefault="00EB510C">
      <w:pPr>
        <w:spacing w:after="120"/>
      </w:pPr>
    </w:p>
    <w:p w:rsidR="00EB510C" w:rsidRDefault="003F5293">
      <w:pPr>
        <w:pStyle w:val="Heading2"/>
      </w:pPr>
      <w:bookmarkStart w:id="21" w:name="_Toc100021"/>
      <w:r>
        <w:t>3.3 SMART Objectives</w:t>
      </w:r>
      <w:bookmarkEnd w:id="21"/>
    </w:p>
    <w:p w:rsidR="00EB510C" w:rsidRDefault="003F5293">
      <w:pPr>
        <w:spacing w:after="160" w:line="360" w:lineRule="auto"/>
        <w:jc w:val="both"/>
      </w:pPr>
      <w:r>
        <w:t>The following objectives are planning targets for the hypothetical scenario. They are based on the scope and schedule in this report and would be confirmed with the sponsor during initiation.</w:t>
      </w:r>
    </w:p>
    <w:p w:rsidR="00EB510C" w:rsidRDefault="003F5293">
      <w:pPr>
        <w:keepNext/>
        <w:spacing w:before="200" w:after="80"/>
      </w:pPr>
      <w:r>
        <w:rPr>
          <w:b/>
          <w:bCs/>
        </w:rPr>
        <w:t xml:space="preserve">Table 4: </w:t>
      </w:r>
      <w:r>
        <w:rPr>
          <w:i/>
          <w:iCs/>
        </w:rPr>
        <w:t>SMART project objectives (planning 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9"/>
        <w:gridCol w:w="3300"/>
        <w:gridCol w:w="3300"/>
        <w:gridCol w:w="1487"/>
      </w:tblGrid>
      <w:tr w:rsidR="00EB510C">
        <w:tblPrEx>
          <w:tblCellMar>
            <w:top w:w="0" w:type="dxa"/>
            <w:bottom w:w="0" w:type="dxa"/>
          </w:tblCellMar>
        </w:tblPrEx>
        <w:trPr>
          <w:cantSplit/>
          <w:tblHeader/>
        </w:trPr>
        <w:tc>
          <w:tcPr>
            <w:tcW w:w="939"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ID</w:t>
            </w:r>
          </w:p>
        </w:tc>
        <w:tc>
          <w:tcPr>
            <w:tcW w:w="33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Objective</w:t>
            </w:r>
          </w:p>
        </w:tc>
        <w:tc>
          <w:tcPr>
            <w:tcW w:w="33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Measure</w:t>
            </w:r>
          </w:p>
        </w:tc>
        <w:tc>
          <w:tcPr>
            <w:tcW w:w="1487"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Target date</w:t>
            </w:r>
          </w:p>
        </w:tc>
      </w:tr>
      <w:tr w:rsidR="00EB510C">
        <w:tblPrEx>
          <w:tblCellMar>
            <w:top w:w="0" w:type="dxa"/>
            <w:bottom w:w="0" w:type="dxa"/>
          </w:tblCellMar>
        </w:tblPrEx>
        <w:trPr>
          <w:cantSplit/>
        </w:trPr>
        <w:tc>
          <w:tcPr>
            <w:tcW w:w="9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O1</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Obtain formal acceptance that the configured LMS meets all "must-have" requirements in the approved specification</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100% of must-have requirements pass UAT, including retest of corrected defects, and the sponsor signs acceptance</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Week 24</w:t>
            </w:r>
          </w:p>
        </w:tc>
      </w:tr>
      <w:tr w:rsidR="00EB510C">
        <w:tblPrEx>
          <w:tblCellMar>
            <w:top w:w="0" w:type="dxa"/>
            <w:bottom w:w="0" w:type="dxa"/>
          </w:tblCellMar>
        </w:tblPrEx>
        <w:trPr>
          <w:cantSplit/>
        </w:trPr>
        <w:tc>
          <w:tcPr>
            <w:tcW w:w="93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O2</w:t>
            </w:r>
          </w:p>
        </w:tc>
        <w:tc>
          <w:tcPr>
            <w:tcW w:w="33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Complete a five-course pilot and remediation so that no critical or high-severity defects remain open at the go/no-go review</w:t>
            </w:r>
          </w:p>
        </w:tc>
        <w:tc>
          <w:tcPr>
            <w:tcW w:w="33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Zero open critical or high defects at the go/no-go review</w:t>
            </w:r>
          </w:p>
        </w:tc>
        <w:tc>
          <w:tcPr>
            <w:tcW w:w="148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Week 24</w:t>
            </w:r>
          </w:p>
        </w:tc>
      </w:tr>
      <w:tr w:rsidR="00EB510C">
        <w:tblPrEx>
          <w:tblCellMar>
            <w:top w:w="0" w:type="dxa"/>
            <w:bottom w:w="0" w:type="dxa"/>
          </w:tblCellMar>
        </w:tblPrEx>
        <w:trPr>
          <w:cantSplit/>
        </w:trPr>
        <w:tc>
          <w:tcPr>
            <w:tcW w:w="9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O3</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Migrate all agreed current-trimester course content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100% of agreed courses migrated, reconciled against the content inventory and approved by lecturers</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Week 16</w:t>
            </w:r>
          </w:p>
        </w:tc>
      </w:tr>
      <w:tr w:rsidR="00EB510C">
        <w:tblPrEx>
          <w:tblCellMar>
            <w:top w:w="0" w:type="dxa"/>
            <w:bottom w:w="0" w:type="dxa"/>
          </w:tblCellMar>
        </w:tblPrEx>
        <w:trPr>
          <w:cantSplit/>
        </w:trPr>
        <w:tc>
          <w:tcPr>
            <w:tcW w:w="93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O4</w:t>
            </w:r>
          </w:p>
        </w:tc>
        <w:tc>
          <w:tcPr>
            <w:tcW w:w="33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Train lecturers before go-live</w:t>
            </w:r>
          </w:p>
        </w:tc>
        <w:tc>
          <w:tcPr>
            <w:tcW w:w="33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At least 90% of teaching staff complete core LMS training before the go/no-go review</w:t>
            </w:r>
          </w:p>
        </w:tc>
        <w:tc>
          <w:tcPr>
            <w:tcW w:w="148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Week 21</w:t>
            </w:r>
          </w:p>
        </w:tc>
      </w:tr>
      <w:tr w:rsidR="00EB510C">
        <w:tblPrEx>
          <w:tblCellMar>
            <w:top w:w="0" w:type="dxa"/>
            <w:bottom w:w="0" w:type="dxa"/>
          </w:tblCellMar>
        </w:tblPrEx>
        <w:trPr>
          <w:cantSplit/>
        </w:trPr>
        <w:tc>
          <w:tcPr>
            <w:tcW w:w="9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O5</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Meet accessibility and security acceptance criteria</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No unresolved WCAG 2.2 Level A or AA failures in core student workflows; no unresolved high-risk security findings</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Week 17</w:t>
            </w:r>
          </w:p>
        </w:tc>
      </w:tr>
      <w:tr w:rsidR="00EB510C">
        <w:tblPrEx>
          <w:tblCellMar>
            <w:top w:w="0" w:type="dxa"/>
            <w:bottom w:w="0" w:type="dxa"/>
          </w:tblCellMar>
        </w:tblPrEx>
        <w:trPr>
          <w:cantSplit/>
        </w:trPr>
        <w:tc>
          <w:tcPr>
            <w:tcW w:w="93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O6</w:t>
            </w:r>
          </w:p>
        </w:tc>
        <w:tc>
          <w:tcPr>
            <w:tcW w:w="33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Deliver within the approved budget and schedule</w:t>
            </w:r>
          </w:p>
        </w:tc>
        <w:tc>
          <w:tcPr>
            <w:tcW w:w="330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Final cost within the approved budget including contingency; closure by Week 28</w:t>
            </w:r>
          </w:p>
        </w:tc>
        <w:tc>
          <w:tcPr>
            <w:tcW w:w="148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Week 28</w:t>
            </w:r>
          </w:p>
        </w:tc>
      </w:tr>
    </w:tbl>
    <w:p w:rsidR="00EB510C" w:rsidRDefault="00EB510C">
      <w:pPr>
        <w:spacing w:after="120"/>
      </w:pPr>
    </w:p>
    <w:p w:rsidR="00EB510C" w:rsidRDefault="003F5293">
      <w:pPr>
        <w:spacing w:after="160" w:line="360" w:lineRule="auto"/>
        <w:jc w:val="both"/>
      </w:pPr>
      <w:r>
        <w:t>The 90% training target in O4 reflects the evidence that lecturer preparedness is the main adoption driver [1], [4], while allowing for staff on leave. Institution-wide training (task 9.2) is scheduled in Weeks 19–21, during the pilot, so that completion can be confirmed at the go/no-go review in Week 24. This leaves time for catch-up sessions before go-live if attendance falls short (risk R1). O1 and O2 are both measured at the go/no-go review rather than on the go-live date, so that defects found in UAT can be fixed and retested before production deployment in Week 25.</w:t>
      </w:r>
    </w:p>
    <w:p w:rsidR="00EB510C" w:rsidRDefault="003F5293">
      <w:pPr>
        <w:pStyle w:val="Heading2"/>
      </w:pPr>
      <w:bookmarkStart w:id="22" w:name="_Toc100022"/>
      <w:r>
        <w:t>3.4 Success Measures</w:t>
      </w:r>
      <w:bookmarkEnd w:id="22"/>
    </w:p>
    <w:p w:rsidR="00EB510C" w:rsidRDefault="003F5293">
      <w:pPr>
        <w:spacing w:after="160" w:line="360" w:lineRule="auto"/>
        <w:jc w:val="both"/>
      </w:pPr>
      <w:r>
        <w:t xml:space="preserve">Project success will be judged against the objectives above, sponsor acceptance at the go-live review, and post-deployment indicators collected during hypercare, including student and lecturer satisfaction surveys and support ticket volumes. The satisfaction measures reflect the DeLone and McLean view that user satisfaction is a key route to net benefits [10], [11].</w:t>
      </w:r>
    </w:p>
    <w:p w:rsidR="00EB510C" w:rsidRDefault="003F5293">
      <w:pPr>
        <w:pStyle w:val="Heading1"/>
        <w:pageBreakBefore/>
      </w:pPr>
      <w:bookmarkStart w:id="23" w:name="_Toc243565011"/>
      <w:r>
        <w:lastRenderedPageBreak/>
        <w:t>4. Project Scope Statement and Project Charter</w:t>
      </w:r>
      <w:bookmarkEnd w:id="23"/>
    </w:p>
    <w:p w:rsidR="00EB510C" w:rsidRDefault="003F5293">
      <w:pPr>
        <w:pStyle w:val="Heading2"/>
      </w:pPr>
      <w:bookmarkStart w:id="24" w:name="_Toc100024"/>
      <w:r>
        <w:t>4.1 Project Charter Summary</w:t>
      </w:r>
      <w:bookmarkEnd w:id="24"/>
    </w:p>
    <w:p w:rsidR="00EB510C" w:rsidRDefault="003F5293">
      <w:pPr>
        <w:keepNext/>
        <w:spacing w:before="200" w:after="80"/>
      </w:pPr>
      <w:r>
        <w:rPr>
          <w:b/>
          <w:bCs/>
        </w:rPr>
        <w:t xml:space="preserve">Table 5: </w:t>
      </w:r>
      <w:r>
        <w:rPr>
          <w:i/>
          <w:iCs/>
        </w:rPr>
        <w:t>Project charter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7"/>
        <w:gridCol w:w="5889"/>
      </w:tblGrid>
      <w:tr w:rsidR="00EB510C">
        <w:tblPrEx>
          <w:tblCellMar>
            <w:top w:w="0" w:type="dxa"/>
            <w:bottom w:w="0" w:type="dxa"/>
          </w:tblCellMar>
        </w:tblPrEx>
        <w:trPr>
          <w:cantSplit/>
          <w:tblHeader/>
        </w:trPr>
        <w:tc>
          <w:tcPr>
            <w:tcW w:w="3137"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Element</w:t>
            </w:r>
          </w:p>
        </w:tc>
        <w:tc>
          <w:tcPr>
            <w:tcW w:w="5889"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Description</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Project title</w:t>
            </w:r>
          </w:p>
        </w:tc>
        <w:tc>
          <w:tcPr>
            <w:tcW w:w="58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Development and Deployment of a Learning Management System for Online Education</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Organisation</w:t>
            </w:r>
          </w:p>
        </w:tc>
        <w:tc>
          <w:tcPr>
            <w:tcW w:w="58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Riverbend Institute of Higher Education (fictional)</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Project sponsor</w:t>
            </w:r>
          </w:p>
        </w:tc>
        <w:tc>
          <w:tcPr>
            <w:tcW w:w="58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Dr Helen Carter, Academic Director (fictional): owns the business case, chairs the steering committee and Change Control Board, and holds go/no-go authority</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Project manager</w:t>
            </w:r>
          </w:p>
        </w:tc>
        <w:tc>
          <w:tcPr>
            <w:tcW w:w="58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Daniel Reyes, Project Manager (fictional): accountable for day-to-day planning and control; authority levels in Table 6</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Business need</w:t>
            </w:r>
          </w:p>
        </w:tc>
        <w:tc>
          <w:tcPr>
            <w:tcW w:w="58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Replace fragmented and end-of-support online learning tools with a secure, centralised LMS</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Objectives</w:t>
            </w:r>
          </w:p>
        </w:tc>
        <w:tc>
          <w:tcPr>
            <w:tcW w:w="58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O1 to O6 (Section 3.3)</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Duration</w:t>
            </w:r>
          </w:p>
        </w:tc>
        <w:tc>
          <w:tcPr>
            <w:tcW w:w="58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28 weeks, 1 February 2027 to 13 August 2027 (planning estimate based on an assumed start date)</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Indicative budget</w:t>
            </w:r>
          </w:p>
        </w:tc>
        <w:tc>
          <w:tcPr>
            <w:tcW w:w="58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AUD 337,700 including 10% contingency (planning estimate, Section 4.6)</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Key milestones</w:t>
            </w:r>
          </w:p>
        </w:tc>
        <w:tc>
          <w:tcPr>
            <w:tcW w:w="58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Charter approved (W1); requirements baselined (W5); platform approved (W6); configuration baselined (W13); pilot completed (W20); core staff training complete (W21); go-live approved (W24); LMS live (W25); project closed (W28)</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Governance</w:t>
            </w:r>
          </w:p>
        </w:tc>
        <w:tc>
          <w:tcPr>
            <w:tcW w:w="58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Steering committee chaired by the sponsor; Change Control Board for scope changes</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Core team</w:t>
            </w:r>
          </w:p>
        </w:tc>
        <w:tc>
          <w:tcPr>
            <w:tcW w:w="58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Named sponsor, project manager and team with roles and authority levels (Table 6)</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Key stakeholders</w:t>
            </w:r>
          </w:p>
        </w:tc>
        <w:tc>
          <w:tcPr>
            <w:tcW w:w="58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Stakeholder register with interest, influence and engagement strategy (Table 7)</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Success criteria</w:t>
            </w:r>
          </w:p>
        </w:tc>
        <w:tc>
          <w:tcPr>
            <w:tcW w:w="58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O1 to O6 met; all mandatory go-live gates passed (Table 28); pilot satisfaction of at least 3.5 out of 5; final cost within AUD 337,700</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High-level risks</w:t>
            </w:r>
          </w:p>
        </w:tc>
        <w:tc>
          <w:tcPr>
            <w:tcW w:w="58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Low lecturer adoption (R1, the only High inherent risk); content migration errors (R4); security or privacy failure (R5, R6); schedule overrun into a teaching period (R14). Full register in Section 9</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Project manager authority</w:t>
            </w:r>
          </w:p>
        </w:tc>
        <w:tc>
          <w:tcPr>
            <w:tcW w:w="58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Assigns work within the approved plan; approves minor changes of up to AUD 5,000 from contingency that do not alter scope or the critical path; escalates any forecast slip of more than one week on the critical path or any variance above 5% of budget to the sponsor</w:t>
            </w:r>
          </w:p>
        </w:tc>
      </w:tr>
      <w:tr w:rsidR="00EB510C">
        <w:tblPrEx>
          <w:tblCellMar>
            <w:top w:w="0" w:type="dxa"/>
            <w:bottom w:w="0" w:type="dxa"/>
          </w:tblCellMar>
        </w:tblPrEx>
        <w:trPr>
          <w:cantSplit/>
        </w:trPr>
        <w:tc>
          <w:tcPr>
            <w:tcW w:w="313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Approval</w:t>
            </w:r>
          </w:p>
        </w:tc>
        <w:tc>
          <w:tcPr>
            <w:tcW w:w="58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Charter signed by the sponsor, project manager, Director of IT Services and a Head of School representative at milestone M1, before work begins (Table 8)</w:t>
            </w:r>
          </w:p>
        </w:tc>
      </w:tr>
    </w:tbl>
    <w:p>
      <w:pPr>
        <w:pStyle w:val="Heading3"/>
      </w:pPr>
      <w:r>
        <w:t xml:space="preserve">4.1.1 Project Sponsor, Project Manager and Core Team</w:t>
      </w:r>
    </w:p>
    <w:p>
      <w:pPr>
        <w:spacing w:after="160" w:line="360" w:lineRule="auto"/>
        <w:jc w:val="both"/>
      </w:pPr>
      <w:r>
        <w:t xml:space="preserve">The charter names every core role so that accountability is unambiguous. All names are fictional and created for this hypothetical scenario. Each person has one clearly defined authority level, which is consistent with the RACI matrix in Section 8 and the change control thresholds in Section 11.</w:t>
      </w:r>
    </w:p>
    <w:p>
      <w:pPr>
        <w:keepNext/>
        <w:spacing w:before="200" w:after="80"/>
      </w:pPr>
      <w:r>
        <w:rPr>
          <w:b/>
          <w:bCs/>
        </w:rPr>
        <w:t xml:space="preserve">Table 6: </w:t>
      </w:r>
      <w:r>
        <w:rPr>
          <w:i/>
          <w:iCs/>
        </w:rPr>
        <w:t>Project sponsor, project manager and core team (fictional names)</w:t>
      </w:r>
    </w:p>
    <w:tbl>
      <w:tblPr>
        <w:tblW w:w="9026" w:type="dxa"/>
        <w:tblLayout w:type="fixed"/>
        <w:tblCellMar>
          <w:left w:w="10" w:type="dxa"/>
          <w:right w:w="10" w:type="dxa"/>
        </w:tblCellMar>
        <w:tblLook w:val="0000" w:firstRow="0" w:lastRow="0" w:firstColumn="0" w:lastColumn="0" w:noHBand="0" w:noVBand="0"/>
      </w:tblPr>
      <w:tblGrid>
        <w:gridCol w:w="1500"/>
        <w:gridCol w:w="1850"/>
        <w:gridCol w:w="2800"/>
        <w:gridCol w:w="2876"/>
      </w:tblGrid>
      <w:tr>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Name</w:t>
            </w:r>
          </w:p>
        </w:tc>
        <w:tc>
          <w:tcPr>
            <w:tcW w:w="185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Project role</w:t>
            </w:r>
          </w:p>
        </w:tc>
        <w:tc>
          <w:tcPr>
            <w:tcW w:w="28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Key accountabilities</w:t>
            </w:r>
          </w:p>
        </w:tc>
        <w:tc>
          <w:tcPr>
            <w:tcW w:w="2876"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Authority level</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Dr Helen Carter</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Project Sponsor (Academic Director)</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Owns business case and benefits; chairs steering committee and CCB; champions adoption with heads of school</w:t>
            </w:r>
          </w:p>
        </w:tc>
        <w:tc>
          <w:tcPr>
            <w:tcW w:w="2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Approves charter, baseline budget (AUD 337,700), platform choice and go/no-go; approves any change affecting scope, the critical path or costing more than AUD 5,000</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Daniel Reyes</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Project Manager</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Planning, monitoring and control; risk, issue and change logs; fortnightly reporting</w:t>
            </w:r>
          </w:p>
        </w:tc>
        <w:tc>
          <w:tcPr>
            <w:tcW w:w="2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Assigns work within the approved plan; approves minor changes up to AUD 5,000 from contingency with no scope or critical-path effect; escalates all other changes</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Mark Thompson</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Director of IT Services (steering committee)</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Hosting, security policy, operational readiness</w:t>
            </w:r>
          </w:p>
        </w:tc>
        <w:tc>
          <w:tcPr>
            <w:tcW w:w="2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Approves architecture and security design; formally accepts handover</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Priya Nair</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Business Analyst</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Requirements, traceability matrix, platform evaluation</w:t>
            </w:r>
          </w:p>
        </w:tc>
        <w:tc>
          <w:tcPr>
            <w:tcW w:w="2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Baselines requirements once the sponsor signs them off</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Marcus Chen</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Technical Lead / Moodle Developer</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Architecture, theme, plugins, code review</w:t>
            </w:r>
          </w:p>
        </w:tc>
        <w:tc>
          <w:tcPr>
            <w:tcW w:w="2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Technical decisions within the approved architecture; approves pull requests</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Sarah O'Connell</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LMS Administrator and Configuration Manager</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Configuration, roles, enrolment, deployment, GitHub baseline</w:t>
            </w:r>
          </w:p>
        </w:tc>
        <w:tc>
          <w:tcPr>
            <w:tcW w:w="2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Merges to the protected main branch; creates release tags</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Tom Nguyen</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Infrastructure Administrator</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Environments, backups, monitoring</w:t>
            </w:r>
          </w:p>
        </w:tc>
        <w:tc>
          <w:tcPr>
            <w:tcW w:w="2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Executes approved infrastructure changes</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Aisha Rahman</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QA Tester</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Test planning, defect tracking, UAT coordination</w:t>
            </w:r>
          </w:p>
        </w:tc>
        <w:tc>
          <w:tcPr>
            <w:tcW w:w="2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Recommends pass or fail at each quality gate</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James Walker</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Instructional Designer</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Content migration, course templates, training</w:t>
            </w:r>
          </w:p>
        </w:tc>
        <w:tc>
          <w:tcPr>
            <w:tcW w:w="2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Approves migration templates; certifies training records</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Dr Emily Brooks; Raj Patel</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Lecturer Representatives and champions</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Requirements, pilot, UAT; Dr Brooks sits on the CCB</w:t>
            </w:r>
          </w:p>
        </w:tc>
        <w:tc>
          <w:tcPr>
            <w:tcW w:w="2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Sign off teaching-related UAT scenarios</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Student Association nominee</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Student Representative</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Requirements, pilot feedback, usability testing</w:t>
            </w:r>
          </w:p>
        </w:tc>
        <w:tc>
          <w:tcPr>
            <w:tcW w:w="2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Advisory</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Contract specialist (engaged Week 7)</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Security Specialist</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Security design and testing</w:t>
            </w:r>
          </w:p>
        </w:tc>
        <w:tc>
          <w:tcPr>
            <w:tcW w:w="2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Recommends security pass or fail</w:t>
            </w:r>
          </w:p>
        </w:tc>
      </w:tr>
    </w:tbl>
    <w:p>
      <w:pPr>
        <w:spacing w:after="120"/>
      </w:pPr>
    </w:p>
    <w:p>
      <w:pPr>
        <w:pStyle w:val="Heading3"/>
      </w:pPr>
      <w:r>
        <w:t xml:space="preserve">4.1.2 Stakeholder Register</w:t>
      </w:r>
    </w:p>
    <w:p>
      <w:pPr>
        <w:spacing w:after="160" w:line="360" w:lineRule="auto"/>
        <w:jc w:val="both"/>
      </w:pPr>
      <w:r>
        <w:t xml:space="preserve">Stakeholders were identified during initiation (WBS 1.2) and classified by interest and influence using a power-interest grid. The engagement strategy for each group drives the communication plan in Section 12. Lecturers are deliberately treated as a group to involve rather than only inform, because the literature identifies lecturer workload and resistance as the main adoption barrier [1], [2].</w:t>
      </w:r>
    </w:p>
    <w:p>
      <w:pPr>
        <w:keepNext/>
        <w:spacing w:before="200" w:after="80"/>
      </w:pPr>
      <w:r>
        <w:rPr>
          <w:b/>
          <w:bCs/>
        </w:rPr>
        <w:t xml:space="preserve">Table 7: </w:t>
      </w:r>
      <w:r>
        <w:rPr>
          <w:i/>
          <w:iCs/>
        </w:rPr>
        <w:t>Stakeholder register</w:t>
      </w:r>
    </w:p>
    <w:tbl>
      <w:tblPr>
        <w:tblW w:w="9026" w:type="dxa"/>
        <w:tblLayout w:type="fixed"/>
        <w:tblCellMar>
          <w:left w:w="10" w:type="dxa"/>
          <w:right w:w="10" w:type="dxa"/>
        </w:tblCellMar>
        <w:tblLook w:val="0000" w:firstRow="0" w:lastRow="0" w:firstColumn="0" w:lastColumn="0" w:noHBand="0" w:noVBand="0"/>
      </w:tblPr>
      <w:tblGrid>
        <w:gridCol w:w="1600"/>
        <w:gridCol w:w="1500"/>
        <w:gridCol w:w="800"/>
        <w:gridCol w:w="950"/>
        <w:gridCol w:w="1900"/>
        <w:gridCol w:w="2276"/>
      </w:tblGrid>
      <w:tr>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Stakeholder</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Role in project</w:t>
            </w:r>
          </w:p>
        </w:tc>
        <w:tc>
          <w:tcPr>
            <w:tcW w:w="8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Interest</w:t>
            </w:r>
          </w:p>
        </w:tc>
        <w:tc>
          <w:tcPr>
            <w:tcW w:w="95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Influence</w:t>
            </w:r>
          </w:p>
        </w:tc>
        <w:tc>
          <w:tcPr>
            <w:tcW w:w="19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Key expectations or concerns</w:t>
            </w:r>
          </w:p>
        </w:tc>
        <w:tc>
          <w:tcPr>
            <w:tcW w:w="2276"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Engagement strategy</w:t>
            </w:r>
          </w:p>
        </w:tc>
      </w:tr>
      <w:tr>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Academic Director (sponsor)</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Business owner and funder</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High</w:t>
            </w:r>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High</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Benefits, budget, compliance</w:t>
            </w:r>
          </w:p>
        </w:tc>
        <w:tc>
          <w:tcPr>
            <w:tcW w:w="2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Manage closely: fortnightly report, monthly steering meeting</w:t>
            </w:r>
          </w:p>
        </w:tc>
      </w:tr>
      <w:tr>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Executive management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Strategic oversight</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Medium</w:t>
            </w:r>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High</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Value for money, reputation</w:t>
            </w:r>
          </w:p>
        </w:tc>
        <w:tc>
          <w:tcPr>
            <w:tcW w:w="2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Keep satisfied: milestone briefings</w:t>
            </w:r>
          </w:p>
        </w:tc>
      </w:tr>
      <w:tr>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Heads of School (4)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Own teaching delivery</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High</w:t>
            </w:r>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High</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No disruption to teaching; staff workload</w:t>
            </w:r>
          </w:p>
        </w:tc>
        <w:tc>
          <w:tcPr>
            <w:tcW w:w="2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Manage closely: steering membership; agree workshop and pilot dates</w:t>
            </w:r>
          </w:p>
        </w:tc>
      </w:tr>
      <w:tr>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Lecturers (approx. 140)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Primary users</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High</w:t>
            </w:r>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Medium</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Workload, ease of use, training</w:t>
            </w:r>
          </w:p>
        </w:tc>
        <w:tc>
          <w:tcPr>
            <w:tcW w:w="2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Involve: champions, training, monthly bulletin, surveys</w:t>
            </w:r>
          </w:p>
        </w:tc>
      </w:tr>
      <w:tr>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Students (approx. 2,800)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Primary users</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High</w:t>
            </w:r>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Low (raised via representative)</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Easy access, reliable submission and feedback</w:t>
            </w:r>
          </w:p>
        </w:tc>
        <w:tc>
          <w:tcPr>
            <w:tcW w:w="2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Keep informed: orientation, announcements, student representative, surveys</w:t>
            </w:r>
          </w:p>
        </w:tc>
      </w:tr>
      <w:tr>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IT Services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Operate and support the system</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High</w:t>
            </w:r>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High</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Supportability, security, handover</w:t>
            </w:r>
          </w:p>
        </w:tc>
        <w:tc>
          <w:tcPr>
            <w:tcW w:w="2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Manage closely: design reviews, handover sessions</w:t>
            </w:r>
          </w:p>
        </w:tc>
      </w:tr>
      <w:tr>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Academic administrators and student records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Enrolment and course setup</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Medium</w:t>
            </w:r>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Medium</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CSV enrolment process, reporting</w:t>
            </w:r>
          </w:p>
        </w:tc>
        <w:tc>
          <w:tcPr>
            <w:tcW w:w="2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Keep informed: workshops and procedure guides</w:t>
            </w:r>
          </w:p>
        </w:tc>
      </w:tr>
      <w:tr>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Privacy Officer</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Compliance with the Australian Privacy Principles</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Medium</w:t>
            </w:r>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High</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Lawful handling of student data</w:t>
            </w:r>
          </w:p>
        </w:tc>
        <w:tc>
          <w:tcPr>
            <w:tcW w:w="2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Keep satisfied: privacy impact assessment review</w:t>
            </w:r>
          </w:p>
        </w:tc>
      </w:tr>
      <w:tr>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Accessibility and disability services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Inclusive access</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Medium</w:t>
            </w:r>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Medium</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WCAG 2.2 compliance, assistive technology</w:t>
            </w:r>
          </w:p>
        </w:tc>
        <w:tc>
          <w:tcPr>
            <w:tcW w:w="2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Consult: accessibility testing and pilot course selection</w:t>
            </w:r>
          </w:p>
        </w:tc>
      </w:tr>
      <w:tr>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Student Services / help desk</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First-line support</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Medium</w:t>
            </w:r>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Medium</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Support volumes, guides</w:t>
            </w:r>
          </w:p>
        </w:tc>
        <w:tc>
          <w:tcPr>
            <w:tcW w:w="2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Keep informed: support briefings before pilot and go-live</w:t>
            </w:r>
          </w:p>
        </w:tc>
      </w:tr>
      <w:tr>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Moodle Partner and hosting provider</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External suppliers</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Medium</w:t>
            </w:r>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Medium</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Clear contract scope</w:t>
            </w:r>
          </w:p>
        </w:tc>
        <w:tc>
          <w:tcPr>
            <w:tcW w:w="2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Monitor: contract and service reviews</w:t>
            </w:r>
          </w:p>
        </w:tc>
      </w:tr>
    </w:tbl>
    <w:p>
      <w:pPr>
        <w:spacing w:after="120"/>
      </w:pPr>
    </w:p>
    <w:p>
      <w:pPr>
        <w:pStyle w:val="Heading3"/>
      </w:pPr>
      <w:r>
        <w:t xml:space="preserve">4.1.3 Charter Approval</w:t>
      </w:r>
    </w:p>
    <w:p>
      <w:pPr>
        <w:spacing w:after="160" w:line="360" w:lineRule="auto"/>
        <w:jc w:val="both"/>
      </w:pPr>
      <w:r>
        <w:t xml:space="preserve">The charter becomes effective when it is signed by the parties below at milestone M1 (end of Week 1, 5 February 2027). Signature authorises the project manager to commit the resources in Section 8 and to start requirements work.</w:t>
      </w:r>
    </w:p>
    <w:p>
      <w:pPr>
        <w:keepNext/>
        <w:spacing w:before="200" w:after="80"/>
      </w:pPr>
      <w:r>
        <w:rPr>
          <w:b/>
          <w:bCs/>
        </w:rPr>
        <w:t xml:space="preserve">Table 8: </w:t>
      </w:r>
      <w:r>
        <w:rPr>
          <w:i/>
          <w:iCs/>
        </w:rPr>
        <w:t>Charter approval and sign-off</w:t>
      </w:r>
    </w:p>
    <w:tbl>
      <w:tblPr>
        <w:tblW w:w="9026" w:type="dxa"/>
        <w:tblLayout w:type="fixed"/>
        <w:tblCellMar>
          <w:left w:w="10" w:type="dxa"/>
          <w:right w:w="10" w:type="dxa"/>
        </w:tblCellMar>
        <w:tblLook w:val="0000" w:firstRow="0" w:lastRow="0" w:firstColumn="0" w:lastColumn="0" w:noHBand="0" w:noVBand="0"/>
      </w:tblPr>
      <w:tblGrid>
        <w:gridCol w:w="2300"/>
        <w:gridCol w:w="2700"/>
        <w:gridCol w:w="2326"/>
        <w:gridCol w:w="1700"/>
      </w:tblGrid>
      <w:tr>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Name</w:t>
            </w:r>
          </w:p>
        </w:tc>
        <w:tc>
          <w:tcPr>
            <w:tcW w:w="27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Role</w:t>
            </w:r>
          </w:p>
        </w:tc>
        <w:tc>
          <w:tcPr>
            <w:tcW w:w="2326"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Signature</w:t>
            </w:r>
          </w:p>
        </w:tc>
        <w:tc>
          <w:tcPr>
            <w:tcW w:w="17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Date</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Dr Helen Carter</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Project Sponsor (Academic Director)</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________________________</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____ / ____ / 2027</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Daniel Reyes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Project Manager</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________________________</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____ / ____ / 2027</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Mark Thompson</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Director of IT Services</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________________________</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____ / ____ / 2027</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Head of School representative</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Steering committee member</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________________________</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____ / ____ / 2027</w:t>
            </w:r>
          </w:p>
        </w:tc>
      </w:tr>
    </w:tbl>
    <w:p>
      <w:pPr>
        <w:spacing w:after="120"/>
      </w:pPr>
    </w:p>
    <w:p w:rsidR="00EB510C" w:rsidRDefault="00EB510C">
      <w:pPr>
        <w:spacing w:after="120"/>
      </w:pPr>
    </w:p>
    <w:p w:rsidR="00EB510C" w:rsidRDefault="003F5293">
      <w:pPr>
        <w:pStyle w:val="Heading2"/>
      </w:pPr>
      <w:bookmarkStart w:id="25" w:name="_Toc100025"/>
      <w:r>
        <w:t>4.2 Scope Statement</w:t>
      </w:r>
      <w:bookmarkEnd w:id="25"/>
    </w:p>
    <w:p w:rsidR="00EB510C" w:rsidRDefault="003F5293">
      <w:pPr>
        <w:spacing w:after="160" w:line="360" w:lineRule="auto"/>
        <w:jc w:val="both"/>
      </w:pPr>
      <w:r>
        <w:rPr>
          <w:b/>
          <w:bCs/>
        </w:rPr>
        <w:t>In scope:</w:t>
      </w:r>
    </w:p>
    <w:p w:rsidR="00EB510C" w:rsidRDefault="003F5293">
      <w:pPr>
        <w:pStyle w:val="ListParagraph"/>
        <w:numPr>
          <w:ilvl w:val="0"/>
          <w:numId w:val="2"/>
        </w:numPr>
        <w:spacing w:after="80" w:line="360" w:lineRule="auto"/>
        <w:jc w:val="both"/>
      </w:pPr>
      <w:r>
        <w:t>Requirements analysis with students, lecturers, administrators and IT staff.</w:t>
      </w:r>
    </w:p>
    <w:p w:rsidR="00EB510C" w:rsidRDefault="003F5293">
      <w:pPr>
        <w:pStyle w:val="ListParagraph"/>
        <w:numPr>
          <w:ilvl w:val="0"/>
          <w:numId w:val="2"/>
        </w:numPr>
        <w:spacing w:after="80" w:line="360" w:lineRule="auto"/>
        <w:jc w:val="both"/>
      </w:pPr>
      <w:r>
        <w:t>Platform evaluation and selection.</w:t>
      </w:r>
    </w:p>
    <w:p w:rsidR="00EB510C" w:rsidRDefault="003F5293">
      <w:pPr>
        <w:pStyle w:val="ListParagraph"/>
        <w:numPr>
          <w:ilvl w:val="0"/>
          <w:numId w:val="2"/>
        </w:numPr>
        <w:spacing w:after="80" w:line="360" w:lineRule="auto"/>
        <w:jc w:val="both"/>
      </w:pPr>
      <w:r>
        <w:t>Provisioning of development, test, staging and production environments.</w:t>
      </w:r>
    </w:p>
    <w:p w:rsidR="00EB510C" w:rsidRDefault="003F5293">
      <w:pPr>
        <w:pStyle w:val="ListParagraph"/>
        <w:numPr>
          <w:ilvl w:val="0"/>
          <w:numId w:val="2"/>
        </w:numPr>
        <w:spacing w:after="80" w:line="360" w:lineRule="auto"/>
        <w:jc w:val="both"/>
      </w:pPr>
      <w:r>
        <w:t>Installation, hardening and configuration of the LMS, including user accounts, authentication, role-based access control, course templates, assignments, quizzes, gradebook, progress tracking, announcements and notifications.</w:t>
      </w:r>
    </w:p>
    <w:p w:rsidR="00EB510C" w:rsidRDefault="003F5293">
      <w:pPr>
        <w:pStyle w:val="ListParagraph"/>
        <w:numPr>
          <w:ilvl w:val="0"/>
          <w:numId w:val="2"/>
        </w:numPr>
        <w:spacing w:after="80" w:line="360" w:lineRule="auto"/>
        <w:jc w:val="both"/>
      </w:pPr>
      <w:r>
        <w:t>RIHE branding theme and a limited set of approved plugins.</w:t>
      </w:r>
    </w:p>
    <w:p w:rsidR="00EB510C" w:rsidRDefault="003F5293">
      <w:pPr>
        <w:pStyle w:val="ListParagraph"/>
        <w:numPr>
          <w:ilvl w:val="0"/>
          <w:numId w:val="2"/>
        </w:numPr>
        <w:spacing w:after="80" w:line="360" w:lineRule="auto"/>
        <w:jc w:val="both"/>
      </w:pPr>
      <w:r>
        <w:t>Migration of current-trimester course content from the legacy portal and shared drives.</w:t>
      </w:r>
    </w:p>
    <w:p w:rsidR="00EB510C" w:rsidRDefault="003F5293">
      <w:pPr>
        <w:pStyle w:val="ListParagraph"/>
        <w:numPr>
          <w:ilvl w:val="0"/>
          <w:numId w:val="2"/>
        </w:numPr>
        <w:spacing w:after="80" w:line="360" w:lineRule="auto"/>
        <w:jc w:val="both"/>
      </w:pPr>
      <w:r>
        <w:t>Functional, integration, security, accessibility, performance, backup and recovery testing, and UAT.</w:t>
      </w:r>
    </w:p>
    <w:p w:rsidR="00EB510C" w:rsidRDefault="003F5293">
      <w:pPr>
        <w:pStyle w:val="ListParagraph"/>
        <w:numPr>
          <w:ilvl w:val="0"/>
          <w:numId w:val="2"/>
        </w:numPr>
        <w:spacing w:after="80" w:line="360" w:lineRule="auto"/>
        <w:jc w:val="both"/>
      </w:pPr>
      <w:r>
        <w:t>Training for lecturers, administrators and support staff, and orientation material for students.</w:t>
      </w:r>
    </w:p>
    <w:p w:rsidR="00EB510C" w:rsidRDefault="003F5293">
      <w:pPr>
        <w:pStyle w:val="ListParagraph"/>
        <w:numPr>
          <w:ilvl w:val="0"/>
          <w:numId w:val="2"/>
        </w:numPr>
        <w:spacing w:after="80" w:line="360" w:lineRule="auto"/>
        <w:jc w:val="both"/>
      </w:pPr>
      <w:r>
        <w:lastRenderedPageBreak/>
        <w:t>A five-course pilot, remediation and institution-wide deployment.</w:t>
      </w:r>
    </w:p>
    <w:p w:rsidR="00EB510C" w:rsidRDefault="003F5293">
      <w:pPr>
        <w:pStyle w:val="ListParagraph"/>
        <w:numPr>
          <w:ilvl w:val="0"/>
          <w:numId w:val="2"/>
        </w:numPr>
        <w:spacing w:after="80" w:line="360" w:lineRule="auto"/>
        <w:jc w:val="both"/>
      </w:pPr>
      <w:r>
        <w:t>Two weeks of hypercare support, handover to IT services and project closure.</w:t>
      </w:r>
    </w:p>
    <w:p w:rsidR="00EB510C" w:rsidRDefault="003F5293">
      <w:pPr>
        <w:pStyle w:val="ListParagraph"/>
        <w:numPr>
          <w:ilvl w:val="0"/>
          <w:numId w:val="2"/>
        </w:numPr>
        <w:spacing w:after="80" w:line="360" w:lineRule="auto"/>
        <w:jc w:val="both"/>
      </w:pPr>
      <w:r>
        <w:t>Configuration management of project artefacts and LMS configuration using GitHub.</w:t>
      </w:r>
    </w:p>
    <w:p w:rsidR="00EB510C" w:rsidRDefault="003F5293">
      <w:pPr>
        <w:spacing w:after="160" w:line="360" w:lineRule="auto"/>
        <w:jc w:val="both"/>
      </w:pPr>
      <w:r>
        <w:rPr>
          <w:b/>
          <w:bCs/>
        </w:rPr>
        <w:t>Out of scope:</w:t>
      </w:r>
    </w:p>
    <w:p w:rsidR="00EB510C" w:rsidRDefault="003F5293">
      <w:pPr>
        <w:pStyle w:val="ListParagraph"/>
        <w:numPr>
          <w:ilvl w:val="0"/>
          <w:numId w:val="2"/>
        </w:numPr>
        <w:spacing w:after="80" w:line="360" w:lineRule="auto"/>
        <w:jc w:val="both"/>
      </w:pPr>
      <w:r>
        <w:t>Live video conferencing (existing institutional tools will continue to be used).</w:t>
      </w:r>
    </w:p>
    <w:p w:rsidR="00EB510C" w:rsidRDefault="003F5293">
      <w:pPr>
        <w:pStyle w:val="ListParagraph"/>
        <w:numPr>
          <w:ilvl w:val="0"/>
          <w:numId w:val="2"/>
        </w:numPr>
        <w:spacing w:after="80" w:line="360" w:lineRule="auto"/>
        <w:jc w:val="both"/>
      </w:pPr>
      <w:r>
        <w:t>Online payment processing.</w:t>
      </w:r>
    </w:p>
    <w:p w:rsidR="00EB510C" w:rsidRDefault="003F5293">
      <w:pPr>
        <w:pStyle w:val="ListParagraph"/>
        <w:numPr>
          <w:ilvl w:val="0"/>
          <w:numId w:val="2"/>
        </w:numPr>
        <w:spacing w:after="80" w:line="360" w:lineRule="auto"/>
        <w:jc w:val="both"/>
      </w:pPr>
      <w:r>
        <w:t>A native mobile application (the responsive web interface will be used).</w:t>
      </w:r>
    </w:p>
    <w:p w:rsidR="00EB510C" w:rsidRDefault="003F5293">
      <w:pPr>
        <w:pStyle w:val="ListParagraph"/>
        <w:numPr>
          <w:ilvl w:val="0"/>
          <w:numId w:val="2"/>
        </w:numPr>
        <w:spacing w:after="80" w:line="360" w:lineRule="auto"/>
        <w:jc w:val="both"/>
      </w:pPr>
      <w:r>
        <w:t>Real-time integration with the student information system; enrolments will be loaded by scheduled CSV upload in this phase.</w:t>
      </w:r>
    </w:p>
    <w:p w:rsidR="00EB510C" w:rsidRDefault="003F5293">
      <w:pPr>
        <w:pStyle w:val="ListParagraph"/>
        <w:numPr>
          <w:ilvl w:val="0"/>
          <w:numId w:val="2"/>
        </w:numPr>
        <w:spacing w:after="80" w:line="360" w:lineRule="auto"/>
        <w:jc w:val="both"/>
      </w:pPr>
      <w:r>
        <w:t>Migration of archived courses older than the current trimester.</w:t>
      </w:r>
    </w:p>
    <w:p w:rsidR="00EB510C" w:rsidRDefault="003F5293">
      <w:pPr>
        <w:pStyle w:val="ListParagraph"/>
        <w:numPr>
          <w:ilvl w:val="0"/>
          <w:numId w:val="2"/>
        </w:numPr>
        <w:spacing w:after="80" w:line="360" w:lineRule="auto"/>
        <w:jc w:val="both"/>
      </w:pPr>
      <w:r>
        <w:t>Redesign of course curricula or teaching methods beyond LMS-related training.</w:t>
      </w:r>
    </w:p>
    <w:p w:rsidR="00EB510C" w:rsidRDefault="003F5293">
      <w:pPr>
        <w:pStyle w:val="Heading2"/>
      </w:pPr>
      <w:bookmarkStart w:id="26" w:name="_Toc100026"/>
      <w:r>
        <w:t>4.3 Major Deliverables</w:t>
      </w:r>
      <w:bookmarkEnd w:id="26"/>
    </w:p>
    <w:p w:rsidR="00EB510C" w:rsidRDefault="003F5293">
      <w:pPr>
        <w:spacing w:after="160" w:line="360" w:lineRule="auto"/>
        <w:jc w:val="both"/>
      </w:pPr>
      <w:r>
        <w:t>The major deliverables are the signed project charter; the approved requirements specification and traceability matrix; the platform decision record; the solution architecture and security design; four configured environments; a configured and branded production LMS; the GitHub repository with configuration baseline v1.0; migrated and reconciled course content; test reports; the UAT acceptance record; training materials; the pilot evaluation report; the go-live approval record; and the handover and lessons learned report.</w:t>
      </w:r>
    </w:p>
    <w:p w:rsidR="00EB510C" w:rsidRDefault="003F5293">
      <w:pPr>
        <w:pStyle w:val="Heading2"/>
      </w:pPr>
      <w:bookmarkStart w:id="27" w:name="_Toc100027"/>
      <w:r>
        <w:t>4.4 Assumptions and Constraints</w:t>
      </w:r>
      <w:bookmarkEnd w:id="27"/>
    </w:p>
    <w:p w:rsidR="00EB510C" w:rsidRDefault="003F5293">
      <w:pPr>
        <w:keepNext/>
        <w:spacing w:before="200" w:after="80"/>
      </w:pPr>
      <w:r>
        <w:rPr>
          <w:b/>
          <w:bCs/>
        </w:rPr>
        <w:t xml:space="preserve">Table 9: </w:t>
      </w:r>
      <w:r>
        <w:rPr>
          <w:i/>
          <w:iCs/>
        </w:rPr>
        <w:t>Key assumptions and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6291"/>
      </w:tblGrid>
      <w:tr w:rsidR="00EB510C">
        <w:tblPrEx>
          <w:tblCellMar>
            <w:top w:w="0" w:type="dxa"/>
            <w:bottom w:w="0" w:type="dxa"/>
          </w:tblCellMar>
        </w:tblPrEx>
        <w:trPr>
          <w:cantSplit/>
          <w:tblHeader/>
        </w:trPr>
        <w:tc>
          <w:tcPr>
            <w:tcW w:w="2735"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Type</w:t>
            </w:r>
          </w:p>
        </w:tc>
        <w:tc>
          <w:tcPr>
            <w:tcW w:w="629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Description</w:t>
            </w:r>
          </w:p>
        </w:tc>
      </w:tr>
      <w:tr w:rsidR="00EB510C">
        <w:tblPrEx>
          <w:tblCellMar>
            <w:top w:w="0" w:type="dxa"/>
            <w:bottom w:w="0" w:type="dxa"/>
          </w:tblCellMar>
        </w:tblPrEx>
        <w:trPr>
          <w:cantSplit/>
        </w:trPr>
        <w:tc>
          <w:tcPr>
            <w:tcW w:w="27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Assumption</w:t>
            </w:r>
          </w:p>
        </w:tc>
        <w:tc>
          <w:tcPr>
            <w:tcW w:w="62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Institutional figures (2,800 students, 140 staff) and costs are hypothetical planning values</w:t>
            </w:r>
          </w:p>
        </w:tc>
      </w:tr>
      <w:tr w:rsidR="00EB510C">
        <w:tblPrEx>
          <w:tblCellMar>
            <w:top w:w="0" w:type="dxa"/>
            <w:bottom w:w="0" w:type="dxa"/>
          </w:tblCellMar>
        </w:tblPrEx>
        <w:trPr>
          <w:cantSplit/>
        </w:trPr>
        <w:tc>
          <w:tcPr>
            <w:tcW w:w="27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Assumption</w:t>
            </w:r>
          </w:p>
        </w:tc>
        <w:tc>
          <w:tcPr>
            <w:tcW w:w="62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The project starts on Monday 1 February 2027; calendar dates in Section 7 are derived from this date and shift if charter approval moves</w:t>
            </w:r>
          </w:p>
        </w:tc>
      </w:tr>
      <w:tr w:rsidR="00EB510C">
        <w:tblPrEx>
          <w:tblCellMar>
            <w:top w:w="0" w:type="dxa"/>
            <w:bottom w:w="0" w:type="dxa"/>
          </w:tblCellMar>
        </w:tblPrEx>
        <w:trPr>
          <w:cantSplit/>
        </w:trPr>
        <w:tc>
          <w:tcPr>
            <w:tcW w:w="273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Assumption</w:t>
            </w:r>
          </w:p>
        </w:tc>
        <w:tc>
          <w:tcPr>
            <w:tcW w:w="629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The sponsor and lecturer representatives are available for requirements workshops in Weeks 3–4</w:t>
            </w:r>
          </w:p>
        </w:tc>
      </w:tr>
      <w:tr w:rsidR="00EB510C">
        <w:tblPrEx>
          <w:tblCellMar>
            <w:top w:w="0" w:type="dxa"/>
            <w:bottom w:w="0" w:type="dxa"/>
          </w:tblCellMar>
        </w:tblPrEx>
        <w:trPr>
          <w:cantSplit/>
        </w:trPr>
        <w:tc>
          <w:tcPr>
            <w:tcW w:w="27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Assumption</w:t>
            </w:r>
          </w:p>
        </w:tc>
        <w:tc>
          <w:tcPr>
            <w:tcW w:w="62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RIHE IT services can provide cloud hosting under an existing provider agreement</w:t>
            </w:r>
          </w:p>
        </w:tc>
      </w:tr>
      <w:tr w:rsidR="00EB510C">
        <w:tblPrEx>
          <w:tblCellMar>
            <w:top w:w="0" w:type="dxa"/>
            <w:bottom w:w="0" w:type="dxa"/>
          </w:tblCellMar>
        </w:tblPrEx>
        <w:trPr>
          <w:cantSplit/>
        </w:trPr>
        <w:tc>
          <w:tcPr>
            <w:tcW w:w="273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Constraint</w:t>
            </w:r>
          </w:p>
        </w:tc>
        <w:tc>
          <w:tcPr>
            <w:tcW w:w="629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Go-live must occur before the start of a teaching trimester to avoid disrupting live courses</w:t>
            </w:r>
          </w:p>
        </w:tc>
      </w:tr>
      <w:tr w:rsidR="00EB510C">
        <w:tblPrEx>
          <w:tblCellMar>
            <w:top w:w="0" w:type="dxa"/>
            <w:bottom w:w="0" w:type="dxa"/>
          </w:tblCellMar>
        </w:tblPrEx>
        <w:trPr>
          <w:cantSplit/>
        </w:trPr>
        <w:tc>
          <w:tcPr>
            <w:tcW w:w="27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Constraint</w:t>
            </w:r>
          </w:p>
        </w:tc>
        <w:tc>
          <w:tcPr>
            <w:tcW w:w="62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Student personal information must be handled in line with the Australian Privacy Principles</w:t>
            </w:r>
          </w:p>
        </w:tc>
      </w:tr>
      <w:tr w:rsidR="00EB510C">
        <w:tblPrEx>
          <w:tblCellMar>
            <w:top w:w="0" w:type="dxa"/>
            <w:bottom w:w="0" w:type="dxa"/>
          </w:tblCellMar>
        </w:tblPrEx>
        <w:trPr>
          <w:cantSplit/>
        </w:trPr>
        <w:tc>
          <w:tcPr>
            <w:tcW w:w="273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Constraint</w:t>
            </w:r>
          </w:p>
        </w:tc>
        <w:tc>
          <w:tcPr>
            <w:tcW w:w="629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Approved budget and a fixed core team; specialist security and accessibility reviews must be contracted</w:t>
            </w:r>
          </w:p>
        </w:tc>
      </w:tr>
      <w:tr w:rsidR="00EB510C">
        <w:tblPrEx>
          <w:tblCellMar>
            <w:top w:w="0" w:type="dxa"/>
            <w:bottom w:w="0" w:type="dxa"/>
          </w:tblCellMar>
        </w:tblPrEx>
        <w:trPr>
          <w:cantSplit/>
        </w:trPr>
        <w:tc>
          <w:tcPr>
            <w:tcW w:w="27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Dependency</w:t>
            </w:r>
          </w:p>
        </w:tc>
        <w:tc>
          <w:tcPr>
            <w:tcW w:w="62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Content migration depends on lecturers confirming the content inventory</w:t>
            </w:r>
          </w:p>
        </w:tc>
      </w:tr>
      <w:tr w:rsidR="00EB510C">
        <w:tblPrEx>
          <w:tblCellMar>
            <w:top w:w="0" w:type="dxa"/>
            <w:bottom w:w="0" w:type="dxa"/>
          </w:tblCellMar>
        </w:tblPrEx>
        <w:trPr>
          <w:cantSplit/>
        </w:trPr>
        <w:tc>
          <w:tcPr>
            <w:tcW w:w="273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lastRenderedPageBreak/>
              <w:t>Dependency</w:t>
            </w:r>
          </w:p>
        </w:tc>
        <w:tc>
          <w:tcPr>
            <w:tcW w:w="629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Enrolment loading depends on CSV exports from the student information system</w:t>
            </w:r>
          </w:p>
        </w:tc>
      </w:tr>
    </w:tbl>
    <w:p w:rsidR="00EB510C" w:rsidRDefault="00EB510C">
      <w:pPr>
        <w:spacing w:after="120"/>
      </w:pPr>
    </w:p>
    <w:p w:rsidR="00EB510C" w:rsidRDefault="003F5293">
      <w:pPr>
        <w:pStyle w:val="Heading2"/>
      </w:pPr>
      <w:bookmarkStart w:id="28" w:name="_Toc100028"/>
      <w:r>
        <w:t>4.5 Acceptance Criteria and Scope Control</w:t>
      </w:r>
      <w:bookmarkEnd w:id="28"/>
    </w:p>
    <w:p w:rsidR="00EB510C" w:rsidRDefault="003F5293">
      <w:pPr>
        <w:spacing w:after="160" w:line="360" w:lineRule="auto"/>
        <w:jc w:val="both"/>
      </w:pPr>
      <w:r>
        <w:t>The project will be accepted when objectives O1 to O6 are met, all mandatory go-live gate criteria in Table 28 are satisfied, the sponsor signs the go-live approval and the closure report, and IT services formally accept handover. Any change to the approved scope, schedule, budget or quality criteria must follow the change control process in Section 11. The scope baseline is the approved requirements specification together with this scope statement, both stored and tagged in the GitHub repository (Section 14).</w:t>
      </w:r>
    </w:p>
    <w:p w:rsidR="00EB510C" w:rsidRDefault="003F5293">
      <w:pPr>
        <w:pStyle w:val="Heading2"/>
      </w:pPr>
      <w:bookmarkStart w:id="29" w:name="_Toc100029"/>
      <w:r>
        <w:t>4.6 Indicative Budget</w:t>
      </w:r>
      <w:bookmarkEnd w:id="29"/>
    </w:p>
    <w:p w:rsidR="00EB510C" w:rsidRDefault="003F5293">
      <w:pPr>
        <w:spacing w:after="160" w:line="360" w:lineRule="auto"/>
        <w:jc w:val="both"/>
      </w:pPr>
      <w:r>
        <w:t>The following estimates are illustrative planning figures in Australian dollars for the 28-week project and first year of hosting. They are not vendor quotations and would be refined during initiation.</w:t>
      </w:r>
    </w:p>
    <w:p w:rsidR="00EB510C" w:rsidRDefault="003F5293">
      <w:pPr>
        <w:keepNext/>
        <w:spacing w:before="200" w:after="80"/>
      </w:pPr>
      <w:r>
        <w:rPr>
          <w:b/>
          <w:bCs/>
        </w:rPr>
        <w:t xml:space="preserve">Table 10: </w:t>
      </w:r>
      <w:r>
        <w:rPr>
          <w:i/>
          <w:iCs/>
        </w:rPr>
        <w:t xml:space="preserve">Indicative project budget (planning estimate, AUD)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2"/>
        <w:gridCol w:w="1936"/>
        <w:gridCol w:w="3928"/>
      </w:tblGrid>
      <w:tr w:rsidR="00EB510C">
        <w:tblPrEx>
          <w:tblCellMar>
            <w:top w:w="0" w:type="dxa"/>
            <w:bottom w:w="0" w:type="dxa"/>
          </w:tblCellMar>
        </w:tblPrEx>
        <w:trPr>
          <w:cantSplit/>
          <w:tblHeader/>
        </w:trPr>
        <w:tc>
          <w:tcPr>
            <w:tcW w:w="316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Cost category</w:t>
            </w:r>
          </w:p>
        </w:tc>
        <w:tc>
          <w:tcPr>
            <w:tcW w:w="1936"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Estimate (AUD)</w:t>
            </w:r>
          </w:p>
        </w:tc>
        <w:tc>
          <w:tcPr>
            <w:tcW w:w="3928"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Basis of estimate</w:t>
            </w:r>
          </w:p>
        </w:tc>
      </w:tr>
      <w:tr w:rsidR="00EB510C">
        <w:tblPrEx>
          <w:tblCellMar>
            <w:top w:w="0" w:type="dxa"/>
            <w:bottom w:w="0" w:type="dxa"/>
          </w:tblCellMar>
        </w:tblPrEx>
        <w:trPr>
          <w:cantSplit/>
        </w:trPr>
        <w:tc>
          <w:tcPr>
            <w:tcW w:w="3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Project labour (internal and contract staff)</w:t>
            </w:r>
          </w:p>
        </w:tc>
        <w:tc>
          <w:tcPr>
            <w:tcW w:w="1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248,000</w:t>
            </w:r>
          </w:p>
        </w:tc>
        <w:tc>
          <w:tcPr>
            <w:tcW w:w="3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Team roles in Section 8 over 28 weeks at assumed blended rates</w:t>
            </w:r>
          </w:p>
        </w:tc>
      </w:tr>
      <w:tr w:rsidR="00EB510C">
        <w:tblPrEx>
          <w:tblCellMar>
            <w:top w:w="0" w:type="dxa"/>
            <w:bottom w:w="0" w:type="dxa"/>
          </w:tblCellMar>
        </w:tblPrEx>
        <w:trPr>
          <w:cantSplit/>
        </w:trPr>
        <w:tc>
          <w:tcPr>
            <w:tcW w:w="31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Cloud hosting, four environments, first year</w:t>
            </w:r>
          </w:p>
        </w:tc>
        <w:tc>
          <w:tcPr>
            <w:tcW w:w="193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18,000</w:t>
            </w:r>
          </w:p>
        </w:tc>
        <w:tc>
          <w:tcPr>
            <w:tcW w:w="392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Assumed infrastructure-as-a-service pricing</w:t>
            </w:r>
          </w:p>
        </w:tc>
      </w:tr>
      <w:tr w:rsidR="00EB510C">
        <w:tblPrEx>
          <w:tblCellMar>
            <w:top w:w="0" w:type="dxa"/>
            <w:bottom w:w="0" w:type="dxa"/>
          </w:tblCellMar>
        </w:tblPrEx>
        <w:trPr>
          <w:cantSplit/>
        </w:trPr>
        <w:tc>
          <w:tcPr>
            <w:tcW w:w="3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Optional Moodle Partner support retainer</w:t>
            </w:r>
          </w:p>
        </w:tc>
        <w:tc>
          <w:tcPr>
            <w:tcW w:w="1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15,000</w:t>
            </w:r>
          </w:p>
        </w:tc>
        <w:tc>
          <w:tcPr>
            <w:tcW w:w="3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Assumed annual retainer to reduce reliance on community support</w:t>
            </w:r>
          </w:p>
        </w:tc>
      </w:tr>
      <w:tr w:rsidR="00EB510C">
        <w:tblPrEx>
          <w:tblCellMar>
            <w:top w:w="0" w:type="dxa"/>
            <w:bottom w:w="0" w:type="dxa"/>
          </w:tblCellMar>
        </w:tblPrEx>
        <w:trPr>
          <w:cantSplit/>
        </w:trPr>
        <w:tc>
          <w:tcPr>
            <w:tcW w:w="31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External security and accessibility review</w:t>
            </w:r>
          </w:p>
        </w:tc>
        <w:tc>
          <w:tcPr>
            <w:tcW w:w="193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12,000</w:t>
            </w:r>
          </w:p>
        </w:tc>
        <w:tc>
          <w:tcPr>
            <w:tcW w:w="392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Assumed fixed-price specialist engagement</w:t>
            </w:r>
          </w:p>
        </w:tc>
      </w:tr>
      <w:tr w:rsidR="00EB510C">
        <w:tblPrEx>
          <w:tblCellMar>
            <w:top w:w="0" w:type="dxa"/>
            <w:bottom w:w="0" w:type="dxa"/>
          </w:tblCellMar>
        </w:tblPrEx>
        <w:trPr>
          <w:cantSplit/>
        </w:trPr>
        <w:tc>
          <w:tcPr>
            <w:tcW w:w="3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Training delivery and materials</w:t>
            </w:r>
          </w:p>
        </w:tc>
        <w:tc>
          <w:tcPr>
            <w:tcW w:w="1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14,000</w:t>
            </w:r>
          </w:p>
        </w:tc>
        <w:tc>
          <w:tcPr>
            <w:tcW w:w="3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Workshops, guides and video resources</w:t>
            </w:r>
          </w:p>
        </w:tc>
      </w:tr>
      <w:tr w:rsidR="00EB510C">
        <w:tblPrEx>
          <w:tblCellMar>
            <w:top w:w="0" w:type="dxa"/>
            <w:bottom w:w="0" w:type="dxa"/>
          </w:tblCellMar>
        </w:tblPrEx>
        <w:trPr>
          <w:cantSplit/>
        </w:trPr>
        <w:tc>
          <w:tcPr>
            <w:tcW w:w="31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Contingency (10%)</w:t>
            </w:r>
          </w:p>
        </w:tc>
        <w:tc>
          <w:tcPr>
            <w:tcW w:w="193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30,700</w:t>
            </w:r>
          </w:p>
        </w:tc>
        <w:tc>
          <w:tcPr>
            <w:tcW w:w="392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Reserve for identified risks (Section 9)</w:t>
            </w:r>
          </w:p>
        </w:tc>
      </w:tr>
      <w:tr w:rsidR="00EB510C">
        <w:tblPrEx>
          <w:tblCellMar>
            <w:top w:w="0" w:type="dxa"/>
            <w:bottom w:w="0" w:type="dxa"/>
          </w:tblCellMar>
        </w:tblPrEx>
        <w:trPr>
          <w:cantSplit/>
        </w:trPr>
        <w:tc>
          <w:tcPr>
            <w:tcW w:w="3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b/>
                <w:bCs/>
                <w:sz w:val="19"/>
                <w:szCs w:val="19"/>
              </w:rPr>
              <w:t>Total</w:t>
            </w:r>
          </w:p>
        </w:tc>
        <w:tc>
          <w:tcPr>
            <w:tcW w:w="1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b/>
                <w:bCs/>
                <w:sz w:val="19"/>
                <w:szCs w:val="19"/>
              </w:rPr>
              <w:t>337,700</w:t>
            </w:r>
          </w:p>
        </w:tc>
        <w:tc>
          <w:tcPr>
            <w:tcW w:w="3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Excludes RIHE staff time outside the project team and existing licences</w:t>
            </w:r>
          </w:p>
        </w:tc>
      </w:tr>
    </w:tbl>
    <w:p w:rsidR="00EB510C" w:rsidRDefault="00EB510C">
      <w:pPr>
        <w:spacing w:after="120"/>
      </w:pPr>
    </w:p>
    <w:p w:rsidR="00EB510C" w:rsidRDefault="003F5293">
      <w:pPr>
        <w:spacing w:after="160" w:line="360" w:lineRule="auto"/>
        <w:jc w:val="both"/>
      </w:pPr>
      <w:r>
        <w:t>Moodle has no per-seat licence fee for the core platform, but this does not mean the service is free. Hosting, administration, security patching, backup and support account for most of the cost, which is why they are budgeted explicitly.</w:t>
      </w:r>
    </w:p>
    <w:p w:rsidR="00EB510C" w:rsidRDefault="003F5293">
      <w:pPr>
        <w:pStyle w:val="Heading1"/>
        <w:pageBreakBefore/>
      </w:pPr>
      <w:bookmarkStart w:id="30" w:name="_Toc243565012"/>
      <w:r>
        <w:lastRenderedPageBreak/>
        <w:t>5. Platform Evaluation and Selection</w:t>
      </w:r>
      <w:bookmarkEnd w:id="30"/>
    </w:p>
    <w:p w:rsidR="00EB510C" w:rsidRDefault="003F5293">
      <w:pPr>
        <w:pStyle w:val="Heading2"/>
      </w:pPr>
      <w:bookmarkStart w:id="31" w:name="_Toc100031"/>
      <w:r>
        <w:t>5.1 Options Considered</w:t>
      </w:r>
      <w:bookmarkEnd w:id="31"/>
    </w:p>
    <w:p w:rsidR="00EB510C" w:rsidRDefault="003F5293">
      <w:pPr>
        <w:spacing w:after="160" w:line="360" w:lineRule="auto"/>
        <w:jc w:val="both"/>
      </w:pPr>
      <w:r>
        <w:t xml:space="preserve">Two platforms were shortlisted. </w:t>
      </w:r>
      <w:r>
        <w:rPr>
          <w:b/>
          <w:bCs/>
        </w:rPr>
        <w:t>Moodle</w:t>
      </w:r>
      <w:r>
        <w:t xml:space="preserve"> is an open-source LMS distributed under the GNU General Public License (version 3 or later for current releases), which means it can be self-hosted, modified and extended through plugins [17]. </w:t>
      </w:r>
      <w:r>
        <w:rPr>
          <w:b/>
          <w:bCs/>
        </w:rPr>
        <w:t>Canvas LMS</w:t>
      </w:r>
      <w:r>
        <w:t xml:space="preserve"> (Instructure) is mainly used as a commercially hosted subscription service. Its source code is also released under the AGPLv3 licence, but Instructure directs institutions to its commercial offering for hosting, support and professional services [18]. Self-hosting the open-source edition is considerably more complex than running Moodle and does not include all commercial cloud features [19]. Google Classroom was considered but excluded because it lacks some of the institutional assessment and reporting features required.</w:t>
      </w:r>
    </w:p>
    <w:p w:rsidR="00EB510C" w:rsidRDefault="003F5293">
      <w:pPr>
        <w:pStyle w:val="Heading2"/>
      </w:pPr>
      <w:bookmarkStart w:id="32" w:name="_Toc100032"/>
      <w:r>
        <w:t>5.2 Evaluation Criteria and Weighted Matrix</w:t>
      </w:r>
      <w:bookmarkEnd w:id="32"/>
    </w:p>
    <w:p w:rsidR="00EB510C" w:rsidRDefault="003F5293">
      <w:pPr>
        <w:spacing w:after="160" w:line="360" w:lineRule="auto"/>
        <w:jc w:val="both"/>
      </w:pPr>
      <w:r>
        <w:t xml:space="preserve">Criteria were derived from the requirements and the literature. Weights total 100%. Each platform was scored from 1 (poor) to 5 (excellent).</w:t>
      </w:r>
    </w:p>
    <w:p w:rsidR="00EB510C" w:rsidRDefault="003F5293">
      <w:pPr>
        <w:keepNext/>
        <w:spacing w:before="200" w:after="80"/>
      </w:pPr>
      <w:r>
        <w:rPr>
          <w:b/>
          <w:bCs/>
        </w:rPr>
        <w:t xml:space="preserve">Table 11: </w:t>
      </w:r>
      <w:r>
        <w:rPr>
          <w:i/>
          <w:iCs/>
        </w:rPr>
        <w:t>Weighted platform decision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898"/>
        <w:gridCol w:w="1037"/>
        <w:gridCol w:w="1131"/>
        <w:gridCol w:w="1037"/>
        <w:gridCol w:w="1131"/>
        <w:gridCol w:w="2236"/>
      </w:tblGrid>
      <w:tr w:rsidR="00EB510C">
        <w:tblPrEx>
          <w:tblCellMar>
            <w:top w:w="0" w:type="dxa"/>
            <w:bottom w:w="0" w:type="dxa"/>
          </w:tblCellMar>
        </w:tblPrEx>
        <w:trPr>
          <w:cantSplit/>
          <w:tblHeader/>
        </w:trPr>
        <w:tc>
          <w:tcPr>
            <w:tcW w:w="1556"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Criterion</w:t>
            </w:r>
          </w:p>
        </w:tc>
        <w:tc>
          <w:tcPr>
            <w:tcW w:w="898"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Weight</w:t>
            </w:r>
          </w:p>
        </w:tc>
        <w:tc>
          <w:tcPr>
            <w:tcW w:w="1037"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Moodle score</w:t>
            </w:r>
          </w:p>
        </w:tc>
        <w:tc>
          <w:tcPr>
            <w:tcW w:w="113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Moodle weighted</w:t>
            </w:r>
          </w:p>
        </w:tc>
        <w:tc>
          <w:tcPr>
            <w:tcW w:w="1037"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Canvas score</w:t>
            </w:r>
          </w:p>
        </w:tc>
        <w:tc>
          <w:tcPr>
            <w:tcW w:w="113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Canvas weighted</w:t>
            </w:r>
          </w:p>
        </w:tc>
        <w:tc>
          <w:tcPr>
            <w:tcW w:w="2236"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Rationale</w:t>
            </w:r>
          </w:p>
        </w:tc>
      </w:tr>
      <w:tr w:rsidR="00EB510C">
        <w:tblPrEx>
          <w:tblCellMar>
            <w:top w:w="0" w:type="dxa"/>
            <w:bottom w:w="0" w:type="dxa"/>
          </w:tblCellMar>
        </w:tblPrEx>
        <w:trPr>
          <w:cantSplit/>
        </w:trPr>
        <w:tc>
          <w:tcPr>
            <w:tcW w:w="1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Licensing and total cost</w:t>
            </w:r>
          </w:p>
        </w:tc>
        <w:tc>
          <w:tcPr>
            <w:tcW w:w="8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25%</w:t>
            </w:r>
          </w:p>
        </w:tc>
        <w:tc>
          <w:tcPr>
            <w:tcW w:w="103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5</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1.25</w:t>
            </w:r>
          </w:p>
        </w:tc>
        <w:tc>
          <w:tcPr>
            <w:tcW w:w="103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3</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0.75</w:t>
            </w:r>
          </w:p>
        </w:tc>
        <w:tc>
          <w:tcPr>
            <w:tcW w:w="22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Moodle has no per-seat licence; Canvas subscription scales with enrolment</w:t>
            </w:r>
          </w:p>
        </w:tc>
      </w:tr>
      <w:tr w:rsidR="00EB510C">
        <w:tblPrEx>
          <w:tblCellMar>
            <w:top w:w="0" w:type="dxa"/>
            <w:bottom w:w="0" w:type="dxa"/>
          </w:tblCellMar>
        </w:tblPrEx>
        <w:trPr>
          <w:cantSplit/>
        </w:trPr>
        <w:tc>
          <w:tcPr>
            <w:tcW w:w="155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Customisation and control</w:t>
            </w:r>
          </w:p>
        </w:tc>
        <w:tc>
          <w:tcPr>
            <w:tcW w:w="89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15%</w:t>
            </w:r>
          </w:p>
        </w:tc>
        <w:tc>
          <w:tcPr>
            <w:tcW w:w="10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5</w:t>
            </w:r>
          </w:p>
        </w:tc>
        <w:tc>
          <w:tcPr>
            <w:tcW w:w="11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0.75</w:t>
            </w:r>
          </w:p>
        </w:tc>
        <w:tc>
          <w:tcPr>
            <w:tcW w:w="10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2</w:t>
            </w:r>
          </w:p>
        </w:tc>
        <w:tc>
          <w:tcPr>
            <w:tcW w:w="11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0.30</w:t>
            </w:r>
          </w:p>
        </w:tc>
        <w:tc>
          <w:tcPr>
            <w:tcW w:w="223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Moodle code and theme fully modifiable; Canvas Cloud core cannot be modified</w:t>
            </w:r>
          </w:p>
        </w:tc>
      </w:tr>
      <w:tr w:rsidR="00EB510C">
        <w:tblPrEx>
          <w:tblCellMar>
            <w:top w:w="0" w:type="dxa"/>
            <w:bottom w:w="0" w:type="dxa"/>
          </w:tblCellMar>
        </w:tblPrEx>
        <w:trPr>
          <w:cantSplit/>
        </w:trPr>
        <w:tc>
          <w:tcPr>
            <w:tcW w:w="1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Usability for staff and students</w:t>
            </w:r>
          </w:p>
        </w:tc>
        <w:tc>
          <w:tcPr>
            <w:tcW w:w="8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15%</w:t>
            </w:r>
          </w:p>
        </w:tc>
        <w:tc>
          <w:tcPr>
            <w:tcW w:w="103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3</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0.45</w:t>
            </w:r>
          </w:p>
        </w:tc>
        <w:tc>
          <w:tcPr>
            <w:tcW w:w="103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5</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0.75</w:t>
            </w:r>
          </w:p>
        </w:tc>
        <w:tc>
          <w:tcPr>
            <w:tcW w:w="22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Canvas is widely reported as easier to use; Moodle needs careful theming</w:t>
            </w:r>
          </w:p>
        </w:tc>
      </w:tr>
      <w:tr w:rsidR="00EB510C">
        <w:tblPrEx>
          <w:tblCellMar>
            <w:top w:w="0" w:type="dxa"/>
            <w:bottom w:w="0" w:type="dxa"/>
          </w:tblCellMar>
        </w:tblPrEx>
        <w:trPr>
          <w:cantSplit/>
        </w:trPr>
        <w:tc>
          <w:tcPr>
            <w:tcW w:w="155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Security and data control</w:t>
            </w:r>
          </w:p>
        </w:tc>
        <w:tc>
          <w:tcPr>
            <w:tcW w:w="89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15%</w:t>
            </w:r>
          </w:p>
        </w:tc>
        <w:tc>
          <w:tcPr>
            <w:tcW w:w="10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4</w:t>
            </w:r>
          </w:p>
        </w:tc>
        <w:tc>
          <w:tcPr>
            <w:tcW w:w="11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0.60</w:t>
            </w:r>
          </w:p>
        </w:tc>
        <w:tc>
          <w:tcPr>
            <w:tcW w:w="10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4</w:t>
            </w:r>
          </w:p>
        </w:tc>
        <w:tc>
          <w:tcPr>
            <w:tcW w:w="11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0.60</w:t>
            </w:r>
          </w:p>
        </w:tc>
        <w:tc>
          <w:tcPr>
            <w:tcW w:w="223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Moodle self-hosting gives data location control but RIHE owns patching; Canvas patching is vendor-managed</w:t>
            </w:r>
          </w:p>
        </w:tc>
      </w:tr>
      <w:tr w:rsidR="00EB510C">
        <w:tblPrEx>
          <w:tblCellMar>
            <w:top w:w="0" w:type="dxa"/>
            <w:bottom w:w="0" w:type="dxa"/>
          </w:tblCellMar>
        </w:tblPrEx>
        <w:trPr>
          <w:cantSplit/>
        </w:trPr>
        <w:tc>
          <w:tcPr>
            <w:tcW w:w="1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Support availability</w:t>
            </w:r>
          </w:p>
        </w:tc>
        <w:tc>
          <w:tcPr>
            <w:tcW w:w="8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10%</w:t>
            </w:r>
          </w:p>
        </w:tc>
        <w:tc>
          <w:tcPr>
            <w:tcW w:w="103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3</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0.30</w:t>
            </w:r>
          </w:p>
        </w:tc>
        <w:tc>
          <w:tcPr>
            <w:tcW w:w="103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5</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0.50</w:t>
            </w:r>
          </w:p>
        </w:tc>
        <w:tc>
          <w:tcPr>
            <w:tcW w:w="22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Moodle relies on community or paid partners; Canvas includes vendor support</w:t>
            </w:r>
          </w:p>
        </w:tc>
      </w:tr>
      <w:tr w:rsidR="00EB510C">
        <w:tblPrEx>
          <w:tblCellMar>
            <w:top w:w="0" w:type="dxa"/>
            <w:bottom w:w="0" w:type="dxa"/>
          </w:tblCellMar>
        </w:tblPrEx>
        <w:trPr>
          <w:cantSplit/>
        </w:trPr>
        <w:tc>
          <w:tcPr>
            <w:tcW w:w="155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Integration capability</w:t>
            </w:r>
          </w:p>
        </w:tc>
        <w:tc>
          <w:tcPr>
            <w:tcW w:w="89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10%</w:t>
            </w:r>
          </w:p>
        </w:tc>
        <w:tc>
          <w:tcPr>
            <w:tcW w:w="10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4</w:t>
            </w:r>
          </w:p>
        </w:tc>
        <w:tc>
          <w:tcPr>
            <w:tcW w:w="11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0.40</w:t>
            </w:r>
          </w:p>
        </w:tc>
        <w:tc>
          <w:tcPr>
            <w:tcW w:w="10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5</w:t>
            </w:r>
          </w:p>
        </w:tc>
        <w:tc>
          <w:tcPr>
            <w:tcW w:w="11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0.50</w:t>
            </w:r>
          </w:p>
        </w:tc>
        <w:tc>
          <w:tcPr>
            <w:tcW w:w="223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Both support standards; Canvas APIs are well documented</w:t>
            </w:r>
          </w:p>
        </w:tc>
      </w:tr>
      <w:tr w:rsidR="00EB510C">
        <w:tblPrEx>
          <w:tblCellMar>
            <w:top w:w="0" w:type="dxa"/>
            <w:bottom w:w="0" w:type="dxa"/>
          </w:tblCellMar>
        </w:tblPrEx>
        <w:trPr>
          <w:cantSplit/>
        </w:trPr>
        <w:tc>
          <w:tcPr>
            <w:tcW w:w="1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Skills required to administer</w:t>
            </w:r>
          </w:p>
        </w:tc>
        <w:tc>
          <w:tcPr>
            <w:tcW w:w="8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10%</w:t>
            </w:r>
          </w:p>
        </w:tc>
        <w:tc>
          <w:tcPr>
            <w:tcW w:w="103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3</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0.30</w:t>
            </w:r>
          </w:p>
        </w:tc>
        <w:tc>
          <w:tcPr>
            <w:tcW w:w="103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4</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0.40</w:t>
            </w:r>
          </w:p>
        </w:tc>
        <w:tc>
          <w:tcPr>
            <w:tcW w:w="22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Moodle requires stronger in-house administration skills</w:t>
            </w:r>
          </w:p>
        </w:tc>
      </w:tr>
      <w:tr w:rsidR="00EB510C">
        <w:tblPrEx>
          <w:tblCellMar>
            <w:top w:w="0" w:type="dxa"/>
            <w:bottom w:w="0" w:type="dxa"/>
          </w:tblCellMar>
        </w:tblPrEx>
        <w:trPr>
          <w:cantSplit/>
        </w:trPr>
        <w:tc>
          <w:tcPr>
            <w:tcW w:w="155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b/>
                <w:bCs/>
                <w:sz w:val="17"/>
                <w:szCs w:val="17"/>
              </w:rPr>
              <w:t>Total</w:t>
            </w:r>
          </w:p>
        </w:tc>
        <w:tc>
          <w:tcPr>
            <w:tcW w:w="89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b/>
                <w:bCs/>
                <w:sz w:val="17"/>
                <w:szCs w:val="17"/>
              </w:rPr>
              <w:t>100%</w:t>
            </w:r>
          </w:p>
        </w:tc>
        <w:tc>
          <w:tcPr>
            <w:tcW w:w="10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EB510C"/>
        </w:tc>
        <w:tc>
          <w:tcPr>
            <w:tcW w:w="11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b/>
                <w:bCs/>
                <w:sz w:val="17"/>
                <w:szCs w:val="17"/>
              </w:rPr>
              <w:t>4.05</w:t>
            </w:r>
          </w:p>
        </w:tc>
        <w:tc>
          <w:tcPr>
            <w:tcW w:w="103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EB510C"/>
        </w:tc>
        <w:tc>
          <w:tcPr>
            <w:tcW w:w="11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b/>
                <w:bCs/>
                <w:sz w:val="17"/>
                <w:szCs w:val="17"/>
              </w:rPr>
              <w:t>3.80</w:t>
            </w:r>
          </w:p>
        </w:tc>
        <w:tc>
          <w:tcPr>
            <w:tcW w:w="223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EB510C"/>
        </w:tc>
      </w:tr>
    </w:tbl>
    <w:p w:rsidR="00EB510C" w:rsidRDefault="00EB510C">
      <w:pPr>
        <w:spacing w:after="120"/>
      </w:pPr>
    </w:p>
    <w:p w:rsidR="00EB510C" w:rsidRDefault="003F5293">
      <w:pPr>
        <w:spacing w:after="160" w:line="360" w:lineRule="auto"/>
        <w:jc w:val="both"/>
      </w:pPr>
      <w:r>
        <w:t xml:space="preserve">Each weighted value is the criterion weight multiplied by the score, and the total is the sum of the weighted values. Licensing facts are taken from official sources (Moodle, n.d.-a; </w:t>
        <w:lastRenderedPageBreak/>
        <w:t>Instructure, n.d.). The usability, support and integration judgements draw on comparison articles by ibl.ai [20], Jotform [21] and MetaDesign Solutions [22]. Because these are commercial sources rather than independent research, the scores represent the project team's informed assessment, not measured performance.</w:t>
      </w:r>
    </w:p>
    <w:p w:rsidR="00EB510C" w:rsidRDefault="003F5293">
      <w:pPr>
        <w:pStyle w:val="Heading2"/>
      </w:pPr>
      <w:bookmarkStart w:id="33" w:name="_Toc100033"/>
      <w:r>
        <w:t>5.3 Recommendation and Trade-offs</w:t>
      </w:r>
      <w:bookmarkEnd w:id="33"/>
    </w:p>
    <w:p w:rsidR="00EB510C" w:rsidRDefault="003F5293">
      <w:pPr>
        <w:spacing w:after="160" w:line="360" w:lineRule="auto"/>
        <w:jc w:val="both"/>
      </w:pPr>
      <w:r>
        <w:t>Moodle is recommended with a weighted score of 4.05 compared with 3.80 for Canvas. The decision is driven mainly by cost and control, which matter for a mid-sized private provider with a constrained budget and a need to keep student data under institutional control.</w:t>
      </w:r>
    </w:p>
    <w:p w:rsidR="00EB510C" w:rsidRDefault="003F5293">
      <w:pPr>
        <w:spacing w:after="160" w:line="360" w:lineRule="auto"/>
        <w:jc w:val="both"/>
      </w:pPr>
      <w:r>
        <w:t xml:space="preserve">The margin is narrow, and the result is sensitive to the weights. For example, if the usability weight were raised to 25% and the licensing weight reduced to 15%, Moodle would score 3.85 and Canvas 4.00, reversing the recommendation. The weights used here reflect RIHE's constrained budget and its requirement for institutional control over student data, which the sponsor would confirm at the platform approval milestone (M3). The plan therefore treats Moodle's weaknesses as explicit risks rather than ignoring them. Usability is addressed through theme design, course templates and usability testing; support dependence is addressed through an optional Moodle Partner retainer; and skills gaps are addressed through administrator training and documentation (risks R9 and R11 in Section 9). The choice of Moodle also supports the configuration management requirement, because its configuration, theme and plugin list can be placed under version control in GitHub (Section 14).</w:t>
      </w:r>
    </w:p>
    <w:p w:rsidR="00EB510C" w:rsidRDefault="003F5293">
      <w:pPr>
        <w:pStyle w:val="Heading1"/>
        <w:pageBreakBefore/>
      </w:pPr>
      <w:bookmarkStart w:id="34" w:name="_Toc243565013"/>
      <w:r>
        <w:lastRenderedPageBreak/>
        <w:t>6. Work Breakdown Structure</w:t>
      </w:r>
      <w:bookmarkEnd w:id="34"/>
    </w:p>
    <w:p w:rsidR="00EB510C" w:rsidRDefault="003F5293">
      <w:pPr>
        <w:pStyle w:val="Heading2"/>
      </w:pPr>
      <w:bookmarkStart w:id="35" w:name="_Toc100035"/>
      <w:r>
        <w:t>6.1 Decomposition Approach</w:t>
      </w:r>
      <w:bookmarkEnd w:id="35"/>
    </w:p>
    <w:p w:rsidR="00EB510C" w:rsidRDefault="003F5293">
      <w:pPr>
        <w:spacing w:after="160" w:line="360" w:lineRule="auto"/>
        <w:jc w:val="both"/>
      </w:pPr>
      <w:r>
        <w:t xml:space="preserve">The WBS is deliverable-oriented: each element represents a tangible output rather than an activity, following the principle that the WBS should cover 100% of the approved scope [7]. Level 0 is the overall project. Level 1 contains 13 delivery work packages that follow the implementation life cycle, plus a cross-cutting project management package (0). Level 2 breaks each package into the deliverables that will be scheduled and assigned. Numbering is hierarchical, so element 6.3 is the third deliverable of work package 6. Figure 1 shows the structure and Table 12 provides the WBS dictionary.</w:t>
      </w:r>
    </w:p>
    <w:p w:rsidR="00EB510C" w:rsidRDefault="003F5293">
      <w:pPr>
        <w:keepNext/>
        <w:spacing w:before="160"/>
        <w:jc w:val="center"/>
      </w:pPr>
      <w:r>
        <w:rPr>
          <w:noProof/>
        </w:rPr>
        <w:drawing>
          <wp:inline distT="0" distB="0" distL="0" distR="0">
            <wp:extent cx="5943600" cy="2259106"/>
            <wp:effectExtent l="0" t="0" r="0" b="0"/>
            <wp:docPr id="1" name="wbs.png" descr="Work Breakdown Structure for the RIHE LMS implementation project" title="Work Breakdown Structure for the RIHE LMS implementatio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259106"/>
                    </a:xfrm>
                    <a:prstGeom prst="rect">
                      <a:avLst/>
                    </a:prstGeom>
                  </pic:spPr>
                </pic:pic>
              </a:graphicData>
            </a:graphic>
          </wp:inline>
        </w:drawing>
      </w:r>
    </w:p>
    <w:p w:rsidR="00EB510C" w:rsidRDefault="003F5293">
      <w:pPr>
        <w:spacing w:after="240"/>
        <w:jc w:val="center"/>
      </w:pPr>
      <w:r>
        <w:rPr>
          <w:b/>
          <w:bCs/>
        </w:rPr>
        <w:t xml:space="preserve">Figure 1: </w:t>
      </w:r>
      <w:r>
        <w:rPr>
          <w:i/>
          <w:iCs/>
        </w:rPr>
        <w:t>Work Breakdown Structure for the RIHE LMS implementation project</w:t>
      </w:r>
    </w:p>
    <w:p w:rsidR="00EB510C" w:rsidRDefault="003F5293">
      <w:pPr>
        <w:pStyle w:val="Heading2"/>
      </w:pPr>
      <w:bookmarkStart w:id="36" w:name="_Toc100036"/>
      <w:r>
        <w:t>6.2 WBS Dictionary</w:t>
      </w:r>
      <w:bookmarkEnd w:id="36"/>
    </w:p>
    <w:p w:rsidR="00EB510C" w:rsidRDefault="003F5293">
      <w:pPr>
        <w:keepNext/>
        <w:spacing w:before="200" w:after="80"/>
      </w:pPr>
      <w:r>
        <w:rPr>
          <w:b/>
          <w:bCs/>
        </w:rPr>
        <w:t xml:space="preserve">Table 12: </w:t>
      </w:r>
      <w:r>
        <w:rPr>
          <w:i/>
          <w:iCs/>
        </w:rPr>
        <w:t xml:space="preserve">WBS dictionary (Level 1 work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4"/>
        <w:gridCol w:w="1331"/>
        <w:gridCol w:w="2389"/>
        <w:gridCol w:w="1416"/>
        <w:gridCol w:w="1039"/>
        <w:gridCol w:w="2117"/>
      </w:tblGrid>
      <w:tr w:rsidR="00EB510C">
        <w:tblPrEx>
          <w:tblCellMar>
            <w:top w:w="0" w:type="dxa"/>
            <w:bottom w:w="0" w:type="dxa"/>
          </w:tblCellMar>
        </w:tblPrEx>
        <w:trPr>
          <w:cantSplit/>
          <w:tblHeader/>
        </w:trPr>
        <w:tc>
          <w:tcPr>
            <w:tcW w:w="734"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WBS</w:t>
            </w:r>
          </w:p>
        </w:tc>
        <w:tc>
          <w:tcPr>
            <w:tcW w:w="133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Work package</w:t>
            </w:r>
          </w:p>
        </w:tc>
        <w:tc>
          <w:tcPr>
            <w:tcW w:w="2389"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Main deliverables</w:t>
            </w:r>
          </w:p>
        </w:tc>
        <w:tc>
          <w:tcPr>
            <w:tcW w:w="1416"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Responsible role</w:t>
            </w:r>
          </w:p>
        </w:tc>
        <w:tc>
          <w:tcPr>
            <w:tcW w:w="1039"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Depends on</w:t>
            </w:r>
          </w:p>
        </w:tc>
        <w:tc>
          <w:tcPr>
            <w:tcW w:w="2117"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Completion criteria</w:t>
            </w:r>
          </w:p>
        </w:tc>
      </w:tr>
      <w:tr w:rsidR="00EB510C">
        <w:tblPrEx>
          <w:tblCellMar>
            <w:top w:w="0" w:type="dxa"/>
            <w:bottom w:w="0" w:type="dxa"/>
          </w:tblCellMar>
        </w:tblPrEx>
        <w:trPr>
          <w:cantSplit/>
        </w:trPr>
        <w:tc>
          <w:tcPr>
            <w:tcW w:w="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0</w:t>
            </w:r>
          </w:p>
        </w:tc>
        <w:tc>
          <w:tcPr>
            <w:tcW w:w="13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Project management</w:t>
            </w:r>
          </w:p>
        </w:tc>
        <w:tc>
          <w:tcPr>
            <w:tcW w:w="2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Plans, logs, status reports, baselines</w:t>
            </w:r>
          </w:p>
        </w:tc>
        <w:tc>
          <w:tcPr>
            <w:tcW w:w="14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Project Manager</w:t>
            </w:r>
          </w:p>
        </w:tc>
        <w:tc>
          <w:tcPr>
            <w:tcW w:w="10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All</w:t>
            </w:r>
          </w:p>
        </w:tc>
        <w:tc>
          <w:tcPr>
            <w:tcW w:w="21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Plans approved; logs maintained weekly</w:t>
            </w:r>
          </w:p>
        </w:tc>
      </w:tr>
      <w:tr w:rsidR="00EB510C">
        <w:tblPrEx>
          <w:tblCellMar>
            <w:top w:w="0" w:type="dxa"/>
            <w:bottom w:w="0" w:type="dxa"/>
          </w:tblCellMar>
        </w:tblPrEx>
        <w:trPr>
          <w:cantSplit/>
        </w:trPr>
        <w:tc>
          <w:tcPr>
            <w:tcW w:w="73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w:t>
            </w:r>
          </w:p>
        </w:tc>
        <w:tc>
          <w:tcPr>
            <w:tcW w:w="13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Initiation</w:t>
            </w:r>
          </w:p>
        </w:tc>
        <w:tc>
          <w:tcPr>
            <w:tcW w:w="23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Charter, stakeholder register, kick-off</w:t>
            </w:r>
          </w:p>
        </w:tc>
        <w:tc>
          <w:tcPr>
            <w:tcW w:w="141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Project Manager</w:t>
            </w:r>
          </w:p>
        </w:tc>
        <w:tc>
          <w:tcPr>
            <w:tcW w:w="103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None</w:t>
            </w:r>
          </w:p>
        </w:tc>
        <w:tc>
          <w:tcPr>
            <w:tcW w:w="211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Charter signed by sponsor</w:t>
            </w:r>
          </w:p>
        </w:tc>
      </w:tr>
      <w:tr w:rsidR="00EB510C">
        <w:tblPrEx>
          <w:tblCellMar>
            <w:top w:w="0" w:type="dxa"/>
            <w:bottom w:w="0" w:type="dxa"/>
          </w:tblCellMar>
        </w:tblPrEx>
        <w:trPr>
          <w:cantSplit/>
        </w:trPr>
        <w:tc>
          <w:tcPr>
            <w:tcW w:w="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2</w:t>
            </w:r>
          </w:p>
        </w:tc>
        <w:tc>
          <w:tcPr>
            <w:tcW w:w="13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Requirements</w:t>
            </w:r>
          </w:p>
        </w:tc>
        <w:tc>
          <w:tcPr>
            <w:tcW w:w="2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Requirements specification, traceability matrix</w:t>
            </w:r>
          </w:p>
        </w:tc>
        <w:tc>
          <w:tcPr>
            <w:tcW w:w="14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Business Analyst</w:t>
            </w:r>
          </w:p>
        </w:tc>
        <w:tc>
          <w:tcPr>
            <w:tcW w:w="10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1</w:t>
            </w:r>
          </w:p>
        </w:tc>
        <w:tc>
          <w:tcPr>
            <w:tcW w:w="21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Specification signed off and baselined</w:t>
            </w:r>
          </w:p>
        </w:tc>
      </w:tr>
      <w:tr w:rsidR="00EB510C">
        <w:tblPrEx>
          <w:tblCellMar>
            <w:top w:w="0" w:type="dxa"/>
            <w:bottom w:w="0" w:type="dxa"/>
          </w:tblCellMar>
        </w:tblPrEx>
        <w:trPr>
          <w:cantSplit/>
        </w:trPr>
        <w:tc>
          <w:tcPr>
            <w:tcW w:w="73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3</w:t>
            </w:r>
          </w:p>
        </w:tc>
        <w:tc>
          <w:tcPr>
            <w:tcW w:w="13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Platform selection</w:t>
            </w:r>
          </w:p>
        </w:tc>
        <w:tc>
          <w:tcPr>
            <w:tcW w:w="23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Weighted evaluation, decision record</w:t>
            </w:r>
          </w:p>
        </w:tc>
        <w:tc>
          <w:tcPr>
            <w:tcW w:w="141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Business Analyst</w:t>
            </w:r>
          </w:p>
        </w:tc>
        <w:tc>
          <w:tcPr>
            <w:tcW w:w="103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2</w:t>
            </w:r>
          </w:p>
        </w:tc>
        <w:tc>
          <w:tcPr>
            <w:tcW w:w="211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Sponsor approves platform</w:t>
            </w:r>
          </w:p>
        </w:tc>
      </w:tr>
      <w:tr w:rsidR="00EB510C">
        <w:tblPrEx>
          <w:tblCellMar>
            <w:top w:w="0" w:type="dxa"/>
            <w:bottom w:w="0" w:type="dxa"/>
          </w:tblCellMar>
        </w:tblPrEx>
        <w:trPr>
          <w:cantSplit/>
        </w:trPr>
        <w:tc>
          <w:tcPr>
            <w:tcW w:w="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4</w:t>
            </w:r>
          </w:p>
        </w:tc>
        <w:tc>
          <w:tcPr>
            <w:tcW w:w="13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Design</w:t>
            </w:r>
          </w:p>
        </w:tc>
        <w:tc>
          <w:tcPr>
            <w:tcW w:w="2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Architecture, security design, role model</w:t>
            </w:r>
          </w:p>
        </w:tc>
        <w:tc>
          <w:tcPr>
            <w:tcW w:w="14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Technical Lead</w:t>
            </w:r>
          </w:p>
        </w:tc>
        <w:tc>
          <w:tcPr>
            <w:tcW w:w="10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3</w:t>
            </w:r>
          </w:p>
        </w:tc>
        <w:tc>
          <w:tcPr>
            <w:tcW w:w="21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Design review passed</w:t>
            </w:r>
          </w:p>
        </w:tc>
      </w:tr>
      <w:tr w:rsidR="00EB510C">
        <w:tblPrEx>
          <w:tblCellMar>
            <w:top w:w="0" w:type="dxa"/>
            <w:bottom w:w="0" w:type="dxa"/>
          </w:tblCellMar>
        </w:tblPrEx>
        <w:trPr>
          <w:cantSplit/>
        </w:trPr>
        <w:tc>
          <w:tcPr>
            <w:tcW w:w="73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5</w:t>
            </w:r>
          </w:p>
        </w:tc>
        <w:tc>
          <w:tcPr>
            <w:tcW w:w="13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Infrastructure</w:t>
            </w:r>
          </w:p>
        </w:tc>
        <w:tc>
          <w:tcPr>
            <w:tcW w:w="23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Four environments; hardened Moodle install; backups</w:t>
            </w:r>
          </w:p>
        </w:tc>
        <w:tc>
          <w:tcPr>
            <w:tcW w:w="141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Infrastructure Admin</w:t>
            </w:r>
          </w:p>
        </w:tc>
        <w:tc>
          <w:tcPr>
            <w:tcW w:w="103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4</w:t>
            </w:r>
          </w:p>
        </w:tc>
        <w:tc>
          <w:tcPr>
            <w:tcW w:w="211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Environments operational; hardening checklist complete</w:t>
            </w:r>
          </w:p>
        </w:tc>
      </w:tr>
      <w:tr w:rsidR="00EB510C">
        <w:tblPrEx>
          <w:tblCellMar>
            <w:top w:w="0" w:type="dxa"/>
            <w:bottom w:w="0" w:type="dxa"/>
          </w:tblCellMar>
        </w:tblPrEx>
        <w:trPr>
          <w:cantSplit/>
        </w:trPr>
        <w:tc>
          <w:tcPr>
            <w:tcW w:w="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6</w:t>
            </w:r>
          </w:p>
        </w:tc>
        <w:tc>
          <w:tcPr>
            <w:tcW w:w="13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Configuration</w:t>
            </w:r>
          </w:p>
        </w:tc>
        <w:tc>
          <w:tcPr>
            <w:tcW w:w="2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Roles, authentication, templates, theme, plugins, GitHub baseline v1.0</w:t>
            </w:r>
          </w:p>
        </w:tc>
        <w:tc>
          <w:tcPr>
            <w:tcW w:w="14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LMS Administrator</w:t>
            </w:r>
          </w:p>
        </w:tc>
        <w:tc>
          <w:tcPr>
            <w:tcW w:w="10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5</w:t>
            </w:r>
          </w:p>
        </w:tc>
        <w:tc>
          <w:tcPr>
            <w:tcW w:w="21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Configuration reviewed and tagged v1.0</w:t>
            </w:r>
          </w:p>
        </w:tc>
      </w:tr>
      <w:tr w:rsidR="00EB510C">
        <w:tblPrEx>
          <w:tblCellMar>
            <w:top w:w="0" w:type="dxa"/>
            <w:bottom w:w="0" w:type="dxa"/>
          </w:tblCellMar>
        </w:tblPrEx>
        <w:trPr>
          <w:cantSplit/>
        </w:trPr>
        <w:tc>
          <w:tcPr>
            <w:tcW w:w="73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7</w:t>
            </w:r>
          </w:p>
        </w:tc>
        <w:tc>
          <w:tcPr>
            <w:tcW w:w="13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Content</w:t>
            </w:r>
          </w:p>
        </w:tc>
        <w:tc>
          <w:tcPr>
            <w:tcW w:w="23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Content inventory, migrated courses, reconciliation report</w:t>
            </w:r>
          </w:p>
        </w:tc>
        <w:tc>
          <w:tcPr>
            <w:tcW w:w="141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Instructional Designer</w:t>
            </w:r>
          </w:p>
        </w:tc>
        <w:tc>
          <w:tcPr>
            <w:tcW w:w="103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3, 6</w:t>
            </w:r>
          </w:p>
        </w:tc>
        <w:tc>
          <w:tcPr>
            <w:tcW w:w="211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All agreed courses reconciled</w:t>
            </w:r>
          </w:p>
        </w:tc>
      </w:tr>
      <w:tr w:rsidR="00EB510C">
        <w:tblPrEx>
          <w:tblCellMar>
            <w:top w:w="0" w:type="dxa"/>
            <w:bottom w:w="0" w:type="dxa"/>
          </w:tblCellMar>
        </w:tblPrEx>
        <w:trPr>
          <w:cantSplit/>
        </w:trPr>
        <w:tc>
          <w:tcPr>
            <w:tcW w:w="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lastRenderedPageBreak/>
              <w:t>8</w:t>
            </w:r>
          </w:p>
        </w:tc>
        <w:tc>
          <w:tcPr>
            <w:tcW w:w="13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Testing</w:t>
            </w:r>
          </w:p>
        </w:tc>
        <w:tc>
          <w:tcPr>
            <w:tcW w:w="2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Test plans, test reports, UAT results, retest results, acceptance record</w:t>
            </w:r>
          </w:p>
        </w:tc>
        <w:tc>
          <w:tcPr>
            <w:tcW w:w="14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QA Tester</w:t>
            </w:r>
          </w:p>
        </w:tc>
        <w:tc>
          <w:tcPr>
            <w:tcW w:w="10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6</w:t>
            </w:r>
          </w:p>
        </w:tc>
        <w:tc>
          <w:tcPr>
            <w:tcW w:w="21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Mandatory quality gates in Table 28 met</w:t>
            </w:r>
          </w:p>
        </w:tc>
      </w:tr>
      <w:tr w:rsidR="00EB510C">
        <w:tblPrEx>
          <w:tblCellMar>
            <w:top w:w="0" w:type="dxa"/>
            <w:bottom w:w="0" w:type="dxa"/>
          </w:tblCellMar>
        </w:tblPrEx>
        <w:trPr>
          <w:cantSplit/>
        </w:trPr>
        <w:tc>
          <w:tcPr>
            <w:tcW w:w="73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9</w:t>
            </w:r>
          </w:p>
        </w:tc>
        <w:tc>
          <w:tcPr>
            <w:tcW w:w="13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Training and change</w:t>
            </w:r>
          </w:p>
        </w:tc>
        <w:tc>
          <w:tcPr>
            <w:tcW w:w="23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Training materials, trained trainers, training records</w:t>
            </w:r>
          </w:p>
        </w:tc>
        <w:tc>
          <w:tcPr>
            <w:tcW w:w="141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Instructional Designer</w:t>
            </w:r>
          </w:p>
        </w:tc>
        <w:tc>
          <w:tcPr>
            <w:tcW w:w="103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6</w:t>
            </w:r>
          </w:p>
        </w:tc>
        <w:tc>
          <w:tcPr>
            <w:tcW w:w="211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At least 90% of teaching staff trained before go/no-go</w:t>
            </w:r>
          </w:p>
        </w:tc>
      </w:tr>
      <w:tr w:rsidR="00EB510C">
        <w:tblPrEx>
          <w:tblCellMar>
            <w:top w:w="0" w:type="dxa"/>
            <w:bottom w:w="0" w:type="dxa"/>
          </w:tblCellMar>
        </w:tblPrEx>
        <w:trPr>
          <w:cantSplit/>
        </w:trPr>
        <w:tc>
          <w:tcPr>
            <w:tcW w:w="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10</w:t>
            </w:r>
          </w:p>
        </w:tc>
        <w:tc>
          <w:tcPr>
            <w:tcW w:w="13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Pilot</w:t>
            </w:r>
          </w:p>
        </w:tc>
        <w:tc>
          <w:tcPr>
            <w:tcW w:w="2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Pilot of five courses; feedback report</w:t>
            </w:r>
          </w:p>
        </w:tc>
        <w:tc>
          <w:tcPr>
            <w:tcW w:w="14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Project Manager</w:t>
            </w:r>
          </w:p>
        </w:tc>
        <w:tc>
          <w:tcPr>
            <w:tcW w:w="10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7, 8, 9</w:t>
            </w:r>
          </w:p>
        </w:tc>
        <w:tc>
          <w:tcPr>
            <w:tcW w:w="21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Pilot exit criteria met</w:t>
            </w:r>
          </w:p>
        </w:tc>
      </w:tr>
      <w:tr w:rsidR="00EB510C">
        <w:tblPrEx>
          <w:tblCellMar>
            <w:top w:w="0" w:type="dxa"/>
            <w:bottom w:w="0" w:type="dxa"/>
          </w:tblCellMar>
        </w:tblPrEx>
        <w:trPr>
          <w:cantSplit/>
        </w:trPr>
        <w:tc>
          <w:tcPr>
            <w:tcW w:w="73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11</w:t>
            </w:r>
          </w:p>
        </w:tc>
        <w:tc>
          <w:tcPr>
            <w:tcW w:w="13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Remediation</w:t>
            </w:r>
          </w:p>
        </w:tc>
        <w:tc>
          <w:tcPr>
            <w:tcW w:w="23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Fixed defects; regression test results</w:t>
            </w:r>
          </w:p>
        </w:tc>
        <w:tc>
          <w:tcPr>
            <w:tcW w:w="141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LMS Administrator</w:t>
            </w:r>
          </w:p>
        </w:tc>
        <w:tc>
          <w:tcPr>
            <w:tcW w:w="103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10</w:t>
            </w:r>
          </w:p>
        </w:tc>
        <w:tc>
          <w:tcPr>
            <w:tcW w:w="211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No open critical/high defects</w:t>
            </w:r>
          </w:p>
        </w:tc>
      </w:tr>
      <w:tr w:rsidR="00EB510C">
        <w:tblPrEx>
          <w:tblCellMar>
            <w:top w:w="0" w:type="dxa"/>
            <w:bottom w:w="0" w:type="dxa"/>
          </w:tblCellMar>
        </w:tblPrEx>
        <w:trPr>
          <w:cantSplit/>
        </w:trPr>
        <w:tc>
          <w:tcPr>
            <w:tcW w:w="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12</w:t>
            </w:r>
          </w:p>
        </w:tc>
        <w:tc>
          <w:tcPr>
            <w:tcW w:w="13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Deployment</w:t>
            </w:r>
          </w:p>
        </w:tc>
        <w:tc>
          <w:tcPr>
            <w:tcW w:w="2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Production cut-over; smoke tests</w:t>
            </w:r>
          </w:p>
        </w:tc>
        <w:tc>
          <w:tcPr>
            <w:tcW w:w="14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LMS Administrator</w:t>
            </w:r>
          </w:p>
        </w:tc>
        <w:tc>
          <w:tcPr>
            <w:tcW w:w="10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8</w:t>
            </w:r>
          </w:p>
        </w:tc>
        <w:tc>
          <w:tcPr>
            <w:tcW w:w="21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Go-live approved (M7); smoke tests pass</w:t>
            </w:r>
          </w:p>
        </w:tc>
      </w:tr>
      <w:tr w:rsidR="00EB510C">
        <w:tblPrEx>
          <w:tblCellMar>
            <w:top w:w="0" w:type="dxa"/>
            <w:bottom w:w="0" w:type="dxa"/>
          </w:tblCellMar>
        </w:tblPrEx>
        <w:trPr>
          <w:cantSplit/>
        </w:trPr>
        <w:tc>
          <w:tcPr>
            <w:tcW w:w="73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13</w:t>
            </w:r>
          </w:p>
        </w:tc>
        <w:tc>
          <w:tcPr>
            <w:tcW w:w="13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Support and closure</w:t>
            </w:r>
          </w:p>
        </w:tc>
        <w:tc>
          <w:tcPr>
            <w:tcW w:w="23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Hypercare log; handover; lessons learned</w:t>
            </w:r>
          </w:p>
        </w:tc>
        <w:tc>
          <w:tcPr>
            <w:tcW w:w="141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Project Manager</w:t>
            </w:r>
          </w:p>
        </w:tc>
        <w:tc>
          <w:tcPr>
            <w:tcW w:w="103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12</w:t>
            </w:r>
          </w:p>
        </w:tc>
        <w:tc>
          <w:tcPr>
            <w:tcW w:w="211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IT services accept handover; closure signed</w:t>
            </w:r>
          </w:p>
        </w:tc>
      </w:tr>
    </w:tbl>
    <w:p w:rsidR="00EB510C" w:rsidRDefault="00EB510C">
      <w:pPr>
        <w:spacing w:after="120"/>
      </w:pPr>
    </w:p>
    <w:p>
      <w:pPr>
        <w:spacing w:after="160" w:line="360" w:lineRule="auto"/>
        <w:jc w:val="both"/>
      </w:pPr>
      <w:r>
        <w:t xml:space="preserve">The “Depends on” column refers to Level 1 WBS numbers, not to the schedule task IDs used in Table 14. Testing (WBS 8) depends only on the configuration baseline (WBS 6), because functional, integration, security and backup testing (8.1–8.3) must run before the pilot. Within the same package, UAT execution (8.4) follows pilot evaluation and remediation (11.1), and the acceptance and go/no-go review (8.5) also follows staff training (9.2). These are task-level predecessors shown in Table 14, so remediation is not a prerequisite for the initial testing work and the intended sequence of configuration, testing, pilot, remediation, UAT and acceptance, and deployment is preserved.</w:t>
      </w:r>
    </w:p>
    <w:p w:rsidR="00EB510C" w:rsidRDefault="003F5293">
      <w:pPr>
        <w:spacing w:after="160" w:line="360" w:lineRule="auto"/>
        <w:jc w:val="both"/>
      </w:pPr>
      <w:r>
        <w:t>The complete Level 2 deliverable list is shown in Figure 1. Every deliverable listed in Section 4.3 appears in the WBS, and every Level 1 package is scheduled in Section 7. To keep the Gantt chart readable, closely related Level 2 deliverables are rolled up into a single scheduled task. Table 13 shows exactly where each Level 2 deliverable is scheduled, so that the WBS and the schedule cover the same 100% of scope.</w:t>
      </w:r>
    </w:p>
    <w:p>
      <w:pPr>
        <w:keepNext/>
        <w:spacing w:before="200" w:after="80"/>
      </w:pPr>
      <w:r>
        <w:rPr>
          <w:b/>
          <w:bCs/>
        </w:rPr>
        <w:t xml:space="preserve">Table 13: </w:t>
      </w:r>
      <w:r>
        <w:rPr>
          <w:i/>
          <w:iCs/>
        </w:rPr>
        <w:t>Mapping of WBS Level 2 deliverables to scheduled tasks</w:t>
      </w:r>
    </w:p>
    <w:tbl>
      <w:tblPr>
        <w:tblW w:w="9026" w:type="dxa"/>
        <w:tblLayout w:type="fixed"/>
        <w:tblCellMar>
          <w:left w:w="10" w:type="dxa"/>
          <w:right w:w="10" w:type="dxa"/>
        </w:tblCellMar>
        <w:tblLook w:val="0000" w:firstRow="0" w:lastRow="0" w:firstColumn="0" w:lastColumn="0" w:noHBand="0" w:noVBand="0"/>
      </w:tblPr>
      <w:tblGrid>
        <w:gridCol w:w="1300"/>
        <w:gridCol w:w="4426"/>
        <w:gridCol w:w="3300"/>
      </w:tblGrid>
      <w:tr>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WBS package</w:t>
            </w:r>
          </w:p>
        </w:tc>
        <w:tc>
          <w:tcPr>
            <w:tcW w:w="4426"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Level 2 deliverables (Figure 1)</w:t>
            </w:r>
          </w:p>
        </w:tc>
        <w:tc>
          <w:tcPr>
            <w:tcW w:w="33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Scheduled in Table 14 as</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0 (0.1–0.4)</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Risk and issue control; change control; communication; quality and configuration</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Not a bar: level-of-effort work by the Project Manager across Weeks 1–28</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1.1 Project charter</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1 (1.1)</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1.2 Stakeholder register; 1.3 Kick-off</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2 (1.2)</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2.1 Workshops</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3 (2.1)</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2.2 Requirements specification; 2.3 Traceability matrix</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4 (2.2)</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3</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3.1 Criteria and weights; 3.2 Moodle vs Canvas; 3.3 Decision record</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5 (3.1)</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4</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4.1 Architecture; 4.2 Security design; 4.3 Role model</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6 (4.1)</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5</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5.1 Environments</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7 (5.1)</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5</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5.2 Moodle install; 5.3 Hardening and backup</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8 (5.2)</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6</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6.1 Roles and authentication; 6.2 Theme and plugins; 6.3 GitHub baseline</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Tasks 9, 10, 11 (one-to-one)</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7</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7.1 Content audit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12 (7.1)</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7</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7.2 Migration; 7.3 Reconciliation</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13 (7.2)</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8</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8.1 to 8.5</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Tasks 14, 15, 16, 21, 22 (one-to-one)</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9</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9.1 Materials and trainers</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17 (9.1)</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9</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9.2 Training rollout; 9.3 Adoption support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19 (9.2); adoption support continues as champion activity through hypercare</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10</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10.1 Five-course pilot; 10.2 Pilot feedback</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18 (10.1)</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11</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11.1 Defect fixes; 11.2 Re-test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20 (11.1)</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12</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12.1 Production cut-over; 12.2 Smoke tests</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23 (12.1)</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13</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13.1 Hypercare</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24 (13.1)</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13</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13.2 Handover; 13.3 Lessons learned</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Task 25 (13.2)</w:t>
            </w:r>
          </w:p>
        </w:tc>
      </w:tr>
    </w:tbl>
    <w:p>
      <w:pPr>
        <w:spacing w:after="120"/>
      </w:pPr>
    </w:p>
    <w:p w:rsidR="00EB510C" w:rsidRDefault="003F5293">
      <w:pPr>
        <w:pStyle w:val="Heading1"/>
        <w:pageBreakBefore/>
      </w:pPr>
      <w:bookmarkStart w:id="37" w:name="_Toc243565014"/>
      <w:r>
        <w:lastRenderedPageBreak/>
        <w:t>7. Project Schedule and Gantt Chart</w:t>
      </w:r>
      <w:bookmarkEnd w:id="37"/>
    </w:p>
    <w:p w:rsidR="00EB510C" w:rsidRDefault="003F5293">
      <w:pPr>
        <w:pStyle w:val="Heading2"/>
      </w:pPr>
      <w:bookmarkStart w:id="38" w:name="_Toc100038"/>
      <w:r>
        <w:t>7.1 Scheduling Assumptions</w:t>
      </w:r>
      <w:bookmarkEnd w:id="38"/>
    </w:p>
    <w:p w:rsidR="00EB510C" w:rsidRDefault="003F5293">
      <w:pPr>
        <w:spacing w:after="160" w:line="360" w:lineRule="auto"/>
        <w:jc w:val="both"/>
      </w:pPr>
      <w:r>
        <w:t xml:space="preserve">The schedule is built in project weeks and converted to calendar dates using an assumed start date of Monday 1 February 2027. On this basis, Week n begins on the Monday n−1 weeks after the start, and go-live (Week 25) falls in the week of 19 Jul 2027, immediately before Trimester 2 teaching begins. If charter approval moves, every date shifts by the same amount while the week-based dependencies remain valid. Victorian public holidays in the period, such as Good Friday and the King's Birthday, are absorbed within the weekly durations. It assumes a five-day working week, a core team available at the allocations in Section 8, and finish-to-start dependencies unless stated otherwise. Durations were estimated from the scope of each deliverable and the phase durations described in industry guidance [15]. Approval points are scheduled as milestones so that no phase begins without the required sign-off.</w:t>
      </w:r>
    </w:p>
    <w:p w:rsidR="00EB510C" w:rsidRDefault="003F5293">
      <w:pPr>
        <w:spacing w:after="160" w:line="360" w:lineRule="auto"/>
        <w:jc w:val="both"/>
      </w:pPr>
      <w:r>
        <w:t xml:space="preserve">Two start-to-start (SS) dependencies with a one-week lag are used where an overlap is justified. Environment provisioning (5.1) begins one week after solution design starts, once the hosting architecture has been agreed, while detailed security design continues; Moodle installation and hardening (5.2) still waits for the complete design. Institution-wide staff training (9.2) begins one week into the pilot, so that trainers can incorporate early pilot feedback while still finishing training before UAT. All other dependencies are finish-to-start.</w:t>
      </w:r>
    </w:p>
    <w:p w:rsidR="00EB510C" w:rsidRDefault="003F5293">
      <w:pPr>
        <w:pStyle w:val="Heading2"/>
      </w:pPr>
      <w:bookmarkStart w:id="39" w:name="_Toc100039"/>
      <w:r>
        <w:t>7.2 Schedule Table</w:t>
      </w:r>
      <w:bookmarkEnd w:id="39"/>
    </w:p>
    <w:p w:rsidR="00EB510C" w:rsidRDefault="003F5293">
      <w:pPr>
        <w:keepNext/>
        <w:spacing w:before="200" w:after="80"/>
      </w:pPr>
      <w:r>
        <w:rPr>
          <w:b/>
          <w:bCs/>
        </w:rPr>
        <w:t xml:space="preserve">Table 14: </w:t>
      </w:r>
      <w:r>
        <w:rPr>
          <w:i/>
          <w:iCs/>
        </w:rPr>
        <w:t>Project schedule with dependencies (FS = finish-to-start; SS+1 = start-to-start with one-week lag)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638"/>
        <w:gridCol w:w="1705"/>
        <w:gridCol w:w="845"/>
        <w:gridCol w:w="782"/>
        <w:gridCol w:w="814"/>
        <w:gridCol w:w="1297"/>
        <w:gridCol w:w="1151"/>
        <w:gridCol w:w="1241"/>
      </w:tblGrid>
      <w:tr w:rsidR="00EB510C">
        <w:tblPrEx>
          <w:tblCellMar>
            <w:top w:w="0" w:type="dxa"/>
            <w:bottom w:w="0" w:type="dxa"/>
          </w:tblCellMar>
        </w:tblPrEx>
        <w:trPr>
          <w:cantSplit/>
          <w:tblHeader/>
        </w:trPr>
        <w:tc>
          <w:tcPr>
            <w:tcW w:w="553"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ID</w:t>
            </w:r>
          </w:p>
        </w:tc>
        <w:tc>
          <w:tcPr>
            <w:tcW w:w="638"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WBS</w:t>
            </w:r>
          </w:p>
        </w:tc>
        <w:tc>
          <w:tcPr>
            <w:tcW w:w="1705"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Task</w:t>
            </w:r>
          </w:p>
        </w:tc>
        <w:tc>
          <w:tcPr>
            <w:tcW w:w="845"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Dur. (wks)</w:t>
            </w:r>
          </w:p>
        </w:tc>
        <w:tc>
          <w:tcPr>
            <w:tcW w:w="78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Start wk (Mon)</w:t>
            </w:r>
          </w:p>
        </w:tc>
        <w:tc>
          <w:tcPr>
            <w:tcW w:w="814"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Finish wk (Fri)</w:t>
            </w:r>
          </w:p>
        </w:tc>
        <w:tc>
          <w:tcPr>
            <w:tcW w:w="1297"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Predecessors</w:t>
            </w:r>
          </w:p>
        </w:tc>
        <w:tc>
          <w:tcPr>
            <w:tcW w:w="115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Resource</w:t>
            </w:r>
          </w:p>
        </w:tc>
        <w:tc>
          <w:tcPr>
            <w:tcW w:w="124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Milestone</w:t>
            </w:r>
          </w:p>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w:t>
            </w:r>
          </w:p>
        </w:tc>
        <w:tc>
          <w:tcPr>
            <w:tcW w:w="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1.1</w:t>
            </w:r>
          </w:p>
        </w:tc>
        <w:tc>
          <w:tcPr>
            <w:tcW w:w="17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b/>
                <w:bCs/>
                <w:sz w:val="15"/>
                <w:szCs w:val="15"/>
              </w:rPr>
              <w:t>Project charter and sponsor approval</w:t>
            </w:r>
          </w:p>
        </w:tc>
        <w:tc>
          <w:tcPr>
            <w:tcW w:w="8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w:t>
            </w:r>
          </w:p>
        </w:tc>
        <w:tc>
          <w:tcPr>
            <w:tcW w:w="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 (1 Feb)</w:t>
            </w:r>
          </w:p>
        </w:tc>
        <w:tc>
          <w:tcPr>
            <w:tcW w:w="8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 (5 Feb)</w:t>
            </w:r>
          </w:p>
        </w:tc>
        <w:tc>
          <w:tcPr>
            <w:tcW w:w="129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w:t>
            </w:r>
          </w:p>
        </w:tc>
        <w:tc>
          <w:tcPr>
            <w:tcW w:w="1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PM</w:t>
            </w:r>
          </w:p>
        </w:tc>
        <w:tc>
          <w:tcPr>
            <w:tcW w:w="12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M1 Charter approved</w:t>
            </w:r>
          </w:p>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w:t>
            </w:r>
          </w:p>
        </w:tc>
        <w:tc>
          <w:tcPr>
            <w:tcW w:w="6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1.2</w:t>
            </w:r>
          </w:p>
        </w:tc>
        <w:tc>
          <w:tcPr>
            <w:tcW w:w="17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b/>
                <w:bCs/>
                <w:sz w:val="15"/>
                <w:szCs w:val="15"/>
              </w:rPr>
              <w:t>Stakeholder register and kick-off</w:t>
            </w:r>
          </w:p>
        </w:tc>
        <w:tc>
          <w:tcPr>
            <w:tcW w:w="84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w:t>
            </w:r>
          </w:p>
        </w:tc>
        <w:tc>
          <w:tcPr>
            <w:tcW w:w="7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 (8 Feb)</w:t>
            </w:r>
          </w:p>
        </w:tc>
        <w:tc>
          <w:tcPr>
            <w:tcW w:w="81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 (12 Feb)</w:t>
            </w:r>
          </w:p>
        </w:tc>
        <w:tc>
          <w:tcPr>
            <w:tcW w:w="129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 FS</w:t>
            </w:r>
          </w:p>
        </w:tc>
        <w:tc>
          <w:tcPr>
            <w:tcW w:w="11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PM</w:t>
            </w:r>
          </w:p>
        </w:tc>
        <w:tc>
          <w:tcPr>
            <w:tcW w:w="124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3</w:t>
            </w:r>
          </w:p>
        </w:tc>
        <w:tc>
          <w:tcPr>
            <w:tcW w:w="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2.1</w:t>
            </w:r>
          </w:p>
        </w:tc>
        <w:tc>
          <w:tcPr>
            <w:tcW w:w="17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b/>
                <w:bCs/>
                <w:sz w:val="15"/>
                <w:szCs w:val="15"/>
              </w:rPr>
              <w:t>Requirements workshops</w:t>
            </w:r>
          </w:p>
        </w:tc>
        <w:tc>
          <w:tcPr>
            <w:tcW w:w="8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w:t>
            </w:r>
          </w:p>
        </w:tc>
        <w:tc>
          <w:tcPr>
            <w:tcW w:w="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3 (15 Feb)</w:t>
            </w:r>
          </w:p>
        </w:tc>
        <w:tc>
          <w:tcPr>
            <w:tcW w:w="8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4 (26 Feb)</w:t>
            </w:r>
          </w:p>
        </w:tc>
        <w:tc>
          <w:tcPr>
            <w:tcW w:w="129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 FS</w:t>
            </w:r>
          </w:p>
        </w:tc>
        <w:tc>
          <w:tcPr>
            <w:tcW w:w="1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BA</w:t>
            </w:r>
          </w:p>
        </w:tc>
        <w:tc>
          <w:tcPr>
            <w:tcW w:w="12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4</w:t>
            </w:r>
          </w:p>
        </w:tc>
        <w:tc>
          <w:tcPr>
            <w:tcW w:w="6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2.2</w:t>
            </w:r>
          </w:p>
        </w:tc>
        <w:tc>
          <w:tcPr>
            <w:tcW w:w="17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b/>
                <w:bCs/>
                <w:sz w:val="15"/>
                <w:szCs w:val="15"/>
              </w:rPr>
              <w:t>Requirements specification sign-off</w:t>
            </w:r>
          </w:p>
        </w:tc>
        <w:tc>
          <w:tcPr>
            <w:tcW w:w="84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w:t>
            </w:r>
          </w:p>
        </w:tc>
        <w:tc>
          <w:tcPr>
            <w:tcW w:w="7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5 (1 Mar)</w:t>
            </w:r>
          </w:p>
        </w:tc>
        <w:tc>
          <w:tcPr>
            <w:tcW w:w="81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5 (5 Mar)</w:t>
            </w:r>
          </w:p>
        </w:tc>
        <w:tc>
          <w:tcPr>
            <w:tcW w:w="129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3 FS</w:t>
            </w:r>
          </w:p>
        </w:tc>
        <w:tc>
          <w:tcPr>
            <w:tcW w:w="11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BA</w:t>
            </w:r>
          </w:p>
        </w:tc>
        <w:tc>
          <w:tcPr>
            <w:tcW w:w="124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M2 Requirements baselined</w:t>
            </w:r>
          </w:p>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5</w:t>
            </w:r>
          </w:p>
        </w:tc>
        <w:tc>
          <w:tcPr>
            <w:tcW w:w="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3.1</w:t>
            </w:r>
          </w:p>
        </w:tc>
        <w:tc>
          <w:tcPr>
            <w:tcW w:w="17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b/>
                <w:bCs/>
                <w:sz w:val="15"/>
                <w:szCs w:val="15"/>
              </w:rPr>
              <w:t>Platform evaluation (Moodle vs Canvas)</w:t>
            </w:r>
          </w:p>
        </w:tc>
        <w:tc>
          <w:tcPr>
            <w:tcW w:w="8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w:t>
            </w:r>
          </w:p>
        </w:tc>
        <w:tc>
          <w:tcPr>
            <w:tcW w:w="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6 (8 Mar)</w:t>
            </w:r>
          </w:p>
        </w:tc>
        <w:tc>
          <w:tcPr>
            <w:tcW w:w="8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6 (12 Mar)</w:t>
            </w:r>
          </w:p>
        </w:tc>
        <w:tc>
          <w:tcPr>
            <w:tcW w:w="129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4 FS</w:t>
            </w:r>
          </w:p>
        </w:tc>
        <w:tc>
          <w:tcPr>
            <w:tcW w:w="1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BA / LMS Admin</w:t>
            </w:r>
          </w:p>
        </w:tc>
        <w:tc>
          <w:tcPr>
            <w:tcW w:w="12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M3 Platform approved</w:t>
            </w:r>
          </w:p>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6</w:t>
            </w:r>
          </w:p>
        </w:tc>
        <w:tc>
          <w:tcPr>
            <w:tcW w:w="6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4.1</w:t>
            </w:r>
          </w:p>
        </w:tc>
        <w:tc>
          <w:tcPr>
            <w:tcW w:w="17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b/>
                <w:bCs/>
                <w:sz w:val="15"/>
                <w:szCs w:val="15"/>
              </w:rPr>
              <w:t>Solution architecture and security design</w:t>
            </w:r>
          </w:p>
        </w:tc>
        <w:tc>
          <w:tcPr>
            <w:tcW w:w="84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w:t>
            </w:r>
          </w:p>
        </w:tc>
        <w:tc>
          <w:tcPr>
            <w:tcW w:w="7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7 (15 Mar)</w:t>
            </w:r>
          </w:p>
        </w:tc>
        <w:tc>
          <w:tcPr>
            <w:tcW w:w="81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8 (26 Mar)</w:t>
            </w:r>
          </w:p>
        </w:tc>
        <w:tc>
          <w:tcPr>
            <w:tcW w:w="129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5 FS</w:t>
            </w:r>
          </w:p>
        </w:tc>
        <w:tc>
          <w:tcPr>
            <w:tcW w:w="11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Technical Lead</w:t>
            </w:r>
          </w:p>
        </w:tc>
        <w:tc>
          <w:tcPr>
            <w:tcW w:w="124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7</w:t>
            </w:r>
          </w:p>
        </w:tc>
        <w:tc>
          <w:tcPr>
            <w:tcW w:w="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5.1</w:t>
            </w:r>
          </w:p>
        </w:tc>
        <w:tc>
          <w:tcPr>
            <w:tcW w:w="17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b/>
                <w:bCs/>
                <w:sz w:val="15"/>
                <w:szCs w:val="15"/>
              </w:rPr>
              <w:t>Provision dev, test, staging, production</w:t>
            </w:r>
          </w:p>
        </w:tc>
        <w:tc>
          <w:tcPr>
            <w:tcW w:w="8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w:t>
            </w:r>
          </w:p>
        </w:tc>
        <w:tc>
          <w:tcPr>
            <w:tcW w:w="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8 (22 Mar)</w:t>
            </w:r>
          </w:p>
        </w:tc>
        <w:tc>
          <w:tcPr>
            <w:tcW w:w="8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9 (2 Apr)</w:t>
            </w:r>
          </w:p>
        </w:tc>
        <w:tc>
          <w:tcPr>
            <w:tcW w:w="129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6 SS+1</w:t>
            </w:r>
          </w:p>
        </w:tc>
        <w:tc>
          <w:tcPr>
            <w:tcW w:w="1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Infrastructure Admin</w:t>
            </w:r>
          </w:p>
        </w:tc>
        <w:tc>
          <w:tcPr>
            <w:tcW w:w="12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8</w:t>
            </w:r>
          </w:p>
        </w:tc>
        <w:tc>
          <w:tcPr>
            <w:tcW w:w="6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5.2</w:t>
            </w:r>
          </w:p>
        </w:tc>
        <w:tc>
          <w:tcPr>
            <w:tcW w:w="17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b/>
                <w:bCs/>
                <w:sz w:val="15"/>
                <w:szCs w:val="15"/>
              </w:rPr>
              <w:t>Install and harden Moodle</w:t>
            </w:r>
          </w:p>
        </w:tc>
        <w:tc>
          <w:tcPr>
            <w:tcW w:w="84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w:t>
            </w:r>
          </w:p>
        </w:tc>
        <w:tc>
          <w:tcPr>
            <w:tcW w:w="7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10 (5 Apr)</w:t>
            </w:r>
          </w:p>
        </w:tc>
        <w:tc>
          <w:tcPr>
            <w:tcW w:w="81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10 (9 Apr)</w:t>
            </w:r>
          </w:p>
        </w:tc>
        <w:tc>
          <w:tcPr>
            <w:tcW w:w="129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6 FS, 7 FS</w:t>
            </w:r>
          </w:p>
        </w:tc>
        <w:tc>
          <w:tcPr>
            <w:tcW w:w="11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LMS Admin</w:t>
            </w:r>
          </w:p>
        </w:tc>
        <w:tc>
          <w:tcPr>
            <w:tcW w:w="124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9</w:t>
            </w:r>
          </w:p>
        </w:tc>
        <w:tc>
          <w:tcPr>
            <w:tcW w:w="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6.1</w:t>
            </w:r>
          </w:p>
        </w:tc>
        <w:tc>
          <w:tcPr>
            <w:tcW w:w="17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b/>
                <w:bCs/>
                <w:sz w:val="15"/>
                <w:szCs w:val="15"/>
              </w:rPr>
              <w:t>Configure roles, authentication, course templates</w:t>
            </w:r>
          </w:p>
        </w:tc>
        <w:tc>
          <w:tcPr>
            <w:tcW w:w="8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w:t>
            </w:r>
          </w:p>
        </w:tc>
        <w:tc>
          <w:tcPr>
            <w:tcW w:w="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11 (12 Apr)</w:t>
            </w:r>
          </w:p>
        </w:tc>
        <w:tc>
          <w:tcPr>
            <w:tcW w:w="8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12 (23 Apr)</w:t>
            </w:r>
          </w:p>
        </w:tc>
        <w:tc>
          <w:tcPr>
            <w:tcW w:w="129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8 FS</w:t>
            </w:r>
          </w:p>
        </w:tc>
        <w:tc>
          <w:tcPr>
            <w:tcW w:w="1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LMS Admin</w:t>
            </w:r>
          </w:p>
        </w:tc>
        <w:tc>
          <w:tcPr>
            <w:tcW w:w="12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10</w:t>
            </w:r>
          </w:p>
        </w:tc>
        <w:tc>
          <w:tcPr>
            <w:tcW w:w="6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6.2</w:t>
            </w:r>
          </w:p>
        </w:tc>
        <w:tc>
          <w:tcPr>
            <w:tcW w:w="17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b/>
                <w:bCs/>
                <w:sz w:val="15"/>
                <w:szCs w:val="15"/>
              </w:rPr>
              <w:t>Theme branding and approved plugins</w:t>
            </w:r>
          </w:p>
        </w:tc>
        <w:tc>
          <w:tcPr>
            <w:tcW w:w="84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w:t>
            </w:r>
          </w:p>
        </w:tc>
        <w:tc>
          <w:tcPr>
            <w:tcW w:w="7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11 (12 Apr)</w:t>
            </w:r>
          </w:p>
        </w:tc>
        <w:tc>
          <w:tcPr>
            <w:tcW w:w="81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12 (23 Apr)</w:t>
            </w:r>
          </w:p>
        </w:tc>
        <w:tc>
          <w:tcPr>
            <w:tcW w:w="129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8 FS</w:t>
            </w:r>
          </w:p>
        </w:tc>
        <w:tc>
          <w:tcPr>
            <w:tcW w:w="11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Moodle Developer</w:t>
            </w:r>
          </w:p>
        </w:tc>
        <w:tc>
          <w:tcPr>
            <w:tcW w:w="124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11</w:t>
            </w:r>
          </w:p>
        </w:tc>
        <w:tc>
          <w:tcPr>
            <w:tcW w:w="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6.3</w:t>
            </w:r>
          </w:p>
        </w:tc>
        <w:tc>
          <w:tcPr>
            <w:tcW w:w="17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b/>
                <w:bCs/>
                <w:sz w:val="15"/>
                <w:szCs w:val="15"/>
              </w:rPr>
              <w:t>GitHub configuration baseline v1.0</w:t>
            </w:r>
          </w:p>
        </w:tc>
        <w:tc>
          <w:tcPr>
            <w:tcW w:w="8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w:t>
            </w:r>
          </w:p>
        </w:tc>
        <w:tc>
          <w:tcPr>
            <w:tcW w:w="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13 (26 Apr)</w:t>
            </w:r>
          </w:p>
        </w:tc>
        <w:tc>
          <w:tcPr>
            <w:tcW w:w="8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13 (30 Apr)</w:t>
            </w:r>
          </w:p>
        </w:tc>
        <w:tc>
          <w:tcPr>
            <w:tcW w:w="129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9 FS, 10 FS</w:t>
            </w:r>
          </w:p>
        </w:tc>
        <w:tc>
          <w:tcPr>
            <w:tcW w:w="1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Config Manager</w:t>
            </w:r>
          </w:p>
        </w:tc>
        <w:tc>
          <w:tcPr>
            <w:tcW w:w="12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M4 Configuration baselined</w:t>
            </w:r>
          </w:p>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12</w:t>
            </w:r>
          </w:p>
        </w:tc>
        <w:tc>
          <w:tcPr>
            <w:tcW w:w="6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7.1</w:t>
            </w:r>
          </w:p>
        </w:tc>
        <w:tc>
          <w:tcPr>
            <w:tcW w:w="17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Content audit and migration templates</w:t>
            </w:r>
          </w:p>
        </w:tc>
        <w:tc>
          <w:tcPr>
            <w:tcW w:w="84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w:t>
            </w:r>
          </w:p>
        </w:tc>
        <w:tc>
          <w:tcPr>
            <w:tcW w:w="7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7 (15 Mar)</w:t>
            </w:r>
          </w:p>
        </w:tc>
        <w:tc>
          <w:tcPr>
            <w:tcW w:w="81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8 (26 Mar)</w:t>
            </w:r>
          </w:p>
        </w:tc>
        <w:tc>
          <w:tcPr>
            <w:tcW w:w="129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5 FS</w:t>
            </w:r>
          </w:p>
        </w:tc>
        <w:tc>
          <w:tcPr>
            <w:tcW w:w="11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Instructional Designer</w:t>
            </w:r>
          </w:p>
        </w:tc>
        <w:tc>
          <w:tcPr>
            <w:tcW w:w="124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lastRenderedPageBreak/>
              <w:t>13</w:t>
            </w:r>
          </w:p>
        </w:tc>
        <w:tc>
          <w:tcPr>
            <w:tcW w:w="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7.2</w:t>
            </w:r>
          </w:p>
        </w:tc>
        <w:tc>
          <w:tcPr>
            <w:tcW w:w="17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Content migration and reconciliation</w:t>
            </w:r>
          </w:p>
        </w:tc>
        <w:tc>
          <w:tcPr>
            <w:tcW w:w="8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3</w:t>
            </w:r>
          </w:p>
        </w:tc>
        <w:tc>
          <w:tcPr>
            <w:tcW w:w="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14 (3 May)</w:t>
            </w:r>
          </w:p>
        </w:tc>
        <w:tc>
          <w:tcPr>
            <w:tcW w:w="8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16 (21 May)</w:t>
            </w:r>
          </w:p>
        </w:tc>
        <w:tc>
          <w:tcPr>
            <w:tcW w:w="129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11 FS, 12 FS</w:t>
            </w:r>
          </w:p>
        </w:tc>
        <w:tc>
          <w:tcPr>
            <w:tcW w:w="1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Instructional Designer</w:t>
            </w:r>
          </w:p>
        </w:tc>
        <w:tc>
          <w:tcPr>
            <w:tcW w:w="12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14</w:t>
            </w:r>
          </w:p>
        </w:tc>
        <w:tc>
          <w:tcPr>
            <w:tcW w:w="6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8.1</w:t>
            </w:r>
          </w:p>
        </w:tc>
        <w:tc>
          <w:tcPr>
            <w:tcW w:w="17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b/>
                <w:bCs/>
                <w:sz w:val="15"/>
                <w:szCs w:val="15"/>
              </w:rPr>
              <w:t>Functional and integration testing</w:t>
            </w:r>
          </w:p>
        </w:tc>
        <w:tc>
          <w:tcPr>
            <w:tcW w:w="84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w:t>
            </w:r>
          </w:p>
        </w:tc>
        <w:tc>
          <w:tcPr>
            <w:tcW w:w="7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14 (3 May)</w:t>
            </w:r>
          </w:p>
        </w:tc>
        <w:tc>
          <w:tcPr>
            <w:tcW w:w="81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15 (14 May)</w:t>
            </w:r>
          </w:p>
        </w:tc>
        <w:tc>
          <w:tcPr>
            <w:tcW w:w="129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11 FS</w:t>
            </w:r>
          </w:p>
        </w:tc>
        <w:tc>
          <w:tcPr>
            <w:tcW w:w="11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QA Tester</w:t>
            </w:r>
          </w:p>
        </w:tc>
        <w:tc>
          <w:tcPr>
            <w:tcW w:w="124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15</w:t>
            </w:r>
          </w:p>
        </w:tc>
        <w:tc>
          <w:tcPr>
            <w:tcW w:w="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8.2</w:t>
            </w:r>
          </w:p>
        </w:tc>
        <w:tc>
          <w:tcPr>
            <w:tcW w:w="17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b/>
                <w:bCs/>
                <w:sz w:val="15"/>
                <w:szCs w:val="15"/>
              </w:rPr>
              <w:t>Security, accessibility, performance testing</w:t>
            </w:r>
          </w:p>
        </w:tc>
        <w:tc>
          <w:tcPr>
            <w:tcW w:w="8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w:t>
            </w:r>
          </w:p>
        </w:tc>
        <w:tc>
          <w:tcPr>
            <w:tcW w:w="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16 (17 May)</w:t>
            </w:r>
          </w:p>
        </w:tc>
        <w:tc>
          <w:tcPr>
            <w:tcW w:w="8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17 (28 May)</w:t>
            </w:r>
          </w:p>
        </w:tc>
        <w:tc>
          <w:tcPr>
            <w:tcW w:w="129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14 FS</w:t>
            </w:r>
          </w:p>
        </w:tc>
        <w:tc>
          <w:tcPr>
            <w:tcW w:w="1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Security / QA</w:t>
            </w:r>
          </w:p>
        </w:tc>
        <w:tc>
          <w:tcPr>
            <w:tcW w:w="12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16</w:t>
            </w:r>
          </w:p>
        </w:tc>
        <w:tc>
          <w:tcPr>
            <w:tcW w:w="6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8.3</w:t>
            </w:r>
          </w:p>
        </w:tc>
        <w:tc>
          <w:tcPr>
            <w:tcW w:w="17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Backup and restore testing</w:t>
            </w:r>
          </w:p>
        </w:tc>
        <w:tc>
          <w:tcPr>
            <w:tcW w:w="84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w:t>
            </w:r>
          </w:p>
        </w:tc>
        <w:tc>
          <w:tcPr>
            <w:tcW w:w="7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16 (17 May)</w:t>
            </w:r>
          </w:p>
        </w:tc>
        <w:tc>
          <w:tcPr>
            <w:tcW w:w="81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16 (21 May)</w:t>
            </w:r>
          </w:p>
        </w:tc>
        <w:tc>
          <w:tcPr>
            <w:tcW w:w="129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14 FS</w:t>
            </w:r>
          </w:p>
        </w:tc>
        <w:tc>
          <w:tcPr>
            <w:tcW w:w="11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Infrastructure Admin</w:t>
            </w:r>
          </w:p>
        </w:tc>
        <w:tc>
          <w:tcPr>
            <w:tcW w:w="124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17</w:t>
            </w:r>
          </w:p>
        </w:tc>
        <w:tc>
          <w:tcPr>
            <w:tcW w:w="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9.1</w:t>
            </w:r>
          </w:p>
        </w:tc>
        <w:tc>
          <w:tcPr>
            <w:tcW w:w="17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Training materials and train-the-trainer</w:t>
            </w:r>
          </w:p>
        </w:tc>
        <w:tc>
          <w:tcPr>
            <w:tcW w:w="8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w:t>
            </w:r>
          </w:p>
        </w:tc>
        <w:tc>
          <w:tcPr>
            <w:tcW w:w="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14 (3 May)</w:t>
            </w:r>
          </w:p>
        </w:tc>
        <w:tc>
          <w:tcPr>
            <w:tcW w:w="8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15 (14 May)</w:t>
            </w:r>
          </w:p>
        </w:tc>
        <w:tc>
          <w:tcPr>
            <w:tcW w:w="129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11 FS</w:t>
            </w:r>
          </w:p>
        </w:tc>
        <w:tc>
          <w:tcPr>
            <w:tcW w:w="1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Instructional Designer</w:t>
            </w:r>
          </w:p>
        </w:tc>
        <w:tc>
          <w:tcPr>
            <w:tcW w:w="12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18</w:t>
            </w:r>
          </w:p>
        </w:tc>
        <w:tc>
          <w:tcPr>
            <w:tcW w:w="6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10.1</w:t>
            </w:r>
          </w:p>
        </w:tc>
        <w:tc>
          <w:tcPr>
            <w:tcW w:w="17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b/>
                <w:bCs/>
                <w:sz w:val="15"/>
                <w:szCs w:val="15"/>
              </w:rPr>
              <w:t>Pilot with five courses</w:t>
            </w:r>
          </w:p>
        </w:tc>
        <w:tc>
          <w:tcPr>
            <w:tcW w:w="84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3</w:t>
            </w:r>
          </w:p>
        </w:tc>
        <w:tc>
          <w:tcPr>
            <w:tcW w:w="7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18 (31 May)</w:t>
            </w:r>
          </w:p>
        </w:tc>
        <w:tc>
          <w:tcPr>
            <w:tcW w:w="81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20 (18 Jun)</w:t>
            </w:r>
          </w:p>
        </w:tc>
        <w:tc>
          <w:tcPr>
            <w:tcW w:w="129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13 FS, 15 FS, 16 FS, 17 FS</w:t>
            </w:r>
          </w:p>
        </w:tc>
        <w:tc>
          <w:tcPr>
            <w:tcW w:w="11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PM / Lecturer Rep</w:t>
            </w:r>
          </w:p>
        </w:tc>
        <w:tc>
          <w:tcPr>
            <w:tcW w:w="124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M5 Pilot completed</w:t>
            </w:r>
          </w:p>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19</w:t>
            </w:r>
          </w:p>
        </w:tc>
        <w:tc>
          <w:tcPr>
            <w:tcW w:w="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9.2</w:t>
            </w:r>
          </w:p>
        </w:tc>
        <w:tc>
          <w:tcPr>
            <w:tcW w:w="17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Institution-wide staff training rollout</w:t>
            </w:r>
          </w:p>
        </w:tc>
        <w:tc>
          <w:tcPr>
            <w:tcW w:w="8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3</w:t>
            </w:r>
          </w:p>
        </w:tc>
        <w:tc>
          <w:tcPr>
            <w:tcW w:w="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19 (7 Jun)</w:t>
            </w:r>
          </w:p>
        </w:tc>
        <w:tc>
          <w:tcPr>
            <w:tcW w:w="8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21 (25 Jun)</w:t>
            </w:r>
          </w:p>
        </w:tc>
        <w:tc>
          <w:tcPr>
            <w:tcW w:w="129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17 FS, 18 SS+1</w:t>
            </w:r>
          </w:p>
        </w:tc>
        <w:tc>
          <w:tcPr>
            <w:tcW w:w="1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Instructional Designer</w:t>
            </w:r>
          </w:p>
        </w:tc>
        <w:tc>
          <w:tcPr>
            <w:tcW w:w="12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M6 Core training complete</w:t>
            </w:r>
          </w:p>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20</w:t>
            </w:r>
          </w:p>
        </w:tc>
        <w:tc>
          <w:tcPr>
            <w:tcW w:w="6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11.1</w:t>
            </w:r>
          </w:p>
        </w:tc>
        <w:tc>
          <w:tcPr>
            <w:tcW w:w="17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b/>
                <w:bCs/>
                <w:sz w:val="15"/>
                <w:szCs w:val="15"/>
              </w:rPr>
              <w:t>Pilot evaluation and remediation</w:t>
            </w:r>
          </w:p>
        </w:tc>
        <w:tc>
          <w:tcPr>
            <w:tcW w:w="84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w:t>
            </w:r>
          </w:p>
        </w:tc>
        <w:tc>
          <w:tcPr>
            <w:tcW w:w="7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21 (21 Jun)</w:t>
            </w:r>
          </w:p>
        </w:tc>
        <w:tc>
          <w:tcPr>
            <w:tcW w:w="81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22 (2 Jul)</w:t>
            </w:r>
          </w:p>
        </w:tc>
        <w:tc>
          <w:tcPr>
            <w:tcW w:w="129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18 FS</w:t>
            </w:r>
          </w:p>
        </w:tc>
        <w:tc>
          <w:tcPr>
            <w:tcW w:w="11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PM / QA Tester</w:t>
            </w:r>
          </w:p>
        </w:tc>
        <w:tc>
          <w:tcPr>
            <w:tcW w:w="124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21</w:t>
            </w:r>
          </w:p>
        </w:tc>
        <w:tc>
          <w:tcPr>
            <w:tcW w:w="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8.4</w:t>
            </w:r>
          </w:p>
        </w:tc>
        <w:tc>
          <w:tcPr>
            <w:tcW w:w="17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b/>
                <w:bCs/>
                <w:sz w:val="15"/>
                <w:szCs w:val="15"/>
              </w:rPr>
              <w:t>UAT execution</w:t>
            </w:r>
          </w:p>
        </w:tc>
        <w:tc>
          <w:tcPr>
            <w:tcW w:w="8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w:t>
            </w:r>
          </w:p>
        </w:tc>
        <w:tc>
          <w:tcPr>
            <w:tcW w:w="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23 (5 Jul)</w:t>
            </w:r>
          </w:p>
        </w:tc>
        <w:tc>
          <w:tcPr>
            <w:tcW w:w="8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23 (9 Jul)</w:t>
            </w:r>
          </w:p>
        </w:tc>
        <w:tc>
          <w:tcPr>
            <w:tcW w:w="129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20 FS</w:t>
            </w:r>
          </w:p>
        </w:tc>
        <w:tc>
          <w:tcPr>
            <w:tcW w:w="1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QA / Lecturer Rep</w:t>
            </w:r>
          </w:p>
        </w:tc>
        <w:tc>
          <w:tcPr>
            <w:tcW w:w="12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22</w:t>
            </w:r>
          </w:p>
        </w:tc>
        <w:tc>
          <w:tcPr>
            <w:tcW w:w="6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8.5</w:t>
            </w:r>
          </w:p>
        </w:tc>
        <w:tc>
          <w:tcPr>
            <w:tcW w:w="17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b/>
                <w:bCs/>
                <w:sz w:val="15"/>
                <w:szCs w:val="15"/>
              </w:rPr>
              <w:t>UAT retest, acceptance and go/no-go review</w:t>
            </w:r>
          </w:p>
        </w:tc>
        <w:tc>
          <w:tcPr>
            <w:tcW w:w="84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w:t>
            </w:r>
          </w:p>
        </w:tc>
        <w:tc>
          <w:tcPr>
            <w:tcW w:w="7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24 (12 Jul)</w:t>
            </w:r>
          </w:p>
        </w:tc>
        <w:tc>
          <w:tcPr>
            <w:tcW w:w="81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24 (16 Jul)</w:t>
            </w:r>
          </w:p>
        </w:tc>
        <w:tc>
          <w:tcPr>
            <w:tcW w:w="129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21 FS, 19 FS</w:t>
            </w:r>
          </w:p>
        </w:tc>
        <w:tc>
          <w:tcPr>
            <w:tcW w:w="11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QA / Sponsor</w:t>
            </w:r>
          </w:p>
        </w:tc>
        <w:tc>
          <w:tcPr>
            <w:tcW w:w="124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M7 Go-live approved</w:t>
            </w:r>
          </w:p>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23</w:t>
            </w:r>
          </w:p>
        </w:tc>
        <w:tc>
          <w:tcPr>
            <w:tcW w:w="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12.1</w:t>
            </w:r>
          </w:p>
        </w:tc>
        <w:tc>
          <w:tcPr>
            <w:tcW w:w="17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b/>
                <w:bCs/>
                <w:sz w:val="15"/>
                <w:szCs w:val="15"/>
              </w:rPr>
              <w:t>Production deployment and go-live</w:t>
            </w:r>
          </w:p>
        </w:tc>
        <w:tc>
          <w:tcPr>
            <w:tcW w:w="8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w:t>
            </w:r>
          </w:p>
        </w:tc>
        <w:tc>
          <w:tcPr>
            <w:tcW w:w="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25 (19 Jul)</w:t>
            </w:r>
          </w:p>
        </w:tc>
        <w:tc>
          <w:tcPr>
            <w:tcW w:w="8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25 (23 Jul)</w:t>
            </w:r>
          </w:p>
        </w:tc>
        <w:tc>
          <w:tcPr>
            <w:tcW w:w="129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22 FS</w:t>
            </w:r>
          </w:p>
        </w:tc>
        <w:tc>
          <w:tcPr>
            <w:tcW w:w="1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LMS Admin</w:t>
            </w:r>
          </w:p>
        </w:tc>
        <w:tc>
          <w:tcPr>
            <w:tcW w:w="12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M8 LMS live</w:t>
            </w:r>
          </w:p>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24</w:t>
            </w:r>
          </w:p>
        </w:tc>
        <w:tc>
          <w:tcPr>
            <w:tcW w:w="6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13.1</w:t>
            </w:r>
          </w:p>
        </w:tc>
        <w:tc>
          <w:tcPr>
            <w:tcW w:w="17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b/>
                <w:bCs/>
                <w:sz w:val="15"/>
                <w:szCs w:val="15"/>
              </w:rPr>
              <w:t>Hypercare support</w:t>
            </w:r>
          </w:p>
        </w:tc>
        <w:tc>
          <w:tcPr>
            <w:tcW w:w="84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w:t>
            </w:r>
          </w:p>
        </w:tc>
        <w:tc>
          <w:tcPr>
            <w:tcW w:w="7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26 (26 Jul)</w:t>
            </w:r>
          </w:p>
        </w:tc>
        <w:tc>
          <w:tcPr>
            <w:tcW w:w="814"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27 (6 Aug)</w:t>
            </w:r>
          </w:p>
        </w:tc>
        <w:tc>
          <w:tcPr>
            <w:tcW w:w="129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23 FS</w:t>
            </w:r>
          </w:p>
        </w:tc>
        <w:tc>
          <w:tcPr>
            <w:tcW w:w="11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Support Staff</w:t>
            </w:r>
          </w:p>
        </w:tc>
        <w:tc>
          <w:tcPr>
            <w:tcW w:w="124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EB510C"/>
        </w:tc>
      </w:tr>
      <w:tr w:rsidR="00EB510C">
        <w:tblPrEx>
          <w:tblCellMar>
            <w:top w:w="0" w:type="dxa"/>
            <w:bottom w:w="0" w:type="dxa"/>
          </w:tblCellMar>
        </w:tblPrEx>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25</w:t>
            </w:r>
          </w:p>
        </w:tc>
        <w:tc>
          <w:tcPr>
            <w:tcW w:w="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13.2</w:t>
            </w:r>
          </w:p>
        </w:tc>
        <w:tc>
          <w:tcPr>
            <w:tcW w:w="17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b/>
                <w:bCs/>
                <w:sz w:val="15"/>
                <w:szCs w:val="15"/>
              </w:rPr>
              <w:t>Handover, lessons learned, closure</w:t>
            </w:r>
          </w:p>
        </w:tc>
        <w:tc>
          <w:tcPr>
            <w:tcW w:w="8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1</w:t>
            </w:r>
          </w:p>
        </w:tc>
        <w:tc>
          <w:tcPr>
            <w:tcW w:w="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28 (9 Aug)</w:t>
            </w:r>
          </w:p>
        </w:tc>
        <w:tc>
          <w:tcPr>
            <w:tcW w:w="8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28 (13 Aug)</w:t>
            </w:r>
          </w:p>
        </w:tc>
        <w:tc>
          <w:tcPr>
            <w:tcW w:w="129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24 FS</w:t>
            </w:r>
          </w:p>
        </w:tc>
        <w:tc>
          <w:tcPr>
            <w:tcW w:w="1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PM</w:t>
            </w:r>
          </w:p>
        </w:tc>
        <w:tc>
          <w:tcPr>
            <w:tcW w:w="12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M9 Project closed</w:t>
            </w:r>
          </w:p>
        </w:tc>
      </w:tr>
    </w:tbl>
    <w:p w:rsidR="00EB510C" w:rsidRDefault="00EB510C">
      <w:pPr>
        <w:spacing w:after="120"/>
      </w:pPr>
    </w:p>
    <w:p w:rsidR="00EB510C" w:rsidRDefault="003F5293">
      <w:pPr>
        <w:spacing w:after="160" w:line="360" w:lineRule="auto"/>
        <w:jc w:val="both"/>
      </w:pPr>
      <w:r>
        <w:t>Bold task names indicate critical path tasks (zero total float). Dates in brackets are 2027 calendar dates: the Monday of the start week and the Friday of the finish week.</w:t>
      </w:r>
    </w:p>
    <w:p>
      <w:pPr>
        <w:spacing w:after="160" w:line="360" w:lineRule="auto"/>
        <w:jc w:val="both"/>
      </w:pPr>
      <w:r>
        <w:t xml:space="preserve">Table 15 lists the nine milestones with their calendar dates. Milestones are zero-duration approval points; the phase that follows each one cannot start until the named approver has signed it off.</w:t>
      </w:r>
    </w:p>
    <w:p>
      <w:pPr>
        <w:keepNext/>
        <w:spacing w:before="200" w:after="80"/>
      </w:pPr>
      <w:r>
        <w:rPr>
          <w:b/>
          <w:bCs/>
        </w:rPr>
        <w:t xml:space="preserve">Table 15: </w:t>
      </w:r>
      <w:r>
        <w:rPr>
          <w:i/>
          <w:iCs/>
        </w:rPr>
        <w:t>Milestone calendar (assumed start Monday 1 February 2027)</w:t>
      </w:r>
    </w:p>
    <w:tbl>
      <w:tblPr>
        <w:tblW w:w="9026" w:type="dxa"/>
        <w:tblLayout w:type="fixed"/>
        <w:tblCellMar>
          <w:left w:w="10" w:type="dxa"/>
          <w:right w:w="10" w:type="dxa"/>
        </w:tblCellMar>
        <w:tblLook w:val="0000" w:firstRow="0" w:lastRow="0" w:firstColumn="0" w:lastColumn="0" w:noHBand="0" w:noVBand="0"/>
      </w:tblPr>
      <w:tblGrid>
        <w:gridCol w:w="900"/>
        <w:gridCol w:w="3326"/>
        <w:gridCol w:w="1200"/>
        <w:gridCol w:w="1900"/>
        <w:gridCol w:w="1700"/>
      </w:tblGrid>
      <w:tr>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ID</w:t>
            </w:r>
          </w:p>
        </w:tc>
        <w:tc>
          <w:tcPr>
            <w:tcW w:w="3326"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Milestone</w:t>
            </w:r>
          </w:p>
        </w:tc>
        <w:tc>
          <w:tcPr>
            <w:tcW w:w="12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Week</w:t>
            </w:r>
          </w:p>
        </w:tc>
        <w:tc>
          <w:tcPr>
            <w:tcW w:w="19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Date (end of week)</w:t>
            </w:r>
          </w:p>
        </w:tc>
        <w:tc>
          <w:tcPr>
            <w:tcW w:w="17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Approver</w:t>
            </w:r>
          </w:p>
        </w:tc>
      </w:tr>
      <w:tr>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M1</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Charter approved</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5 February 2027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Sponsor</w:t>
            </w:r>
          </w:p>
        </w:tc>
      </w:tr>
      <w:tr>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M2</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Requirements baselined</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5</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5 March 2027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Sponsor</w:t>
            </w:r>
          </w:p>
        </w:tc>
      </w:tr>
      <w:tr>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M3</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Platform approved</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6</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12 March 2027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Sponsor</w:t>
            </w:r>
          </w:p>
        </w:tc>
      </w:tr>
      <w:tr>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M4</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Configuration baselined (GitHub v1.0)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13</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30 April 2027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Technical Lead / PM</w:t>
            </w:r>
          </w:p>
        </w:tc>
      </w:tr>
      <w:tr>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M5</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Pilot completed</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20</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18 June 2027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PM</w:t>
            </w:r>
          </w:p>
        </w:tc>
      </w:tr>
      <w:tr>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M6</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Core staff training complete</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21</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25 June 2027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PM</w:t>
            </w:r>
          </w:p>
        </w:tc>
      </w:tr>
      <w:tr>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M7</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Go-live approved (go/no-go)</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24</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16 July 2027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Sponsor</w:t>
            </w:r>
          </w:p>
        </w:tc>
      </w:tr>
      <w:tr>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M8</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LMS live in production</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25</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23 July 2027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Sponsor</w:t>
            </w:r>
          </w:p>
        </w:tc>
      </w:tr>
      <w:tr>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M9</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Project closed</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28</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13 August 2027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Sponsor</w:t>
            </w:r>
          </w:p>
        </w:tc>
      </w:tr>
    </w:tbl>
    <w:p>
      <w:pPr>
        <w:spacing w:after="120"/>
      </w:pPr>
    </w:p>
    <w:p w:rsidR="00EB510C" w:rsidRDefault="00EB510C">
      <w:pPr>
        <w:sectPr w:rsidR="00EB510C">
          <w:headerReference w:type="default" r:id="rId8"/>
          <w:footerReference w:type="default" r:id="rId9"/>
          <w:pgSz w:w="11906" w:h="16838"/>
          <w:pgMar w:top="1440" w:right="1440" w:bottom="1440" w:left="1440" w:header="708" w:footer="708" w:gutter="0"/>
          <w:cols w:space="720"/>
          <w:docGrid w:linePitch="360"/>
        </w:sectPr>
      </w:pPr>
    </w:p>
    <w:p w:rsidR="00EB510C" w:rsidRDefault="003F5293">
      <w:pPr>
        <w:pStyle w:val="Heading2"/>
      </w:pPr>
      <w:bookmarkStart w:id="40" w:name="_Toc100040"/>
      <w:r>
        <w:lastRenderedPageBreak/>
        <w:t>7.3 Gantt Chart</w:t>
      </w:r>
      <w:bookmarkEnd w:id="40"/>
    </w:p>
    <w:p w:rsidR="00EB510C" w:rsidRDefault="003F5293">
      <w:pPr>
        <w:spacing w:after="160" w:line="360" w:lineRule="auto"/>
        <w:jc w:val="both"/>
      </w:pPr>
      <w:r>
        <w:t>Figure 2 presents the Gantt chart on a landscape page for readability. Solid arrows show finish-to-start dependencies, dashed purple arrows show start-to-start dependencies, red bars mark the critical path and yellow diamonds mark milestones.</w:t>
      </w:r>
    </w:p>
    <w:p w:rsidR="00EB510C" w:rsidRDefault="003F5293">
      <w:pPr>
        <w:keepNext/>
        <w:spacing w:before="160"/>
        <w:jc w:val="center"/>
      </w:pPr>
      <w:r>
        <w:rPr>
          <w:noProof/>
        </w:rPr>
        <w:drawing>
          <wp:inline distT="0" distB="0" distL="0" distR="0">
            <wp:extent cx="8229600" cy="4937760"/>
            <wp:effectExtent l="0" t="0" r="0" b="0"/>
            <wp:docPr id="2" name="gantt.png" descr="Gantt chart showing task durations, dependencies, critical path and milestones" title="Gantt chart showing task durations, dependencies, critical path and miles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229600" cy="4937760"/>
                    </a:xfrm>
                    <a:prstGeom prst="rect">
                      <a:avLst/>
                    </a:prstGeom>
                  </pic:spPr>
                </pic:pic>
              </a:graphicData>
            </a:graphic>
          </wp:inline>
        </w:drawing>
      </w:r>
    </w:p>
    <w:p w:rsidR="00EB510C" w:rsidRDefault="003F5293">
      <w:pPr>
        <w:spacing w:after="240"/>
        <w:jc w:val="center"/>
      </w:pPr>
      <w:r>
        <w:rPr>
          <w:b/>
          <w:bCs/>
        </w:rPr>
        <w:t xml:space="preserve">Figure 2: </w:t>
      </w:r>
      <w:r>
        <w:rPr>
          <w:i/>
          <w:iCs/>
        </w:rPr>
        <w:t>Gantt chart showing task durations, dependencies, critical path and milestones</w:t>
      </w:r>
    </w:p>
    <w:p w:rsidR="00EB510C" w:rsidRDefault="00EB510C">
      <w:pPr>
        <w:sectPr w:rsidR="00EB510C">
          <w:headerReference w:type="default" r:id="rId11"/>
          <w:footerReference w:type="default" r:id="rId12"/>
          <w:pgSz w:w="16838" w:h="11906" w:orient="landscape"/>
          <w:pgMar w:top="1000" w:right="1000" w:bottom="900" w:left="1000" w:header="708" w:footer="708" w:gutter="0"/>
          <w:cols w:space="720"/>
          <w:docGrid w:linePitch="360"/>
        </w:sectPr>
      </w:pPr>
    </w:p>
    <w:p w:rsidR="00EB510C" w:rsidRDefault="003F5293">
      <w:pPr>
        <w:pStyle w:val="Heading2"/>
      </w:pPr>
      <w:bookmarkStart w:id="41" w:name="_Toc100041"/>
      <w:r>
        <w:lastRenderedPageBreak/>
        <w:t>7.4 Critical Path and Key Dependencies</w:t>
      </w:r>
      <w:bookmarkEnd w:id="41"/>
    </w:p>
    <w:p w:rsidR="00EB510C" w:rsidRDefault="003F5293">
      <w:pPr>
        <w:spacing w:after="160" w:line="360" w:lineRule="auto"/>
        <w:jc w:val="both"/>
      </w:pPr>
      <w:r>
        <w:t>A forward and backward pass over the corrected network in Table 14 gives a total duration of 28 weeks; every planned start and finish week equals its calculated early date. The critical path, with zero total float, is:</w:t>
      </w:r>
    </w:p>
    <w:p w:rsidR="00EB510C" w:rsidRDefault="003F5293">
      <w:pPr>
        <w:spacing w:after="160" w:line="360" w:lineRule="auto"/>
        <w:jc w:val="both"/>
      </w:pPr>
      <w:r>
        <w:t>1.1 → 1.2 → 2.1 → 2.2 → 3.1 → 4.1 → (SS+1) 5.1 → 5.2 → 6.1/6.2 → 6.3 → 8.1 → 8.2 → 10.1 → 11.1 → 8.4 → 8.5 → 12.1 → 13.1 → 13.2</w:t>
      </w:r>
    </w:p>
    <w:p w:rsidR="00EB510C" w:rsidRDefault="003F5293">
      <w:pPr>
        <w:spacing w:after="160" w:line="360" w:lineRule="auto"/>
        <w:jc w:val="both"/>
      </w:pPr>
      <w:r>
        <w:t>Any delay to these tasks delays go-live. The most important dependencies are:</w:t>
      </w:r>
    </w:p>
    <w:p w:rsidR="00EB510C" w:rsidRDefault="003F5293">
      <w:pPr>
        <w:pStyle w:val="ListParagraph"/>
        <w:numPr>
          <w:ilvl w:val="0"/>
          <w:numId w:val="2"/>
        </w:numPr>
        <w:spacing w:after="80" w:line="360" w:lineRule="auto"/>
        <w:jc w:val="both"/>
      </w:pPr>
      <w:r>
        <w:rPr>
          <w:b/>
          <w:bCs/>
        </w:rPr>
        <w:t>Configuration baseline before testing and migration (6.3 → 7.2, 8.1, 9.1).</w:t>
      </w:r>
      <w:r>
        <w:t xml:space="preserve"> Testing and content migration must use a stable, version-controlled configuration; otherwise defects and migrated content would need rework after every configuration change.</w:t>
      </w:r>
    </w:p>
    <w:p w:rsidR="00EB510C" w:rsidRDefault="003F5293">
      <w:pPr>
        <w:pStyle w:val="ListParagraph"/>
        <w:numPr>
          <w:ilvl w:val="0"/>
          <w:numId w:val="2"/>
        </w:numPr>
        <w:spacing w:after="80" w:line="360" w:lineRule="auto"/>
        <w:jc w:val="both"/>
      </w:pPr>
      <w:r>
        <w:rPr>
          <w:b/>
          <w:bCs/>
        </w:rPr>
        <w:t>All readiness work before the pilot (7.2, 8.2, 8.3, 9.1 → 10.1).</w:t>
      </w:r>
      <w:r>
        <w:t xml:space="preserve"> The pilot can only start once content is migrated, security and accessibility tests are complete, backups have been proven and trainers are prepared. This reflects the Oslo finding that sudden introduction is a barrier [5].</w:t>
      </w:r>
    </w:p>
    <w:p w:rsidR="00EB510C" w:rsidRDefault="003F5293">
      <w:pPr>
        <w:pStyle w:val="ListParagraph"/>
        <w:numPr>
          <w:ilvl w:val="0"/>
          <w:numId w:val="2"/>
        </w:numPr>
        <w:spacing w:after="80" w:line="360" w:lineRule="auto"/>
        <w:jc w:val="both"/>
      </w:pPr>
      <w:r>
        <w:rPr>
          <w:b/>
          <w:bCs/>
        </w:rPr>
        <w:t>Training before acceptance (9.2 → 8.5).</w:t>
      </w:r>
      <w:r>
        <w:t xml:space="preserve"> Staff training finishes in Week 21, giving two weeks of float before the go/no-go review in Week 24, at which the 90% training target (O4) is confirmed.</w:t>
      </w:r>
    </w:p>
    <w:p w:rsidR="00EB510C" w:rsidRDefault="003F5293">
      <w:pPr>
        <w:pStyle w:val="ListParagraph"/>
        <w:numPr>
          <w:ilvl w:val="0"/>
          <w:numId w:val="2"/>
        </w:numPr>
        <w:spacing w:after="80" w:line="360" w:lineRule="auto"/>
        <w:jc w:val="both"/>
      </w:pPr>
      <w:r>
        <w:rPr>
          <w:b/>
          <w:bCs/>
        </w:rPr>
        <w:t>UAT, retest and acceptance before deployment (11.1 → 8.4 → 8.5 → 12.1).</w:t>
      </w:r>
      <w:r>
        <w:t xml:space="preserve"> UAT is executed in Week 23 on the remediated build and defects are recorded. Week 24 is reserved for fixing and retesting those defects, obtaining formal acceptance and holding the go/no-go review. Production deployment takes place only in Week 25, after the sponsor's approval (M7).</w:t>
      </w:r>
    </w:p>
    <w:p w:rsidR="00EB510C" w:rsidRDefault="003F5293">
      <w:pPr>
        <w:spacing w:after="160" w:line="360" w:lineRule="auto"/>
        <w:jc w:val="both"/>
      </w:pPr>
      <w:r>
        <w:t xml:space="preserve">Non-critical tasks have limited float: content audit (7.1) has six weeks of float, training materials (9.1) and the training rollout (9.2) two weeks each, and content migration (7.2) and backup testing (8.3) one week each. Because float on content migration is only one week, it is monitored closely and linked to risk R4.</w:t>
      </w:r>
    </w:p>
    <w:p w:rsidR="00EB510C" w:rsidRDefault="003F5293">
      <w:pPr>
        <w:pStyle w:val="Heading2"/>
      </w:pPr>
      <w:bookmarkStart w:id="42" w:name="_Toc100042"/>
      <w:r>
        <w:t>7.5 Schedule Control</w:t>
      </w:r>
      <w:bookmarkEnd w:id="42"/>
    </w:p>
    <w:p w:rsidR="00EB510C" w:rsidRDefault="003F5293">
      <w:pPr>
        <w:spacing w:after="160" w:line="360" w:lineRule="auto"/>
        <w:jc w:val="both"/>
      </w:pPr>
      <w:r>
        <w:t xml:space="preserve">Progress will be reviewed weekly against the baseline. If a critical task slips, the project manager will consider fast-tracking (for example, starting training material development earlier) or crashing (adding contract resources) before seeking a schedule change through the change control process. The 10% budget contingency provides funding for such responses.</w:t>
      </w:r>
    </w:p>
    <w:p w:rsidR="00EB510C" w:rsidRDefault="003F5293">
      <w:pPr>
        <w:pStyle w:val="Heading1"/>
        <w:pageBreakBefore/>
      </w:pPr>
      <w:bookmarkStart w:id="43" w:name="_Toc243565015"/>
      <w:r>
        <w:lastRenderedPageBreak/>
        <w:t>8. Resource Allocation and Responsibility Matrix</w:t>
      </w:r>
      <w:bookmarkEnd w:id="43"/>
    </w:p>
    <w:p w:rsidR="00EB510C" w:rsidRDefault="003F5293">
      <w:pPr>
        <w:pStyle w:val="Heading2"/>
      </w:pPr>
      <w:bookmarkStart w:id="44" w:name="_Toc100044"/>
      <w:r>
        <w:t>8.1 Resource Plan</w:t>
      </w:r>
      <w:bookmarkEnd w:id="44"/>
    </w:p>
    <w:p w:rsidR="00EB510C" w:rsidRDefault="003F5293">
      <w:pPr>
        <w:keepNext/>
        <w:spacing w:before="200" w:after="80"/>
      </w:pPr>
      <w:r>
        <w:rPr>
          <w:b/>
          <w:bCs/>
        </w:rPr>
        <w:t xml:space="preserve">Table 16: </w:t>
      </w:r>
      <w:r>
        <w:rPr>
          <w:i/>
          <w:iCs/>
        </w:rPr>
        <w:t>Project roles, allocation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5"/>
        <w:gridCol w:w="2080"/>
        <w:gridCol w:w="2762"/>
        <w:gridCol w:w="2179"/>
      </w:tblGrid>
      <w:tr w:rsidR="00EB510C">
        <w:tblPrEx>
          <w:tblCellMar>
            <w:top w:w="0" w:type="dxa"/>
            <w:bottom w:w="0" w:type="dxa"/>
          </w:tblCellMar>
        </w:tblPrEx>
        <w:trPr>
          <w:cantSplit/>
          <w:tblHeader/>
        </w:trPr>
        <w:tc>
          <w:tcPr>
            <w:tcW w:w="2005"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Role</w:t>
            </w:r>
          </w:p>
        </w:tc>
        <w:tc>
          <w:tcPr>
            <w:tcW w:w="208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Allocation (planning assumption)</w:t>
            </w:r>
          </w:p>
        </w:tc>
        <w:tc>
          <w:tcPr>
            <w:tcW w:w="276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Key responsibilities</w:t>
            </w:r>
          </w:p>
        </w:tc>
        <w:tc>
          <w:tcPr>
            <w:tcW w:w="2179"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Required skills</w:t>
            </w:r>
          </w:p>
        </w:tc>
      </w:tr>
      <w:tr w:rsidR="00EB510C">
        <w:tblPrEx>
          <w:tblCellMar>
            <w:top w:w="0" w:type="dxa"/>
            <w:bottom w:w="0" w:type="dxa"/>
          </w:tblCellMar>
        </w:tblPrEx>
        <w:trPr>
          <w:cantSplit/>
        </w:trPr>
        <w:tc>
          <w:tcPr>
            <w:tcW w:w="20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Project Sponsor (Academic Director)</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As required</w:t>
            </w:r>
          </w:p>
        </w:tc>
        <w:tc>
          <w:tcPr>
            <w:tcW w:w="2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Approves charter, budget, platform and go-live; chairs steering committee</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Executive decision-making</w:t>
            </w:r>
          </w:p>
        </w:tc>
      </w:tr>
      <w:tr w:rsidR="00EB510C">
        <w:tblPrEx>
          <w:tblCellMar>
            <w:top w:w="0" w:type="dxa"/>
            <w:bottom w:w="0" w:type="dxa"/>
          </w:tblCellMar>
        </w:tblPrEx>
        <w:trPr>
          <w:cantSplit/>
        </w:trPr>
        <w:tc>
          <w:tcPr>
            <w:tcW w:w="20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Project Manager</w:t>
            </w:r>
          </w:p>
        </w:tc>
        <w:tc>
          <w:tcPr>
            <w:tcW w:w="208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1.0 FTE, Weeks 1–28</w:t>
            </w:r>
          </w:p>
        </w:tc>
        <w:tc>
          <w:tcPr>
            <w:tcW w:w="27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Planning, monitoring, risk, issue and change control; reporting</w:t>
            </w:r>
          </w:p>
        </w:tc>
        <w:tc>
          <w:tcPr>
            <w:tcW w:w="217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Project management, stakeholder management</w:t>
            </w:r>
          </w:p>
        </w:tc>
      </w:tr>
      <w:tr w:rsidR="00EB510C">
        <w:tblPrEx>
          <w:tblCellMar>
            <w:top w:w="0" w:type="dxa"/>
            <w:bottom w:w="0" w:type="dxa"/>
          </w:tblCellMar>
        </w:tblPrEx>
        <w:trPr>
          <w:cantSplit/>
        </w:trPr>
        <w:tc>
          <w:tcPr>
            <w:tcW w:w="20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Business Analyst</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0.8 FTE, Weeks 1–8; 0.2 FTE thereafter</w:t>
            </w:r>
          </w:p>
        </w:tc>
        <w:tc>
          <w:tcPr>
            <w:tcW w:w="2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Requirements, traceability, platform evaluation</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Requirements elicitation, analysis</w:t>
            </w:r>
          </w:p>
        </w:tc>
      </w:tr>
      <w:tr w:rsidR="00EB510C">
        <w:tblPrEx>
          <w:tblCellMar>
            <w:top w:w="0" w:type="dxa"/>
            <w:bottom w:w="0" w:type="dxa"/>
          </w:tblCellMar>
        </w:tblPrEx>
        <w:trPr>
          <w:cantSplit/>
        </w:trPr>
        <w:tc>
          <w:tcPr>
            <w:tcW w:w="20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Technical Lead / Moodle Developer</w:t>
            </w:r>
          </w:p>
        </w:tc>
        <w:tc>
          <w:tcPr>
            <w:tcW w:w="208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0.6 FTE, Weeks 6–25</w:t>
            </w:r>
          </w:p>
        </w:tc>
        <w:tc>
          <w:tcPr>
            <w:tcW w:w="27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Architecture, theme, plugins, code review</w:t>
            </w:r>
          </w:p>
        </w:tc>
        <w:tc>
          <w:tcPr>
            <w:tcW w:w="217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PHP, Moodle development</w:t>
            </w:r>
          </w:p>
        </w:tc>
      </w:tr>
      <w:tr w:rsidR="00EB510C">
        <w:tblPrEx>
          <w:tblCellMar>
            <w:top w:w="0" w:type="dxa"/>
            <w:bottom w:w="0" w:type="dxa"/>
          </w:tblCellMar>
        </w:tblPrEx>
        <w:trPr>
          <w:cantSplit/>
        </w:trPr>
        <w:tc>
          <w:tcPr>
            <w:tcW w:w="20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LMS Administrator</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1.0 FTE, Weeks 9–28 (ongoing role)</w:t>
            </w:r>
          </w:p>
        </w:tc>
        <w:tc>
          <w:tcPr>
            <w:tcW w:w="2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Configuration, roles, enrolment, deployment</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Moodle administration</w:t>
            </w:r>
          </w:p>
        </w:tc>
      </w:tr>
      <w:tr w:rsidR="00EB510C">
        <w:tblPrEx>
          <w:tblCellMar>
            <w:top w:w="0" w:type="dxa"/>
            <w:bottom w:w="0" w:type="dxa"/>
          </w:tblCellMar>
        </w:tblPrEx>
        <w:trPr>
          <w:cantSplit/>
        </w:trPr>
        <w:tc>
          <w:tcPr>
            <w:tcW w:w="20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Infrastructure Administrator</w:t>
            </w:r>
          </w:p>
        </w:tc>
        <w:tc>
          <w:tcPr>
            <w:tcW w:w="208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0.5 FTE, Weeks 7–28</w:t>
            </w:r>
          </w:p>
        </w:tc>
        <w:tc>
          <w:tcPr>
            <w:tcW w:w="27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Environments, hosting, backups, monitoring</w:t>
            </w:r>
          </w:p>
        </w:tc>
        <w:tc>
          <w:tcPr>
            <w:tcW w:w="217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Linux, cloud hosting, databases</w:t>
            </w:r>
          </w:p>
        </w:tc>
      </w:tr>
      <w:tr w:rsidR="00EB510C">
        <w:tblPrEx>
          <w:tblCellMar>
            <w:top w:w="0" w:type="dxa"/>
            <w:bottom w:w="0" w:type="dxa"/>
          </w:tblCellMar>
        </w:tblPrEx>
        <w:trPr>
          <w:cantSplit/>
        </w:trPr>
        <w:tc>
          <w:tcPr>
            <w:tcW w:w="20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QA Tester</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0.8 FTE, Weeks 13–24</w:t>
            </w:r>
          </w:p>
        </w:tc>
        <w:tc>
          <w:tcPr>
            <w:tcW w:w="2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Test planning, execution, defect tracking</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Software testing</w:t>
            </w:r>
          </w:p>
        </w:tc>
      </w:tr>
      <w:tr w:rsidR="00EB510C">
        <w:tblPrEx>
          <w:tblCellMar>
            <w:top w:w="0" w:type="dxa"/>
            <w:bottom w:w="0" w:type="dxa"/>
          </w:tblCellMar>
        </w:tblPrEx>
        <w:trPr>
          <w:cantSplit/>
        </w:trPr>
        <w:tc>
          <w:tcPr>
            <w:tcW w:w="20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Security Specialist (contract)</w:t>
            </w:r>
          </w:p>
        </w:tc>
        <w:tc>
          <w:tcPr>
            <w:tcW w:w="208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0.3 FTE, Weeks 7–8 and 16–17</w:t>
            </w:r>
          </w:p>
        </w:tc>
        <w:tc>
          <w:tcPr>
            <w:tcW w:w="27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Security design and testing</w:t>
            </w:r>
          </w:p>
        </w:tc>
        <w:tc>
          <w:tcPr>
            <w:tcW w:w="217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Web application security, OWASP ASVS</w:t>
            </w:r>
          </w:p>
        </w:tc>
      </w:tr>
      <w:tr w:rsidR="00EB510C">
        <w:tblPrEx>
          <w:tblCellMar>
            <w:top w:w="0" w:type="dxa"/>
            <w:bottom w:w="0" w:type="dxa"/>
          </w:tblCellMar>
        </w:tblPrEx>
        <w:trPr>
          <w:cantSplit/>
        </w:trPr>
        <w:tc>
          <w:tcPr>
            <w:tcW w:w="20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Instructional Designer</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1.0 FTE, Weeks 6–26</w:t>
            </w:r>
          </w:p>
        </w:tc>
        <w:tc>
          <w:tcPr>
            <w:tcW w:w="2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Content migration, course templates, training</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Learning design, Moodle courses</w:t>
            </w:r>
          </w:p>
        </w:tc>
      </w:tr>
      <w:tr w:rsidR="00EB510C">
        <w:tblPrEx>
          <w:tblCellMar>
            <w:top w:w="0" w:type="dxa"/>
            <w:bottom w:w="0" w:type="dxa"/>
          </w:tblCellMar>
        </w:tblPrEx>
        <w:trPr>
          <w:cantSplit/>
        </w:trPr>
        <w:tc>
          <w:tcPr>
            <w:tcW w:w="20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Lecturer Representatives (2)</w:t>
            </w:r>
          </w:p>
        </w:tc>
        <w:tc>
          <w:tcPr>
            <w:tcW w:w="208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0.1 FTE each</w:t>
            </w:r>
          </w:p>
        </w:tc>
        <w:tc>
          <w:tcPr>
            <w:tcW w:w="27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Requirements, pilot, UAT, champions</w:t>
            </w:r>
          </w:p>
        </w:tc>
        <w:tc>
          <w:tcPr>
            <w:tcW w:w="217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Teaching experience</w:t>
            </w:r>
          </w:p>
        </w:tc>
      </w:tr>
      <w:tr w:rsidR="00EB510C">
        <w:tblPrEx>
          <w:tblCellMar>
            <w:top w:w="0" w:type="dxa"/>
            <w:bottom w:w="0" w:type="dxa"/>
          </w:tblCellMar>
        </w:tblPrEx>
        <w:trPr>
          <w:cantSplit/>
        </w:trPr>
        <w:tc>
          <w:tcPr>
            <w:tcW w:w="20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Student Representative</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Workshops and pilot sessions</w:t>
            </w:r>
          </w:p>
        </w:tc>
        <w:tc>
          <w:tcPr>
            <w:tcW w:w="2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Requirements, pilot feedback, usability testing</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Current student</w:t>
            </w:r>
          </w:p>
        </w:tc>
      </w:tr>
      <w:tr w:rsidR="00EB510C">
        <w:tblPrEx>
          <w:tblCellMar>
            <w:top w:w="0" w:type="dxa"/>
            <w:bottom w:w="0" w:type="dxa"/>
          </w:tblCellMar>
        </w:tblPrEx>
        <w:trPr>
          <w:cantSplit/>
        </w:trPr>
        <w:tc>
          <w:tcPr>
            <w:tcW w:w="20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Support Staff</w:t>
            </w:r>
          </w:p>
        </w:tc>
        <w:tc>
          <w:tcPr>
            <w:tcW w:w="208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0.5 FTE from Week 18</w:t>
            </w:r>
          </w:p>
        </w:tc>
        <w:tc>
          <w:tcPr>
            <w:tcW w:w="276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Help desk during pilot and hypercare</w:t>
            </w:r>
          </w:p>
        </w:tc>
        <w:tc>
          <w:tcPr>
            <w:tcW w:w="217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IT support</w:t>
            </w:r>
          </w:p>
        </w:tc>
      </w:tr>
    </w:tbl>
    <w:p w:rsidR="00EB510C" w:rsidRDefault="00EB510C">
      <w:pPr>
        <w:spacing w:after="120"/>
      </w:pPr>
    </w:p>
    <w:p w:rsidR="00EB510C" w:rsidRDefault="003F5293">
      <w:pPr>
        <w:spacing w:after="160" w:line="360" w:lineRule="auto"/>
        <w:jc w:val="both"/>
      </w:pPr>
      <w:r>
        <w:t>Technical resources include cloud hosting for four environments, a GitHub organisation repository, a defect and issue tracker (GitHub Issues), a test management spreadsheet, and accessibility and security testing tools.</w:t>
      </w:r>
    </w:p>
    <w:p w:rsidR="00EB510C" w:rsidRDefault="003F5293">
      <w:pPr>
        <w:pStyle w:val="Heading2"/>
        <w:pageBreakBefore/>
      </w:pPr>
      <w:bookmarkStart w:id="45" w:name="_Toc100045"/>
      <w:r>
        <w:lastRenderedPageBreak/>
        <w:t>8.2 RACI Matrix</w:t>
      </w:r>
      <w:bookmarkEnd w:id="45"/>
    </w:p>
    <w:p w:rsidR="00EB510C" w:rsidRDefault="003F5293">
      <w:pPr>
        <w:spacing w:after="160" w:line="360" w:lineRule="auto"/>
        <w:jc w:val="both"/>
      </w:pPr>
      <w:r>
        <w:t>Each task has exactly one Accountable role to avoid ambiguity. R = Responsible, A = Accountable, C = Consulted, I = Informed.</w:t>
      </w:r>
    </w:p>
    <w:p w:rsidR="00EB510C" w:rsidRDefault="003F5293">
      <w:pPr>
        <w:keepNext/>
        <w:spacing w:before="200" w:after="80"/>
      </w:pPr>
      <w:r>
        <w:rPr>
          <w:b/>
          <w:bCs/>
        </w:rPr>
        <w:t xml:space="preserve">Table 17: </w:t>
      </w:r>
      <w:r>
        <w:rPr>
          <w:i/>
          <w:iCs/>
        </w:rPr>
        <w:t>RACI matrix for major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0"/>
        <w:gridCol w:w="747"/>
        <w:gridCol w:w="551"/>
        <w:gridCol w:w="551"/>
        <w:gridCol w:w="812"/>
        <w:gridCol w:w="812"/>
        <w:gridCol w:w="872"/>
        <w:gridCol w:w="551"/>
        <w:gridCol w:w="982"/>
        <w:gridCol w:w="901"/>
        <w:gridCol w:w="877"/>
      </w:tblGrid>
      <w:tr w:rsidR="00EB510C">
        <w:tblPrEx>
          <w:tblCellMar>
            <w:top w:w="0" w:type="dxa"/>
            <w:bottom w:w="0" w:type="dxa"/>
          </w:tblCellMar>
        </w:tblPrEx>
        <w:trPr>
          <w:cantSplit/>
          <w:tblHeader/>
        </w:trPr>
        <w:tc>
          <w:tcPr>
            <w:tcW w:w="137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Deliverable</w:t>
            </w:r>
          </w:p>
        </w:tc>
        <w:tc>
          <w:tcPr>
            <w:tcW w:w="747"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Sponsor</w:t>
            </w:r>
          </w:p>
        </w:tc>
        <w:tc>
          <w:tcPr>
            <w:tcW w:w="55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PM</w:t>
            </w:r>
          </w:p>
        </w:tc>
        <w:tc>
          <w:tcPr>
            <w:tcW w:w="55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BA</w:t>
            </w:r>
          </w:p>
        </w:tc>
        <w:tc>
          <w:tcPr>
            <w:tcW w:w="81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Tech Lead</w:t>
            </w:r>
          </w:p>
        </w:tc>
        <w:tc>
          <w:tcPr>
            <w:tcW w:w="81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LMS Admin</w:t>
            </w:r>
          </w:p>
        </w:tc>
        <w:tc>
          <w:tcPr>
            <w:tcW w:w="87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Infra Admin</w:t>
            </w:r>
          </w:p>
        </w:tc>
        <w:tc>
          <w:tcPr>
            <w:tcW w:w="55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QA</w:t>
            </w:r>
          </w:p>
        </w:tc>
        <w:tc>
          <w:tcPr>
            <w:tcW w:w="98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Instr. Designer</w:t>
            </w:r>
          </w:p>
        </w:tc>
        <w:tc>
          <w:tcPr>
            <w:tcW w:w="90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Lecturer Rep</w:t>
            </w:r>
          </w:p>
        </w:tc>
        <w:tc>
          <w:tcPr>
            <w:tcW w:w="877"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5"/>
                <w:szCs w:val="15"/>
              </w:rPr>
              <w:t>Student Rep</w:t>
            </w:r>
          </w:p>
        </w:tc>
      </w:tr>
      <w:tr w:rsidR="00EB510C">
        <w:tblPrEx>
          <w:tblCellMar>
            <w:top w:w="0" w:type="dxa"/>
            <w:bottom w:w="0" w:type="dxa"/>
          </w:tblCellMar>
        </w:tblPrEx>
        <w:trPr>
          <w:cantSplit/>
        </w:trPr>
        <w:tc>
          <w:tcPr>
            <w:tcW w:w="13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Project charter</w:t>
            </w:r>
          </w:p>
        </w:tc>
        <w:tc>
          <w:tcPr>
            <w:tcW w:w="7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A</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R</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8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9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90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8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r>
      <w:tr w:rsidR="00EB510C">
        <w:tblPrEx>
          <w:tblCellMar>
            <w:top w:w="0" w:type="dxa"/>
            <w:bottom w:w="0" w:type="dxa"/>
          </w:tblCellMar>
        </w:tblPrEx>
        <w:trPr>
          <w:cantSplit/>
        </w:trPr>
        <w:tc>
          <w:tcPr>
            <w:tcW w:w="137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Requirements specification</w:t>
            </w:r>
          </w:p>
        </w:tc>
        <w:tc>
          <w:tcPr>
            <w:tcW w:w="7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A</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R</w:t>
            </w:r>
          </w:p>
        </w:tc>
        <w:tc>
          <w:tcPr>
            <w:tcW w:w="8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8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87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9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90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87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r>
      <w:tr w:rsidR="00EB510C">
        <w:tblPrEx>
          <w:tblCellMar>
            <w:top w:w="0" w:type="dxa"/>
            <w:bottom w:w="0" w:type="dxa"/>
          </w:tblCellMar>
        </w:tblPrEx>
        <w:trPr>
          <w:cantSplit/>
        </w:trPr>
        <w:tc>
          <w:tcPr>
            <w:tcW w:w="13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Platform decision</w:t>
            </w:r>
          </w:p>
        </w:tc>
        <w:tc>
          <w:tcPr>
            <w:tcW w:w="7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A</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R</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R</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8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9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90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8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r>
      <w:tr w:rsidR="00EB510C">
        <w:tblPrEx>
          <w:tblCellMar>
            <w:top w:w="0" w:type="dxa"/>
            <w:bottom w:w="0" w:type="dxa"/>
          </w:tblCellMar>
        </w:tblPrEx>
        <w:trPr>
          <w:cantSplit/>
        </w:trPr>
        <w:tc>
          <w:tcPr>
            <w:tcW w:w="137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Architecture and security design</w:t>
            </w:r>
          </w:p>
        </w:tc>
        <w:tc>
          <w:tcPr>
            <w:tcW w:w="7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A</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8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R</w:t>
            </w:r>
          </w:p>
        </w:tc>
        <w:tc>
          <w:tcPr>
            <w:tcW w:w="8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87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R</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w:t>
            </w:r>
          </w:p>
        </w:tc>
        <w:tc>
          <w:tcPr>
            <w:tcW w:w="9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w:t>
            </w:r>
          </w:p>
        </w:tc>
        <w:tc>
          <w:tcPr>
            <w:tcW w:w="90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w:t>
            </w:r>
          </w:p>
        </w:tc>
        <w:tc>
          <w:tcPr>
            <w:tcW w:w="87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w:t>
            </w:r>
          </w:p>
        </w:tc>
      </w:tr>
      <w:tr w:rsidR="00EB510C">
        <w:tblPrEx>
          <w:tblCellMar>
            <w:top w:w="0" w:type="dxa"/>
            <w:bottom w:w="0" w:type="dxa"/>
          </w:tblCellMar>
        </w:tblPrEx>
        <w:trPr>
          <w:cantSplit/>
        </w:trPr>
        <w:tc>
          <w:tcPr>
            <w:tcW w:w="13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Environments and installation</w:t>
            </w:r>
          </w:p>
        </w:tc>
        <w:tc>
          <w:tcPr>
            <w:tcW w:w="7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A</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R</w:t>
            </w:r>
          </w:p>
        </w:tc>
        <w:tc>
          <w:tcPr>
            <w:tcW w:w="8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R</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9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90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8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r>
      <w:tr w:rsidR="00EB510C">
        <w:tblPrEx>
          <w:tblCellMar>
            <w:top w:w="0" w:type="dxa"/>
            <w:bottom w:w="0" w:type="dxa"/>
          </w:tblCellMar>
        </w:tblPrEx>
        <w:trPr>
          <w:cantSplit/>
        </w:trPr>
        <w:tc>
          <w:tcPr>
            <w:tcW w:w="137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Configuration and GitHub baseline</w:t>
            </w:r>
          </w:p>
        </w:tc>
        <w:tc>
          <w:tcPr>
            <w:tcW w:w="7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A</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8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R</w:t>
            </w:r>
          </w:p>
        </w:tc>
        <w:tc>
          <w:tcPr>
            <w:tcW w:w="8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R</w:t>
            </w:r>
          </w:p>
        </w:tc>
        <w:tc>
          <w:tcPr>
            <w:tcW w:w="87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9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90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w:t>
            </w:r>
          </w:p>
        </w:tc>
        <w:tc>
          <w:tcPr>
            <w:tcW w:w="87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w:t>
            </w:r>
          </w:p>
        </w:tc>
      </w:tr>
      <w:tr w:rsidR="00EB510C">
        <w:tblPrEx>
          <w:tblCellMar>
            <w:top w:w="0" w:type="dxa"/>
            <w:bottom w:w="0" w:type="dxa"/>
          </w:tblCellMar>
        </w:tblPrEx>
        <w:trPr>
          <w:cantSplit/>
        </w:trPr>
        <w:tc>
          <w:tcPr>
            <w:tcW w:w="13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Content migration</w:t>
            </w:r>
          </w:p>
        </w:tc>
        <w:tc>
          <w:tcPr>
            <w:tcW w:w="7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A</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8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9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R</w:t>
            </w:r>
          </w:p>
        </w:tc>
        <w:tc>
          <w:tcPr>
            <w:tcW w:w="90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8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r>
      <w:tr w:rsidR="00EB510C">
        <w:tblPrEx>
          <w:tblCellMar>
            <w:top w:w="0" w:type="dxa"/>
            <w:bottom w:w="0" w:type="dxa"/>
          </w:tblCellMar>
        </w:tblPrEx>
        <w:trPr>
          <w:cantSplit/>
        </w:trPr>
        <w:tc>
          <w:tcPr>
            <w:tcW w:w="137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Testing and UAT</w:t>
            </w:r>
          </w:p>
        </w:tc>
        <w:tc>
          <w:tcPr>
            <w:tcW w:w="7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A</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8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8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87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R</w:t>
            </w:r>
          </w:p>
        </w:tc>
        <w:tc>
          <w:tcPr>
            <w:tcW w:w="9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90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R</w:t>
            </w:r>
          </w:p>
        </w:tc>
        <w:tc>
          <w:tcPr>
            <w:tcW w:w="87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r>
      <w:tr w:rsidR="00EB510C">
        <w:tblPrEx>
          <w:tblCellMar>
            <w:top w:w="0" w:type="dxa"/>
            <w:bottom w:w="0" w:type="dxa"/>
          </w:tblCellMar>
        </w:tblPrEx>
        <w:trPr>
          <w:cantSplit/>
        </w:trPr>
        <w:tc>
          <w:tcPr>
            <w:tcW w:w="13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Training</w:t>
            </w:r>
          </w:p>
        </w:tc>
        <w:tc>
          <w:tcPr>
            <w:tcW w:w="7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A</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8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9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R</w:t>
            </w:r>
          </w:p>
        </w:tc>
        <w:tc>
          <w:tcPr>
            <w:tcW w:w="90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8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r>
      <w:tr w:rsidR="00EB510C">
        <w:tblPrEx>
          <w:tblCellMar>
            <w:top w:w="0" w:type="dxa"/>
            <w:bottom w:w="0" w:type="dxa"/>
          </w:tblCellMar>
        </w:tblPrEx>
        <w:trPr>
          <w:cantSplit/>
        </w:trPr>
        <w:tc>
          <w:tcPr>
            <w:tcW w:w="137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Pilot and remediation</w:t>
            </w:r>
          </w:p>
        </w:tc>
        <w:tc>
          <w:tcPr>
            <w:tcW w:w="7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A</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8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R</w:t>
            </w:r>
          </w:p>
        </w:tc>
        <w:tc>
          <w:tcPr>
            <w:tcW w:w="8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R</w:t>
            </w:r>
          </w:p>
        </w:tc>
        <w:tc>
          <w:tcPr>
            <w:tcW w:w="87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R</w:t>
            </w:r>
          </w:p>
        </w:tc>
        <w:tc>
          <w:tcPr>
            <w:tcW w:w="9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90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R</w:t>
            </w:r>
          </w:p>
        </w:tc>
        <w:tc>
          <w:tcPr>
            <w:tcW w:w="87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r>
      <w:tr w:rsidR="00EB510C">
        <w:tblPrEx>
          <w:tblCellMar>
            <w:top w:w="0" w:type="dxa"/>
            <w:bottom w:w="0" w:type="dxa"/>
          </w:tblCellMar>
        </w:tblPrEx>
        <w:trPr>
          <w:cantSplit/>
        </w:trPr>
        <w:tc>
          <w:tcPr>
            <w:tcW w:w="13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Go-live approval</w:t>
            </w:r>
          </w:p>
        </w:tc>
        <w:tc>
          <w:tcPr>
            <w:tcW w:w="7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A</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R</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8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8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5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9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c>
          <w:tcPr>
            <w:tcW w:w="90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C</w:t>
            </w:r>
          </w:p>
        </w:tc>
        <w:tc>
          <w:tcPr>
            <w:tcW w:w="8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5"/>
                <w:szCs w:val="15"/>
              </w:rPr>
              <w:t>I</w:t>
            </w:r>
          </w:p>
        </w:tc>
      </w:tr>
      <w:tr w:rsidR="00EB510C">
        <w:tblPrEx>
          <w:tblCellMar>
            <w:top w:w="0" w:type="dxa"/>
            <w:bottom w:w="0" w:type="dxa"/>
          </w:tblCellMar>
        </w:tblPrEx>
        <w:trPr>
          <w:cantSplit/>
        </w:trPr>
        <w:tc>
          <w:tcPr>
            <w:tcW w:w="137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Handover and closure</w:t>
            </w:r>
          </w:p>
        </w:tc>
        <w:tc>
          <w:tcPr>
            <w:tcW w:w="7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A</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R</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8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8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R</w:t>
            </w:r>
          </w:p>
        </w:tc>
        <w:tc>
          <w:tcPr>
            <w:tcW w:w="87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R</w:t>
            </w:r>
          </w:p>
        </w:tc>
        <w:tc>
          <w:tcPr>
            <w:tcW w:w="55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w:t>
            </w:r>
          </w:p>
        </w:tc>
        <w:tc>
          <w:tcPr>
            <w:tcW w:w="98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C</w:t>
            </w:r>
          </w:p>
        </w:tc>
        <w:tc>
          <w:tcPr>
            <w:tcW w:w="90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w:t>
            </w:r>
          </w:p>
        </w:tc>
        <w:tc>
          <w:tcPr>
            <w:tcW w:w="87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5"/>
                <w:szCs w:val="15"/>
              </w:rPr>
              <w:t>I</w:t>
            </w:r>
          </w:p>
        </w:tc>
      </w:tr>
    </w:tbl>
    <w:p w:rsidR="00EB510C" w:rsidRDefault="00EB510C">
      <w:pPr>
        <w:spacing w:after="120"/>
      </w:pPr>
    </w:p>
    <w:p w:rsidR="00EB510C" w:rsidRDefault="003F5293">
      <w:pPr>
        <w:pStyle w:val="Heading2"/>
      </w:pPr>
      <w:bookmarkStart w:id="46" w:name="_Toc100046"/>
      <w:r>
        <w:t>8.3 Resource Conflicts and Escalation</w:t>
      </w:r>
      <w:bookmarkEnd w:id="46"/>
    </w:p>
    <w:p w:rsidR="00EB510C" w:rsidRDefault="003F5293">
      <w:pPr>
        <w:spacing w:after="160" w:line="360" w:lineRule="auto"/>
        <w:jc w:val="both"/>
      </w:pPr>
      <w:r>
        <w:t>The first resource conflict occurs in Weeks 14–16, when the Instructional Designer is needed for both content migration (7.2) and training materials (9.1), and the LMS Administrator supports both testing and migration. To manage this, training material development may use its two weeks of float, and a casual content assistant may be engaged from contingency if migration falls behind. A second peak occurs in Weeks 19–21, when the Instructional Designer delivers the training rollout (9.2) while supporting pilot lecturers. Lecturer champions trained in task 9.1 act as co-trainers, and task 9.2 has two weeks of float before the go/no-go review. Lecturer representatives' availability is protected by agreeing workshop and pilot dates with heads of school in Week 2.</w:t>
      </w:r>
    </w:p>
    <w:p w:rsidR="00EB510C" w:rsidRDefault="003F5293">
      <w:pPr>
        <w:spacing w:after="160" w:line="360" w:lineRule="auto"/>
        <w:jc w:val="both"/>
      </w:pPr>
      <w:r>
        <w:t>Escalation follows a clear path: team members raise resource issues with the project manager; the project manager resolves those within the approved plan; and anything affecting the baseline is escalated to the sponsor through the steering committee.</w:t>
      </w:r>
    </w:p>
    <w:p w:rsidR="00EB510C" w:rsidRDefault="003F5293">
      <w:pPr>
        <w:pStyle w:val="Heading1"/>
        <w:pageBreakBefore/>
      </w:pPr>
      <w:bookmarkStart w:id="47" w:name="_Toc243565016"/>
      <w:r>
        <w:lastRenderedPageBreak/>
        <w:t>9. Risk Identification, Analysis and Mitigation</w:t>
      </w:r>
      <w:bookmarkEnd w:id="47"/>
    </w:p>
    <w:p w:rsidR="00EB510C" w:rsidRDefault="003F5293">
      <w:pPr>
        <w:pStyle w:val="Heading2"/>
      </w:pPr>
      <w:bookmarkStart w:id="48" w:name="_Toc100048"/>
      <w:r>
        <w:t>9.1 Risk Assessment Method</w:t>
      </w:r>
      <w:bookmarkEnd w:id="48"/>
    </w:p>
    <w:p w:rsidR="00EB510C" w:rsidRDefault="003F5293">
      <w:pPr>
        <w:spacing w:after="160" w:line="360" w:lineRule="auto"/>
        <w:jc w:val="both"/>
      </w:pPr>
      <w:r>
        <w:t xml:space="preserve">Risks were identified from the literature (Section 2), the scope and the schedule. Each risk is assessed on a five-point likelihood scale and a five-point impact scale, and the risk score is likelihood multiplied by impact. Risks are distinguished from issues: a risk is an uncertain event that may happen, while an issue is a problem that has already occurred and is managed through Section 10.</w:t>
      </w:r>
    </w:p>
    <w:p w:rsidR="00EB510C" w:rsidRDefault="003F5293">
      <w:pPr>
        <w:keepNext/>
        <w:spacing w:before="200" w:after="80"/>
      </w:pPr>
      <w:r>
        <w:rPr>
          <w:b/>
          <w:bCs/>
        </w:rPr>
        <w:t xml:space="preserve">Table 18: </w:t>
      </w:r>
      <w:r>
        <w:rPr>
          <w:i/>
          <w:iCs/>
        </w:rPr>
        <w:t>Likelihood and impact scales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3"/>
        <w:gridCol w:w="2861"/>
        <w:gridCol w:w="4572"/>
      </w:tblGrid>
      <w:tr w:rsidR="00EB510C">
        <w:tblPrEx>
          <w:tblCellMar>
            <w:top w:w="0" w:type="dxa"/>
            <w:bottom w:w="0" w:type="dxa"/>
          </w:tblCellMar>
        </w:tblPrEx>
        <w:trPr>
          <w:cantSplit/>
          <w:tblHeader/>
        </w:trPr>
        <w:tc>
          <w:tcPr>
            <w:tcW w:w="1593"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Score</w:t>
            </w:r>
          </w:p>
        </w:tc>
        <w:tc>
          <w:tcPr>
            <w:tcW w:w="286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Likelihood</w:t>
            </w:r>
          </w:p>
        </w:tc>
        <w:tc>
          <w:tcPr>
            <w:tcW w:w="457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Impact</w:t>
            </w:r>
          </w:p>
        </w:tc>
      </w:tr>
      <w:tr w:rsidR="00EB510C">
        <w:tblPrEx>
          <w:tblCellMar>
            <w:top w:w="0" w:type="dxa"/>
            <w:bottom w:w="0" w:type="dxa"/>
          </w:tblCellMar>
        </w:tblPrEx>
        <w:trPr>
          <w:cantSplit/>
        </w:trPr>
        <w:tc>
          <w:tcPr>
            <w:tcW w:w="1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1</w:t>
            </w:r>
          </w:p>
        </w:tc>
        <w:tc>
          <w:tcPr>
            <w:tcW w:w="28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Rare (under 10%)</w:t>
            </w:r>
          </w:p>
        </w:tc>
        <w:tc>
          <w:tcPr>
            <w:tcW w:w="45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Negligible: no noticeable effect on objectives</w:t>
            </w:r>
          </w:p>
        </w:tc>
      </w:tr>
      <w:tr w:rsidR="00EB510C">
        <w:tblPrEx>
          <w:tblCellMar>
            <w:top w:w="0" w:type="dxa"/>
            <w:bottom w:w="0" w:type="dxa"/>
          </w:tblCellMar>
        </w:tblPrEx>
        <w:trPr>
          <w:cantSplit/>
        </w:trPr>
        <w:tc>
          <w:tcPr>
            <w:tcW w:w="159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2</w:t>
            </w:r>
          </w:p>
        </w:tc>
        <w:tc>
          <w:tcPr>
            <w:tcW w:w="286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Unlikely (10–30%)</w:t>
            </w:r>
          </w:p>
        </w:tc>
        <w:tc>
          <w:tcPr>
            <w:tcW w:w="457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Minor: absorbed within float or contingency</w:t>
            </w:r>
          </w:p>
        </w:tc>
      </w:tr>
      <w:tr w:rsidR="00EB510C">
        <w:tblPrEx>
          <w:tblCellMar>
            <w:top w:w="0" w:type="dxa"/>
            <w:bottom w:w="0" w:type="dxa"/>
          </w:tblCellMar>
        </w:tblPrEx>
        <w:trPr>
          <w:cantSplit/>
        </w:trPr>
        <w:tc>
          <w:tcPr>
            <w:tcW w:w="1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3</w:t>
            </w:r>
          </w:p>
        </w:tc>
        <w:tc>
          <w:tcPr>
            <w:tcW w:w="28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Possible (31–50%)</w:t>
            </w:r>
          </w:p>
        </w:tc>
        <w:tc>
          <w:tcPr>
            <w:tcW w:w="45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Moderate: delays a milestone by up to two weeks or affects one objective</w:t>
            </w:r>
          </w:p>
        </w:tc>
      </w:tr>
      <w:tr w:rsidR="00EB510C">
        <w:tblPrEx>
          <w:tblCellMar>
            <w:top w:w="0" w:type="dxa"/>
            <w:bottom w:w="0" w:type="dxa"/>
          </w:tblCellMar>
        </w:tblPrEx>
        <w:trPr>
          <w:cantSplit/>
        </w:trPr>
        <w:tc>
          <w:tcPr>
            <w:tcW w:w="159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4</w:t>
            </w:r>
          </w:p>
        </w:tc>
        <w:tc>
          <w:tcPr>
            <w:tcW w:w="286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Likely (51–80%)</w:t>
            </w:r>
          </w:p>
        </w:tc>
        <w:tc>
          <w:tcPr>
            <w:tcW w:w="457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Major: delays go-live or significantly affects quality or budget</w:t>
            </w:r>
          </w:p>
        </w:tc>
      </w:tr>
      <w:tr w:rsidR="00EB510C">
        <w:tblPrEx>
          <w:tblCellMar>
            <w:top w:w="0" w:type="dxa"/>
            <w:bottom w:w="0" w:type="dxa"/>
          </w:tblCellMar>
        </w:tblPrEx>
        <w:trPr>
          <w:cantSplit/>
        </w:trPr>
        <w:tc>
          <w:tcPr>
            <w:tcW w:w="1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5</w:t>
            </w:r>
          </w:p>
        </w:tc>
        <w:tc>
          <w:tcPr>
            <w:tcW w:w="28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Almost certain (over 80%)</w:t>
            </w:r>
          </w:p>
        </w:tc>
        <w:tc>
          <w:tcPr>
            <w:tcW w:w="45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Severe: project failure, data breach or regulatory breach</w:t>
            </w:r>
          </w:p>
        </w:tc>
      </w:tr>
    </w:tbl>
    <w:p w:rsidR="00EB510C" w:rsidRDefault="00EB510C">
      <w:pPr>
        <w:spacing w:after="120"/>
      </w:pPr>
    </w:p>
    <w:p w:rsidR="00EB510C" w:rsidRDefault="003F5293">
      <w:pPr>
        <w:spacing w:after="160" w:line="360" w:lineRule="auto"/>
        <w:jc w:val="both"/>
      </w:pPr>
      <w:r>
        <w:t>Rating bands: 1–6 Low, 8–12 Medium, 15–25 High. Residual risk is assessed on the same scales, assuming the preventive controls are implemented effectively. Controls that make the event less probable reduce likelihood; contingency arrangements that limit the consequences reduce impact. The residual score is again likelihood multiplied by impact.</w:t>
      </w:r>
    </w:p>
    <w:p w:rsidR="00EB510C" w:rsidRDefault="003F5293">
      <w:pPr>
        <w:pStyle w:val="Heading2"/>
      </w:pPr>
      <w:bookmarkStart w:id="49" w:name="_Toc100049"/>
      <w:r>
        <w:t>9.2 Risk Register</w:t>
      </w:r>
      <w:bookmarkEnd w:id="49"/>
    </w:p>
    <w:p w:rsidR="00EB510C" w:rsidRDefault="003F5293">
      <w:pPr>
        <w:keepNext/>
        <w:spacing w:before="200" w:after="80"/>
      </w:pPr>
      <w:r>
        <w:rPr>
          <w:b/>
          <w:bCs/>
        </w:rPr>
        <w:t xml:space="preserve">Table 19: </w:t>
      </w:r>
      <w:r>
        <w:rPr>
          <w:i/>
          <w:iCs/>
        </w:rPr>
        <w:t>Risk register — analysis (L = likelihood, I = impact)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
        <w:gridCol w:w="2806"/>
        <w:gridCol w:w="750"/>
        <w:gridCol w:w="750"/>
        <w:gridCol w:w="978"/>
        <w:gridCol w:w="1031"/>
        <w:gridCol w:w="1848"/>
      </w:tblGrid>
      <w:tr w:rsidR="00EB510C">
        <w:tblPrEx>
          <w:tblCellMar>
            <w:top w:w="0" w:type="dxa"/>
            <w:bottom w:w="0" w:type="dxa"/>
          </w:tblCellMar>
        </w:tblPrEx>
        <w:trPr>
          <w:cantSplit/>
          <w:tblHeader/>
        </w:trPr>
        <w:tc>
          <w:tcPr>
            <w:tcW w:w="863"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ID</w:t>
            </w:r>
          </w:p>
        </w:tc>
        <w:tc>
          <w:tcPr>
            <w:tcW w:w="2806"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Risk description and cause</w:t>
            </w:r>
          </w:p>
        </w:tc>
        <w:tc>
          <w:tcPr>
            <w:tcW w:w="75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L</w:t>
            </w:r>
          </w:p>
        </w:tc>
        <w:tc>
          <w:tcPr>
            <w:tcW w:w="75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I</w:t>
            </w:r>
          </w:p>
        </w:tc>
        <w:tc>
          <w:tcPr>
            <w:tcW w:w="978"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Score</w:t>
            </w:r>
          </w:p>
        </w:tc>
        <w:tc>
          <w:tcPr>
            <w:tcW w:w="103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Rating</w:t>
            </w:r>
          </w:p>
        </w:tc>
        <w:tc>
          <w:tcPr>
            <w:tcW w:w="1848"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Owner</w:t>
            </w:r>
          </w:p>
        </w:tc>
      </w:tr>
      <w:tr w:rsidR="00EB510C">
        <w:tblPrEx>
          <w:tblCellMar>
            <w:top w:w="0" w:type="dxa"/>
            <w:bottom w:w="0" w:type="dxa"/>
          </w:tblCellMar>
        </w:tblPrEx>
        <w:trPr>
          <w:cantSplit/>
        </w:trPr>
        <w:tc>
          <w:tcPr>
            <w:tcW w:w="8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R1</w:t>
            </w:r>
          </w:p>
        </w:tc>
        <w:tc>
          <w:tcPr>
            <w:tcW w:w="28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Low lecturer adoption because staff fear extra workload and see little benefit [1]</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4</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4</w:t>
            </w:r>
          </w:p>
        </w:tc>
        <w:tc>
          <w:tcPr>
            <w:tcW w:w="9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16</w:t>
            </w:r>
          </w:p>
        </w:tc>
        <w:tc>
          <w:tcPr>
            <w:tcW w:w="10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High</w:t>
            </w:r>
          </w:p>
        </w:tc>
        <w:tc>
          <w:tcPr>
            <w:tcW w:w="18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Project Manager</w:t>
            </w:r>
          </w:p>
        </w:tc>
      </w:tr>
      <w:tr w:rsidR="00EB510C">
        <w:tblPrEx>
          <w:tblCellMar>
            <w:top w:w="0" w:type="dxa"/>
            <w:bottom w:w="0" w:type="dxa"/>
          </w:tblCellMar>
        </w:tblPrEx>
        <w:trPr>
          <w:cantSplit/>
        </w:trPr>
        <w:tc>
          <w:tcPr>
            <w:tcW w:w="86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R2</w:t>
            </w:r>
          </w:p>
        </w:tc>
        <w:tc>
          <w:tcPr>
            <w:tcW w:w="280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Resistance to change and insufficient time to redesign courses [2]</w:t>
            </w:r>
          </w:p>
        </w:tc>
        <w:tc>
          <w:tcPr>
            <w:tcW w:w="7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4</w:t>
            </w:r>
          </w:p>
        </w:tc>
        <w:tc>
          <w:tcPr>
            <w:tcW w:w="7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3</w:t>
            </w:r>
          </w:p>
        </w:tc>
        <w:tc>
          <w:tcPr>
            <w:tcW w:w="97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12</w:t>
            </w:r>
          </w:p>
        </w:tc>
        <w:tc>
          <w:tcPr>
            <w:tcW w:w="10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Medium</w:t>
            </w:r>
          </w:p>
        </w:tc>
        <w:tc>
          <w:tcPr>
            <w:tcW w:w="184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Instructional Designer</w:t>
            </w:r>
          </w:p>
        </w:tc>
      </w:tr>
      <w:tr w:rsidR="00EB510C">
        <w:tblPrEx>
          <w:tblCellMar>
            <w:top w:w="0" w:type="dxa"/>
            <w:bottom w:w="0" w:type="dxa"/>
          </w:tblCellMar>
        </w:tblPrEx>
        <w:trPr>
          <w:cantSplit/>
        </w:trPr>
        <w:tc>
          <w:tcPr>
            <w:tcW w:w="8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R3</w:t>
            </w:r>
          </w:p>
        </w:tc>
        <w:tc>
          <w:tcPr>
            <w:tcW w:w="28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Integration problems with enrolment CSV exports from the student information system [5]</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3</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3</w:t>
            </w:r>
          </w:p>
        </w:tc>
        <w:tc>
          <w:tcPr>
            <w:tcW w:w="9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9</w:t>
            </w:r>
          </w:p>
        </w:tc>
        <w:tc>
          <w:tcPr>
            <w:tcW w:w="10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Medium</w:t>
            </w:r>
          </w:p>
        </w:tc>
        <w:tc>
          <w:tcPr>
            <w:tcW w:w="18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LMS Administrator</w:t>
            </w:r>
          </w:p>
        </w:tc>
      </w:tr>
      <w:tr w:rsidR="00EB510C">
        <w:tblPrEx>
          <w:tblCellMar>
            <w:top w:w="0" w:type="dxa"/>
            <w:bottom w:w="0" w:type="dxa"/>
          </w:tblCellMar>
        </w:tblPrEx>
        <w:trPr>
          <w:cantSplit/>
        </w:trPr>
        <w:tc>
          <w:tcPr>
            <w:tcW w:w="86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R4</w:t>
            </w:r>
          </w:p>
        </w:tc>
        <w:tc>
          <w:tcPr>
            <w:tcW w:w="280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Content migration errors or delays due to inconsistent legacy content</w:t>
            </w:r>
          </w:p>
        </w:tc>
        <w:tc>
          <w:tcPr>
            <w:tcW w:w="7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3</w:t>
            </w:r>
          </w:p>
        </w:tc>
        <w:tc>
          <w:tcPr>
            <w:tcW w:w="7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4</w:t>
            </w:r>
          </w:p>
        </w:tc>
        <w:tc>
          <w:tcPr>
            <w:tcW w:w="97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12</w:t>
            </w:r>
          </w:p>
        </w:tc>
        <w:tc>
          <w:tcPr>
            <w:tcW w:w="10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Medium</w:t>
            </w:r>
          </w:p>
        </w:tc>
        <w:tc>
          <w:tcPr>
            <w:tcW w:w="184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Instructional Designer</w:t>
            </w:r>
          </w:p>
        </w:tc>
      </w:tr>
      <w:tr w:rsidR="00EB510C">
        <w:tblPrEx>
          <w:tblCellMar>
            <w:top w:w="0" w:type="dxa"/>
            <w:bottom w:w="0" w:type="dxa"/>
          </w:tblCellMar>
        </w:tblPrEx>
        <w:trPr>
          <w:cantSplit/>
        </w:trPr>
        <w:tc>
          <w:tcPr>
            <w:tcW w:w="8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R5</w:t>
            </w:r>
          </w:p>
        </w:tc>
        <w:tc>
          <w:tcPr>
            <w:tcW w:w="28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Data breach or unauthorised access due to misconfigured roles or unpatched software</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2</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5</w:t>
            </w:r>
          </w:p>
        </w:tc>
        <w:tc>
          <w:tcPr>
            <w:tcW w:w="9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10</w:t>
            </w:r>
          </w:p>
        </w:tc>
        <w:tc>
          <w:tcPr>
            <w:tcW w:w="10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Medium</w:t>
            </w:r>
          </w:p>
        </w:tc>
        <w:tc>
          <w:tcPr>
            <w:tcW w:w="18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Infrastructure Administrator</w:t>
            </w:r>
          </w:p>
        </w:tc>
      </w:tr>
      <w:tr w:rsidR="00EB510C">
        <w:tblPrEx>
          <w:tblCellMar>
            <w:top w:w="0" w:type="dxa"/>
            <w:bottom w:w="0" w:type="dxa"/>
          </w:tblCellMar>
        </w:tblPrEx>
        <w:trPr>
          <w:cantSplit/>
        </w:trPr>
        <w:tc>
          <w:tcPr>
            <w:tcW w:w="86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R6</w:t>
            </w:r>
          </w:p>
        </w:tc>
        <w:tc>
          <w:tcPr>
            <w:tcW w:w="280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Privacy non-compliance in handling student personal information</w:t>
            </w:r>
          </w:p>
        </w:tc>
        <w:tc>
          <w:tcPr>
            <w:tcW w:w="7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2</w:t>
            </w:r>
          </w:p>
        </w:tc>
        <w:tc>
          <w:tcPr>
            <w:tcW w:w="7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5</w:t>
            </w:r>
          </w:p>
        </w:tc>
        <w:tc>
          <w:tcPr>
            <w:tcW w:w="97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10</w:t>
            </w:r>
          </w:p>
        </w:tc>
        <w:tc>
          <w:tcPr>
            <w:tcW w:w="10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Medium</w:t>
            </w:r>
          </w:p>
        </w:tc>
        <w:tc>
          <w:tcPr>
            <w:tcW w:w="184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Project Sponsor</w:t>
            </w:r>
          </w:p>
        </w:tc>
      </w:tr>
      <w:tr w:rsidR="00EB510C">
        <w:tblPrEx>
          <w:tblCellMar>
            <w:top w:w="0" w:type="dxa"/>
            <w:bottom w:w="0" w:type="dxa"/>
          </w:tblCellMar>
        </w:tblPrEx>
        <w:trPr>
          <w:cantSplit/>
        </w:trPr>
        <w:tc>
          <w:tcPr>
            <w:tcW w:w="8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R7</w:t>
            </w:r>
          </w:p>
        </w:tc>
        <w:tc>
          <w:tcPr>
            <w:tcW w:w="28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Delayed requirements approval because stakeholders are unavailable</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3</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3</w:t>
            </w:r>
          </w:p>
        </w:tc>
        <w:tc>
          <w:tcPr>
            <w:tcW w:w="9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9</w:t>
            </w:r>
          </w:p>
        </w:tc>
        <w:tc>
          <w:tcPr>
            <w:tcW w:w="10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Medium</w:t>
            </w:r>
          </w:p>
        </w:tc>
        <w:tc>
          <w:tcPr>
            <w:tcW w:w="18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Business Analyst</w:t>
            </w:r>
          </w:p>
        </w:tc>
      </w:tr>
      <w:tr w:rsidR="00EB510C">
        <w:tblPrEx>
          <w:tblCellMar>
            <w:top w:w="0" w:type="dxa"/>
            <w:bottom w:w="0" w:type="dxa"/>
          </w:tblCellMar>
        </w:tblPrEx>
        <w:trPr>
          <w:cantSplit/>
        </w:trPr>
        <w:tc>
          <w:tcPr>
            <w:tcW w:w="86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lastRenderedPageBreak/>
              <w:t>R8</w:t>
            </w:r>
          </w:p>
        </w:tc>
        <w:tc>
          <w:tcPr>
            <w:tcW w:w="280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Key resource shortage (e.g., LMS Administrator or Instructional Designer unavailable) [5]</w:t>
            </w:r>
          </w:p>
        </w:tc>
        <w:tc>
          <w:tcPr>
            <w:tcW w:w="7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3</w:t>
            </w:r>
          </w:p>
        </w:tc>
        <w:tc>
          <w:tcPr>
            <w:tcW w:w="7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4</w:t>
            </w:r>
          </w:p>
        </w:tc>
        <w:tc>
          <w:tcPr>
            <w:tcW w:w="97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12</w:t>
            </w:r>
          </w:p>
        </w:tc>
        <w:tc>
          <w:tcPr>
            <w:tcW w:w="10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Medium</w:t>
            </w:r>
          </w:p>
        </w:tc>
        <w:tc>
          <w:tcPr>
            <w:tcW w:w="184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Project Manager</w:t>
            </w:r>
          </w:p>
        </w:tc>
      </w:tr>
      <w:tr w:rsidR="00EB510C">
        <w:tblPrEx>
          <w:tblCellMar>
            <w:top w:w="0" w:type="dxa"/>
            <w:bottom w:w="0" w:type="dxa"/>
          </w:tblCellMar>
        </w:tblPrEx>
        <w:trPr>
          <w:cantSplit/>
        </w:trPr>
        <w:tc>
          <w:tcPr>
            <w:tcW w:w="8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R9</w:t>
            </w:r>
          </w:p>
        </w:tc>
        <w:tc>
          <w:tcPr>
            <w:tcW w:w="28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Dependence on community support or limited in-house Moodle skills</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3</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3</w:t>
            </w:r>
          </w:p>
        </w:tc>
        <w:tc>
          <w:tcPr>
            <w:tcW w:w="9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9</w:t>
            </w:r>
          </w:p>
        </w:tc>
        <w:tc>
          <w:tcPr>
            <w:tcW w:w="10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Medium</w:t>
            </w:r>
          </w:p>
        </w:tc>
        <w:tc>
          <w:tcPr>
            <w:tcW w:w="18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Technical Lead</w:t>
            </w:r>
          </w:p>
        </w:tc>
      </w:tr>
      <w:tr w:rsidR="00EB510C">
        <w:tblPrEx>
          <w:tblCellMar>
            <w:top w:w="0" w:type="dxa"/>
            <w:bottom w:w="0" w:type="dxa"/>
          </w:tblCellMar>
        </w:tblPrEx>
        <w:trPr>
          <w:cantSplit/>
        </w:trPr>
        <w:tc>
          <w:tcPr>
            <w:tcW w:w="86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R10</w:t>
            </w:r>
          </w:p>
        </w:tc>
        <w:tc>
          <w:tcPr>
            <w:tcW w:w="280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Plugin incompatibility or unsupported customisation breaks upgrades</w:t>
            </w:r>
          </w:p>
        </w:tc>
        <w:tc>
          <w:tcPr>
            <w:tcW w:w="7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3</w:t>
            </w:r>
          </w:p>
        </w:tc>
        <w:tc>
          <w:tcPr>
            <w:tcW w:w="7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3</w:t>
            </w:r>
          </w:p>
        </w:tc>
        <w:tc>
          <w:tcPr>
            <w:tcW w:w="97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9</w:t>
            </w:r>
          </w:p>
        </w:tc>
        <w:tc>
          <w:tcPr>
            <w:tcW w:w="10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Medium</w:t>
            </w:r>
          </w:p>
        </w:tc>
        <w:tc>
          <w:tcPr>
            <w:tcW w:w="184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Technical Lead</w:t>
            </w:r>
          </w:p>
        </w:tc>
      </w:tr>
      <w:tr w:rsidR="00EB510C">
        <w:tblPrEx>
          <w:tblCellMar>
            <w:top w:w="0" w:type="dxa"/>
            <w:bottom w:w="0" w:type="dxa"/>
          </w:tblCellMar>
        </w:tblPrEx>
        <w:trPr>
          <w:cantSplit/>
        </w:trPr>
        <w:tc>
          <w:tcPr>
            <w:tcW w:w="8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R11</w:t>
            </w:r>
          </w:p>
        </w:tc>
        <w:tc>
          <w:tcPr>
            <w:tcW w:w="28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Poor usability or accessibility failures in core student workflows</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3</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4</w:t>
            </w:r>
          </w:p>
        </w:tc>
        <w:tc>
          <w:tcPr>
            <w:tcW w:w="9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12</w:t>
            </w:r>
          </w:p>
        </w:tc>
        <w:tc>
          <w:tcPr>
            <w:tcW w:w="10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Medium</w:t>
            </w:r>
          </w:p>
        </w:tc>
        <w:tc>
          <w:tcPr>
            <w:tcW w:w="18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QA Tester</w:t>
            </w:r>
          </w:p>
        </w:tc>
      </w:tr>
      <w:tr w:rsidR="00EB510C">
        <w:tblPrEx>
          <w:tblCellMar>
            <w:top w:w="0" w:type="dxa"/>
            <w:bottom w:w="0" w:type="dxa"/>
          </w:tblCellMar>
        </w:tblPrEx>
        <w:trPr>
          <w:cantSplit/>
        </w:trPr>
        <w:tc>
          <w:tcPr>
            <w:tcW w:w="86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R12</w:t>
            </w:r>
          </w:p>
        </w:tc>
        <w:tc>
          <w:tcPr>
            <w:tcW w:w="280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Backup or recovery failure leading to data loss</w:t>
            </w:r>
          </w:p>
        </w:tc>
        <w:tc>
          <w:tcPr>
            <w:tcW w:w="7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2</w:t>
            </w:r>
          </w:p>
        </w:tc>
        <w:tc>
          <w:tcPr>
            <w:tcW w:w="7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5</w:t>
            </w:r>
          </w:p>
        </w:tc>
        <w:tc>
          <w:tcPr>
            <w:tcW w:w="97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10</w:t>
            </w:r>
          </w:p>
        </w:tc>
        <w:tc>
          <w:tcPr>
            <w:tcW w:w="10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Medium</w:t>
            </w:r>
          </w:p>
        </w:tc>
        <w:tc>
          <w:tcPr>
            <w:tcW w:w="184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Infrastructure Administrator</w:t>
            </w:r>
          </w:p>
        </w:tc>
      </w:tr>
      <w:tr w:rsidR="00EB510C">
        <w:tblPrEx>
          <w:tblCellMar>
            <w:top w:w="0" w:type="dxa"/>
            <w:bottom w:w="0" w:type="dxa"/>
          </w:tblCellMar>
        </w:tblPrEx>
        <w:trPr>
          <w:cantSplit/>
        </w:trPr>
        <w:tc>
          <w:tcPr>
            <w:tcW w:w="8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R13</w:t>
            </w:r>
          </w:p>
        </w:tc>
        <w:tc>
          <w:tcPr>
            <w:tcW w:w="28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Performance problems at peak load (e.g., assessment deadlines)</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2</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4</w:t>
            </w:r>
          </w:p>
        </w:tc>
        <w:tc>
          <w:tcPr>
            <w:tcW w:w="9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8</w:t>
            </w:r>
          </w:p>
        </w:tc>
        <w:tc>
          <w:tcPr>
            <w:tcW w:w="10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Medium</w:t>
            </w:r>
          </w:p>
        </w:tc>
        <w:tc>
          <w:tcPr>
            <w:tcW w:w="18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Infrastructure Administrator</w:t>
            </w:r>
          </w:p>
        </w:tc>
      </w:tr>
      <w:tr w:rsidR="00EB510C">
        <w:tblPrEx>
          <w:tblCellMar>
            <w:top w:w="0" w:type="dxa"/>
            <w:bottom w:w="0" w:type="dxa"/>
          </w:tblCellMar>
        </w:tblPrEx>
        <w:trPr>
          <w:cantSplit/>
        </w:trPr>
        <w:tc>
          <w:tcPr>
            <w:tcW w:w="86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R14</w:t>
            </w:r>
          </w:p>
        </w:tc>
        <w:tc>
          <w:tcPr>
            <w:tcW w:w="2806"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Schedule overrun pushes go-live into a teaching period</w:t>
            </w:r>
          </w:p>
        </w:tc>
        <w:tc>
          <w:tcPr>
            <w:tcW w:w="7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3</w:t>
            </w:r>
          </w:p>
        </w:tc>
        <w:tc>
          <w:tcPr>
            <w:tcW w:w="7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4</w:t>
            </w:r>
          </w:p>
        </w:tc>
        <w:tc>
          <w:tcPr>
            <w:tcW w:w="97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12</w:t>
            </w:r>
          </w:p>
        </w:tc>
        <w:tc>
          <w:tcPr>
            <w:tcW w:w="10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Medium</w:t>
            </w:r>
          </w:p>
        </w:tc>
        <w:tc>
          <w:tcPr>
            <w:tcW w:w="184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Project Manager</w:t>
            </w:r>
          </w:p>
        </w:tc>
      </w:tr>
    </w:tbl>
    <w:p w:rsidR="00EB510C" w:rsidRDefault="00EB510C">
      <w:pPr>
        <w:spacing w:after="120"/>
      </w:pPr>
    </w:p>
    <w:p w:rsidR="00EB510C" w:rsidRDefault="003F5293">
      <w:pPr>
        <w:keepNext/>
        <w:spacing w:before="200" w:after="80"/>
      </w:pPr>
      <w:r>
        <w:rPr>
          <w:b/>
          <w:bCs/>
        </w:rPr>
        <w:t xml:space="preserve">Table 20: </w:t>
      </w:r>
      <w:r>
        <w:rPr>
          <w:i/>
          <w:iCs/>
        </w:rPr>
        <w:t>Risk register — responses, triggers and residual rating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2"/>
        <w:gridCol w:w="1989"/>
        <w:gridCol w:w="1989"/>
        <w:gridCol w:w="1989"/>
        <w:gridCol w:w="731"/>
        <w:gridCol w:w="731"/>
        <w:gridCol w:w="985"/>
      </w:tblGrid>
      <w:tr w:rsidR="00EB510C">
        <w:tblPrEx>
          <w:tblCellMar>
            <w:top w:w="0" w:type="dxa"/>
            <w:bottom w:w="0" w:type="dxa"/>
          </w:tblCellMar>
        </w:tblPrEx>
        <w:trPr>
          <w:cantSplit/>
          <w:tblHeader/>
        </w:trPr>
        <w:tc>
          <w:tcPr>
            <w:tcW w:w="61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ID</w:t>
            </w:r>
          </w:p>
        </w:tc>
        <w:tc>
          <w:tcPr>
            <w:tcW w:w="1989"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Preventive controls</w:t>
            </w:r>
          </w:p>
        </w:tc>
        <w:tc>
          <w:tcPr>
            <w:tcW w:w="1989"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Contingency response</w:t>
            </w:r>
          </w:p>
        </w:tc>
        <w:tc>
          <w:tcPr>
            <w:tcW w:w="1989"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Trigger</w:t>
            </w:r>
          </w:p>
        </w:tc>
        <w:tc>
          <w:tcPr>
            <w:tcW w:w="73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Res. L</w:t>
            </w:r>
          </w:p>
        </w:tc>
        <w:tc>
          <w:tcPr>
            <w:tcW w:w="73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Res. I</w:t>
            </w:r>
          </w:p>
        </w:tc>
        <w:tc>
          <w:tcPr>
            <w:tcW w:w="985"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Residual score</w:t>
            </w:r>
          </w:p>
        </w:tc>
      </w:tr>
      <w:tr w:rsidR="00EB510C">
        <w:tblPrEx>
          <w:tblCellMar>
            <w:top w:w="0" w:type="dxa"/>
            <w:bottom w:w="0" w:type="dxa"/>
          </w:tblCellMar>
        </w:tblPrEx>
        <w:trPr>
          <w:cantSplit/>
        </w:trPr>
        <w:tc>
          <w:tcPr>
            <w:tcW w:w="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R1</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Lecturer champions; course templates that reduce setup time; recognition of LMS work in workload allocation; early demonstration of time-saving features</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The Project Manager arranges catch-up sessions in Weeks 21–23 (within the two-week float on task 9.2) and one-to-one support. If 90% is still not reached by the go/no-go review in Week 24, the training gate is not met: the Sponsor, who holds go-live authority, defers go-live and the CCB processes the resulting schedule change</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Fewer than 70% of teaching staff have completed core training by the end of Week 20 (second week of task 9.2)</w:t>
            </w:r>
          </w:p>
        </w:tc>
        <w:tc>
          <w:tcPr>
            <w:tcW w:w="7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2</w:t>
            </w:r>
          </w:p>
        </w:tc>
        <w:tc>
          <w:tcPr>
            <w:tcW w:w="7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4</w:t>
            </w:r>
          </w:p>
        </w:tc>
        <w:tc>
          <w:tcPr>
            <w:tcW w:w="9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8 (Medium)</w:t>
            </w:r>
          </w:p>
        </w:tc>
      </w:tr>
      <w:tr w:rsidR="00EB510C">
        <w:tblPrEx>
          <w:tblCellMar>
            <w:top w:w="0" w:type="dxa"/>
            <w:bottom w:w="0" w:type="dxa"/>
          </w:tblCellMar>
        </w:tblPrEx>
        <w:trPr>
          <w:cantSplit/>
        </w:trPr>
        <w:tc>
          <w:tcPr>
            <w:tcW w:w="6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R2</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Phased rollout via pilot; hands-on training; drop-in clinics; communication of benefits</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Delay non-essential features; targeted support for low-adoption schools</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Negative pilot feedback; low course activity</w:t>
            </w:r>
          </w:p>
        </w:tc>
        <w:tc>
          <w:tcPr>
            <w:tcW w:w="7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2</w:t>
            </w:r>
          </w:p>
        </w:tc>
        <w:tc>
          <w:tcPr>
            <w:tcW w:w="7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3</w:t>
            </w:r>
          </w:p>
        </w:tc>
        <w:tc>
          <w:tcPr>
            <w:tcW w:w="98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6 (Low)</w:t>
            </w:r>
          </w:p>
        </w:tc>
      </w:tr>
      <w:tr w:rsidR="00EB510C">
        <w:tblPrEx>
          <w:tblCellMar>
            <w:top w:w="0" w:type="dxa"/>
            <w:bottom w:w="0" w:type="dxa"/>
          </w:tblCellMar>
        </w:tblPrEx>
        <w:trPr>
          <w:cantSplit/>
        </w:trPr>
        <w:tc>
          <w:tcPr>
            <w:tcW w:w="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R3</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Agree CSV format in requirements; test enrolment uploads in test environment early</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Manual enrolment for pilot courses while defects are fixed</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Failed test upload during functional testing (Weeks 14–15)</w:t>
            </w:r>
          </w:p>
        </w:tc>
        <w:tc>
          <w:tcPr>
            <w:tcW w:w="7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2</w:t>
            </w:r>
          </w:p>
        </w:tc>
        <w:tc>
          <w:tcPr>
            <w:tcW w:w="7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2</w:t>
            </w:r>
          </w:p>
        </w:tc>
        <w:tc>
          <w:tcPr>
            <w:tcW w:w="9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4 (Low)</w:t>
            </w:r>
          </w:p>
        </w:tc>
      </w:tr>
      <w:tr w:rsidR="00EB510C">
        <w:tblPrEx>
          <w:tblCellMar>
            <w:top w:w="0" w:type="dxa"/>
            <w:bottom w:w="0" w:type="dxa"/>
          </w:tblCellMar>
        </w:tblPrEx>
        <w:trPr>
          <w:cantSplit/>
        </w:trPr>
        <w:tc>
          <w:tcPr>
            <w:tcW w:w="6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R4</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Content inventory and templates (7.1); reconciliation checklist; lecturer sign-off per course</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Prioritise pilot and first-trimester courses; use contingency for casual assistant</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Migration more than one week behind plan</w:t>
            </w:r>
          </w:p>
        </w:tc>
        <w:tc>
          <w:tcPr>
            <w:tcW w:w="7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2</w:t>
            </w:r>
          </w:p>
        </w:tc>
        <w:tc>
          <w:tcPr>
            <w:tcW w:w="7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3</w:t>
            </w:r>
          </w:p>
        </w:tc>
        <w:tc>
          <w:tcPr>
            <w:tcW w:w="98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6 (Low)</w:t>
            </w:r>
          </w:p>
        </w:tc>
      </w:tr>
      <w:tr w:rsidR="00EB510C">
        <w:tblPrEx>
          <w:tblCellMar>
            <w:top w:w="0" w:type="dxa"/>
            <w:bottom w:w="0" w:type="dxa"/>
          </w:tblCellMar>
        </w:tblPrEx>
        <w:trPr>
          <w:cantSplit/>
        </w:trPr>
        <w:tc>
          <w:tcPr>
            <w:tcW w:w="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R5</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Security design; least-privilege roles; MFA for administrators; patching procedure; OWASP ASVS-based testing</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Incident response plan; disable affected accounts; restore from backup</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High-risk finding in security test; security advisory for installed version</w:t>
            </w:r>
          </w:p>
        </w:tc>
        <w:tc>
          <w:tcPr>
            <w:tcW w:w="7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1</w:t>
            </w:r>
          </w:p>
        </w:tc>
        <w:tc>
          <w:tcPr>
            <w:tcW w:w="7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5</w:t>
            </w:r>
          </w:p>
        </w:tc>
        <w:tc>
          <w:tcPr>
            <w:tcW w:w="9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5 (Low)</w:t>
            </w:r>
          </w:p>
        </w:tc>
      </w:tr>
      <w:tr w:rsidR="00EB510C">
        <w:tblPrEx>
          <w:tblCellMar>
            <w:top w:w="0" w:type="dxa"/>
            <w:bottom w:w="0" w:type="dxa"/>
          </w:tblCellMar>
        </w:tblPrEx>
        <w:trPr>
          <w:cantSplit/>
        </w:trPr>
        <w:tc>
          <w:tcPr>
            <w:tcW w:w="6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R6</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Privacy impact assessment; data minimisation; access logging; no personal data in GitHub</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Notify sponsor and privacy officer; follow breach response procedure</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Privacy concern raised by stakeholder or auditor</w:t>
            </w:r>
          </w:p>
        </w:tc>
        <w:tc>
          <w:tcPr>
            <w:tcW w:w="7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w:t>
            </w:r>
          </w:p>
        </w:tc>
        <w:tc>
          <w:tcPr>
            <w:tcW w:w="7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5</w:t>
            </w:r>
          </w:p>
        </w:tc>
        <w:tc>
          <w:tcPr>
            <w:tcW w:w="98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5 (Low)</w:t>
            </w:r>
          </w:p>
        </w:tc>
      </w:tr>
      <w:tr w:rsidR="00EB510C">
        <w:tblPrEx>
          <w:tblCellMar>
            <w:top w:w="0" w:type="dxa"/>
            <w:bottom w:w="0" w:type="dxa"/>
          </w:tblCellMar>
        </w:tblPrEx>
        <w:trPr>
          <w:cantSplit/>
        </w:trPr>
        <w:tc>
          <w:tcPr>
            <w:tcW w:w="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lastRenderedPageBreak/>
              <w:t>R7</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Schedule workshops in Week 2; sponsor reminder; single consolidated review cycle</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Escalate to sponsor; baseline with documented open items</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Sign-off not received by end of Week 5</w:t>
            </w:r>
          </w:p>
        </w:tc>
        <w:tc>
          <w:tcPr>
            <w:tcW w:w="7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2</w:t>
            </w:r>
          </w:p>
        </w:tc>
        <w:tc>
          <w:tcPr>
            <w:tcW w:w="7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2</w:t>
            </w:r>
          </w:p>
        </w:tc>
        <w:tc>
          <w:tcPr>
            <w:tcW w:w="9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4 (Low)</w:t>
            </w:r>
          </w:p>
        </w:tc>
      </w:tr>
      <w:tr w:rsidR="00EB510C">
        <w:tblPrEx>
          <w:tblCellMar>
            <w:top w:w="0" w:type="dxa"/>
            <w:bottom w:w="0" w:type="dxa"/>
          </w:tblCellMar>
        </w:tblPrEx>
        <w:trPr>
          <w:cantSplit/>
        </w:trPr>
        <w:tc>
          <w:tcPr>
            <w:tcW w:w="6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R8</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Documented procedures; cross-training; contract resource identified in advance</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Engage contract resource from contingency</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Unplanned absence over one week on a critical task</w:t>
            </w:r>
          </w:p>
        </w:tc>
        <w:tc>
          <w:tcPr>
            <w:tcW w:w="7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2</w:t>
            </w:r>
          </w:p>
        </w:tc>
        <w:tc>
          <w:tcPr>
            <w:tcW w:w="7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3</w:t>
            </w:r>
          </w:p>
        </w:tc>
        <w:tc>
          <w:tcPr>
            <w:tcW w:w="98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6 (Low)</w:t>
            </w:r>
          </w:p>
        </w:tc>
      </w:tr>
      <w:tr w:rsidR="00EB510C">
        <w:tblPrEx>
          <w:tblCellMar>
            <w:top w:w="0" w:type="dxa"/>
            <w:bottom w:w="0" w:type="dxa"/>
          </w:tblCellMar>
        </w:tblPrEx>
        <w:trPr>
          <w:cantSplit/>
        </w:trPr>
        <w:tc>
          <w:tcPr>
            <w:tcW w:w="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R9</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Administrator training; documentation in GitHub; optional Moodle Partner retainer</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Activate partner support</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Unresolved technical issue for more than three days</w:t>
            </w:r>
          </w:p>
        </w:tc>
        <w:tc>
          <w:tcPr>
            <w:tcW w:w="7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2</w:t>
            </w:r>
          </w:p>
        </w:tc>
        <w:tc>
          <w:tcPr>
            <w:tcW w:w="7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2</w:t>
            </w:r>
          </w:p>
        </w:tc>
        <w:tc>
          <w:tcPr>
            <w:tcW w:w="9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4 (Low)</w:t>
            </w:r>
          </w:p>
        </w:tc>
      </w:tr>
      <w:tr w:rsidR="00EB510C">
        <w:tblPrEx>
          <w:tblCellMar>
            <w:top w:w="0" w:type="dxa"/>
            <w:bottom w:w="0" w:type="dxa"/>
          </w:tblCellMar>
        </w:tblPrEx>
        <w:trPr>
          <w:cantSplit/>
        </w:trPr>
        <w:tc>
          <w:tcPr>
            <w:tcW w:w="6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R10</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Limit plugins to an approved list; check compatibility with the Moodle version; test in staging</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Remove or replace plugin; roll back to previous tagged release</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Plugin fails in staging or after update</w:t>
            </w:r>
          </w:p>
        </w:tc>
        <w:tc>
          <w:tcPr>
            <w:tcW w:w="7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2</w:t>
            </w:r>
          </w:p>
        </w:tc>
        <w:tc>
          <w:tcPr>
            <w:tcW w:w="7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2</w:t>
            </w:r>
          </w:p>
        </w:tc>
        <w:tc>
          <w:tcPr>
            <w:tcW w:w="98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4 (Low)</w:t>
            </w:r>
          </w:p>
        </w:tc>
      </w:tr>
      <w:tr w:rsidR="00EB510C">
        <w:tblPrEx>
          <w:tblCellMar>
            <w:top w:w="0" w:type="dxa"/>
            <w:bottom w:w="0" w:type="dxa"/>
          </w:tblCellMar>
        </w:tblPrEx>
        <w:trPr>
          <w:cantSplit/>
        </w:trPr>
        <w:tc>
          <w:tcPr>
            <w:tcW w:w="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R11</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Usability testing with students; WCAG 2.2 checks; accessible theme and templates</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Remediate before go-live; provide alternative formats</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Critical usability or accessibility defect in testing</w:t>
            </w:r>
          </w:p>
        </w:tc>
        <w:tc>
          <w:tcPr>
            <w:tcW w:w="7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2</w:t>
            </w:r>
          </w:p>
        </w:tc>
        <w:tc>
          <w:tcPr>
            <w:tcW w:w="7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3</w:t>
            </w:r>
          </w:p>
        </w:tc>
        <w:tc>
          <w:tcPr>
            <w:tcW w:w="9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6 (Low)</w:t>
            </w:r>
          </w:p>
        </w:tc>
      </w:tr>
      <w:tr w:rsidR="00EB510C">
        <w:tblPrEx>
          <w:tblCellMar>
            <w:top w:w="0" w:type="dxa"/>
            <w:bottom w:w="0" w:type="dxa"/>
          </w:tblCellMar>
        </w:tblPrEx>
        <w:trPr>
          <w:cantSplit/>
        </w:trPr>
        <w:tc>
          <w:tcPr>
            <w:tcW w:w="6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R12</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Automated daily backups; off-site copies; restore test (8.3) before pilot</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Restore from latest verified backup; invoke rollback plan</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Failed backup job or failed restore test</w:t>
            </w:r>
          </w:p>
        </w:tc>
        <w:tc>
          <w:tcPr>
            <w:tcW w:w="7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w:t>
            </w:r>
          </w:p>
        </w:tc>
        <w:tc>
          <w:tcPr>
            <w:tcW w:w="7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4</w:t>
            </w:r>
          </w:p>
        </w:tc>
        <w:tc>
          <w:tcPr>
            <w:tcW w:w="98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4 (Low)</w:t>
            </w:r>
          </w:p>
        </w:tc>
      </w:tr>
      <w:tr w:rsidR="00EB510C">
        <w:tblPrEx>
          <w:tblCellMar>
            <w:top w:w="0" w:type="dxa"/>
            <w:bottom w:w="0" w:type="dxa"/>
          </w:tblCellMar>
        </w:tblPrEx>
        <w:trPr>
          <w:cantSplit/>
        </w:trPr>
        <w:tc>
          <w:tcPr>
            <w:tcW w:w="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R13</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Load testing in 8.2; capacity planning; monitoring</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Scale hosting resources; stagger deadlines during pilot</w:t>
            </w:r>
          </w:p>
        </w:tc>
        <w:tc>
          <w:tcPr>
            <w:tcW w:w="19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Response times above agreed threshold</w:t>
            </w:r>
          </w:p>
        </w:tc>
        <w:tc>
          <w:tcPr>
            <w:tcW w:w="7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1</w:t>
            </w:r>
          </w:p>
        </w:tc>
        <w:tc>
          <w:tcPr>
            <w:tcW w:w="7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4</w:t>
            </w:r>
          </w:p>
        </w:tc>
        <w:tc>
          <w:tcPr>
            <w:tcW w:w="9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4 (Low)</w:t>
            </w:r>
          </w:p>
        </w:tc>
      </w:tr>
      <w:tr w:rsidR="00EB510C">
        <w:tblPrEx>
          <w:tblCellMar>
            <w:top w:w="0" w:type="dxa"/>
            <w:bottom w:w="0" w:type="dxa"/>
          </w:tblCellMar>
        </w:tblPrEx>
        <w:trPr>
          <w:cantSplit/>
        </w:trPr>
        <w:tc>
          <w:tcPr>
            <w:tcW w:w="61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R14</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Weekly schedule tracking; float monitoring; early escalation</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Fast-track or crash critical tasks; defer go-live to next trimester through CCB</w:t>
            </w:r>
          </w:p>
        </w:tc>
        <w:tc>
          <w:tcPr>
            <w:tcW w:w="198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Critical task more than one week late</w:t>
            </w:r>
          </w:p>
        </w:tc>
        <w:tc>
          <w:tcPr>
            <w:tcW w:w="7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2</w:t>
            </w:r>
          </w:p>
        </w:tc>
        <w:tc>
          <w:tcPr>
            <w:tcW w:w="73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3</w:t>
            </w:r>
          </w:p>
        </w:tc>
        <w:tc>
          <w:tcPr>
            <w:tcW w:w="98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6 (Low)</w:t>
            </w:r>
          </w:p>
        </w:tc>
      </w:tr>
    </w:tbl>
    <w:p w:rsidR="00EB510C" w:rsidRDefault="00EB510C">
      <w:pPr>
        <w:spacing w:after="120"/>
      </w:pPr>
    </w:p>
    <w:p>
      <w:pPr>
        <w:pStyle w:val="Heading2"/>
      </w:pPr>
      <w:r>
        <w:t xml:space="preserve">9.3 Risk Heat Map, Response Strategies and Contingency Reserve</w:t>
      </w:r>
    </w:p>
    <w:p>
      <w:pPr>
        <w:spacing w:after="160" w:line="360" w:lineRule="auto"/>
        <w:jc w:val="both"/>
      </w:pPr>
      <w:r>
        <w:t xml:space="preserve">Figure 3 plots every risk on the 5 × 5 likelihood and impact matrix before and after controls. The preventive controls move R1 out of the High band and bring every other risk into the Low band. R5 and R6 remain at the maximum impact level because their controls reduce how likely a breach is, not how damaging it would be. For that reason they also carry a transfer response through institutional cyber insurance.</w:t>
      </w:r>
    </w:p>
    <w:p>
      <w:pPr>
        <w:keepNext/>
        <w:spacing w:before="160"/>
        <w:jc w:val="center"/>
      </w:pPr>
      <w:r>
        <w:rPr>
          <w:noProof/>
        </w:rPr>
        <w:drawing>
          <wp:inline distT="0" distB="0" distL="0" distR="0">
            <wp:extent cx="5731510" cy="2674705"/>
            <wp:effectExtent l="0" t="0" r="0" b="0"/>
            <wp:docPr id="4" name="heatmap.png" descr="Risk heat map before and after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eatmap.png"/>
                    <pic:cNvPicPr/>
                  </pic:nvPicPr>
                  <pic:blipFill>
                    <a:blip r:embed="rIdHeat"/>
                    <a:stretch>
                      <a:fillRect/>
                    </a:stretch>
                  </pic:blipFill>
                  <pic:spPr>
                    <a:xfrm>
                      <a:off x="0" y="0"/>
                      <a:ext cx="5731510" cy="2674705"/>
                    </a:xfrm>
                    <a:prstGeom prst="rect">
                      <a:avLst/>
                    </a:prstGeom>
                  </pic:spPr>
                </pic:pic>
              </a:graphicData>
            </a:graphic>
          </wp:inline>
        </w:drawing>
      </w:r>
    </w:p>
    <w:p>
      <w:pPr>
        <w:spacing w:after="240"/>
        <w:jc w:val="center"/>
      </w:pPr>
      <w:r>
        <w:rPr>
          <w:b/>
          <w:bCs/>
        </w:rPr>
        <w:t xml:space="preserve">Figure 3: </w:t>
      </w:r>
      <w:r>
        <w:rPr>
          <w:i/>
          <w:iCs/>
        </w:rPr>
        <w:t>Risk heat map: inherent risk (left) and residual risk after controls (right)</w:t>
      </w:r>
    </w:p>
    <w:p>
      <w:pPr>
        <w:spacing w:after="160" w:line="360" w:lineRule="auto"/>
        <w:jc w:val="both"/>
      </w:pPr>
      <w:r>
        <w:t xml:space="preserve">Table 21 classifies each risk by response strategy, using the standard categories of avoid, mitigate, transfer and accept [7]. It then quantifies residual exposure as expected monetary value (EMV), which is the probability of the risk occurring multiplied by its cost impact if it occurs. Probability is the midpoint of the residual likelihood band in Table 18: 5% for Rare and 20% for Unlikely. Cost impacts are planning estimates of the extra spending each contingency response in Table 20 would require.</w:t>
      </w:r>
    </w:p>
    <w:p>
      <w:pPr>
        <w:keepNext/>
        <w:spacing w:before="200" w:after="80"/>
      </w:pPr>
      <w:r>
        <w:rPr>
          <w:b/>
          <w:bCs/>
        </w:rPr>
        <w:t xml:space="preserve">Table 21: </w:t>
      </w:r>
      <w:r>
        <w:rPr>
          <w:i/>
          <w:iCs/>
        </w:rPr>
        <w:t>Risk response strategies and expected monetary value of residual risk (planning estimates, AUD)</w:t>
      </w:r>
    </w:p>
    <w:tbl>
      <w:tblPr>
        <w:tblW w:w="9026" w:type="dxa"/>
        <w:tblLayout w:type="fixed"/>
        <w:tblCellMar>
          <w:left w:w="10" w:type="dxa"/>
          <w:right w:w="10" w:type="dxa"/>
        </w:tblCellMar>
        <w:tblLook w:val="0000" w:firstRow="0" w:lastRow="0" w:firstColumn="0" w:lastColumn="0" w:noHBand="0" w:noVBand="0"/>
      </w:tblPr>
      <w:tblGrid>
        <w:gridCol w:w="700"/>
        <w:gridCol w:w="1500"/>
        <w:gridCol w:w="1100"/>
        <w:gridCol w:w="1350"/>
        <w:gridCol w:w="1100"/>
        <w:gridCol w:w="3276"/>
      </w:tblGrid>
      <w:tr>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ID</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Response strategy</w:t>
            </w:r>
          </w:p>
        </w:tc>
        <w:tc>
          <w:tcPr>
            <w:tcW w:w="11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Residual probability</w:t>
            </w:r>
          </w:p>
        </w:tc>
        <w:tc>
          <w:tcPr>
            <w:tcW w:w="135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Cost impact if it occurs</w:t>
            </w:r>
          </w:p>
        </w:tc>
        <w:tc>
          <w:tcPr>
            <w:tcW w:w="11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EMV</w:t>
            </w:r>
          </w:p>
        </w:tc>
        <w:tc>
          <w:tcPr>
            <w:tcW w:w="3276"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Basis of cost impact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Mitigate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20%</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25,000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5,000</w:t>
            </w:r>
          </w:p>
        </w:tc>
        <w:tc>
          <w:tcPr>
            <w:tcW w:w="3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Catch-up training, one-to-one support and two weeks of extended training effort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Mitigate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20%</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12,000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2,400</w:t>
            </w:r>
          </w:p>
        </w:tc>
        <w:tc>
          <w:tcPr>
            <w:tcW w:w="3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Additional drop-in clinics and targeted school support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Mitigate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20%</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6,000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1,200</w:t>
            </w:r>
          </w:p>
        </w:tc>
        <w:tc>
          <w:tcPr>
            <w:tcW w:w="3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Conversion script and manual pilot enrolments</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Mitigate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20%</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18,000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3,600</w:t>
            </w:r>
          </w:p>
        </w:tc>
        <w:tc>
          <w:tcPr>
            <w:tcW w:w="3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Casual content assistant for six weeks</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Mitigate + Transfer</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5%</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40,000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2,000</w:t>
            </w:r>
          </w:p>
        </w:tc>
        <w:tc>
          <w:tcPr>
            <w:tcW w:w="3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Incident response, forensics and notification costs above the cyber insurance excess</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R6</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Mitigate + Transfer</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5%</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30,000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1,500</w:t>
            </w:r>
          </w:p>
        </w:tc>
        <w:tc>
          <w:tcPr>
            <w:tcW w:w="3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Privacy review, legal advice and remediation</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Mitigate / Accept</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20%</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5,000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1,000</w:t>
            </w:r>
          </w:p>
        </w:tc>
        <w:tc>
          <w:tcPr>
            <w:tcW w:w="3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One additional week of Business Analyst effort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Mitigate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20%</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15,000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3,000</w:t>
            </w:r>
          </w:p>
        </w:tc>
        <w:tc>
          <w:tcPr>
            <w:tcW w:w="3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Contract replacement for up to three weeks</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Transfer + Mitigate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20%</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8,000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1,600</w:t>
            </w:r>
          </w:p>
        </w:tc>
        <w:tc>
          <w:tcPr>
            <w:tcW w:w="3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Partner support hours beyond the budgeted retainer</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R10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Avoid</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20%</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6,000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1,200</w:t>
            </w:r>
          </w:p>
        </w:tc>
        <w:tc>
          <w:tcPr>
            <w:tcW w:w="3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Plugin replacement and regression testing</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R11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Mitigate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20%</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10,000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2,000</w:t>
            </w:r>
          </w:p>
        </w:tc>
        <w:tc>
          <w:tcPr>
            <w:tcW w:w="3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Theme and template remediation; alternative formats</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R12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Mitigate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5%</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30,000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1,500</w:t>
            </w:r>
          </w:p>
        </w:tc>
        <w:tc>
          <w:tcPr>
            <w:tcW w:w="3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Data recovery effort and rework</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R13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Mitigate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5%</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15,000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750</w:t>
            </w:r>
          </w:p>
        </w:tc>
        <w:tc>
          <w:tcPr>
            <w:tcW w:w="3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Temporary hosting scale-up and performance tuning</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R14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Mitigate / Accept</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20%</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15,000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3,000</w:t>
            </w:r>
          </w:p>
        </w:tc>
        <w:tc>
          <w:tcPr>
            <w:tcW w:w="3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Crashing cost (contract resource) to protect the go-live date</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b/>
                <w:bCs/>
                <w:sz w:val="17"/>
                <w:szCs w:val="17"/>
              </w:rPr>
              <w:t xml:space="preserve">Total</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b/>
                <w:bCs/>
                <w:sz w:val="17"/>
                <w:szCs w:val="17"/>
              </w:rPr>
              <w:t xml:space="preserve">29,750</w:t>
            </w:r>
          </w:p>
        </w:tc>
        <w:tc>
          <w:tcPr>
            <w:tcW w:w="32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b/>
                <w:bCs/>
                <w:sz w:val="17"/>
                <w:szCs w:val="17"/>
              </w:rPr>
              <w:t xml:space="preserve">Contingency in Table 10: AUD 30,700</w:t>
            </w:r>
          </w:p>
        </w:tc>
      </w:tr>
    </w:tbl>
    <w:p>
      <w:pPr>
        <w:spacing w:after="120"/>
      </w:pPr>
    </w:p>
    <w:p>
      <w:pPr>
        <w:spacing w:after="160" w:line="360" w:lineRule="auto"/>
        <w:jc w:val="both"/>
      </w:pPr>
      <w:r>
        <w:t xml:space="preserve">The total residual EMV of AUD 29,750 is covered by the 10% contingency reserve of AUD 30,700 in Table 10, with a small margin. This means the contingency is calculated from the risk register rather than set as an arbitrary percentage. A severe breach or privacy event (R5, R6) could exceed the contingency; that residual exposure is transferred to institutional cyber insurance and to a management reserve held by the sponsor outside the project budget. Any contingency drawdown above AUD 5,000 requires CCB approval, and the contingency balance is reported in every fortnightly status report to the sponsor. Drawdowns made through change control are recorded in the change log (Table 25).</w:t>
      </w:r>
    </w:p>
    <w:p w:rsidR="00EB510C" w:rsidRDefault="003F5293">
      <w:pPr>
        <w:pStyle w:val="Heading2"/>
      </w:pPr>
      <w:bookmarkStart w:id="50" w:name="_Toc100050"/>
      <w:r>
        <w:t>9.4 Risk Prioritisation and Integration with the Plan</w:t>
      </w:r>
      <w:bookmarkEnd w:id="50"/>
    </w:p>
    <w:p w:rsidR="00EB510C" w:rsidRDefault="003F5293">
      <w:pPr>
        <w:spacing w:after="160" w:line="360" w:lineRule="auto"/>
        <w:jc w:val="both"/>
      </w:pPr>
      <w:r>
        <w:t>R1 is the only high inherent risk, which reflects the strength and consistency of the evidence on lecturer workload. Its controls are not isolated in the risk register; they are built into the plan. The pilot (10.1) and training work packages (9.1, 9.2) are scheduled, with training completion checked at the go/no-go review, lecturer representatives are consulted on most deliverables in the RACI matrix, the communication plan targets lecturers specifically (Section 12), and the quality plan includes an adoption and satisfaction measure (Section 13). Similarly, the data migration risk (R4) is linked to the content work package, the one-week float on task 7.2, the reconciliation checks in the quality plan and the go-live approval criteria. Risks will be reviewed weekly by the project manager and monthly by the steering committee.</w:t>
      </w:r>
    </w:p>
    <w:p w:rsidR="00EB510C" w:rsidRDefault="003F5293">
      <w:pPr>
        <w:pStyle w:val="Heading1"/>
        <w:pageBreakBefore/>
      </w:pPr>
      <w:bookmarkStart w:id="51" w:name="_Toc243565017"/>
      <w:r>
        <w:lastRenderedPageBreak/>
        <w:t>10. Issue Management Strategy</w:t>
      </w:r>
      <w:bookmarkEnd w:id="51"/>
    </w:p>
    <w:p w:rsidR="00EB510C" w:rsidRDefault="003F5293">
      <w:pPr>
        <w:pStyle w:val="Heading2"/>
      </w:pPr>
      <w:bookmarkStart w:id="52" w:name="_Toc100052"/>
      <w:r>
        <w:t>10.1 Issues versus Risks</w:t>
      </w:r>
      <w:bookmarkEnd w:id="52"/>
    </w:p>
    <w:p w:rsidR="00EB510C" w:rsidRDefault="003F5293">
      <w:pPr>
        <w:spacing w:after="160" w:line="360" w:lineRule="auto"/>
        <w:jc w:val="both"/>
      </w:pPr>
      <w:r>
        <w:t>An issue is a current problem that is affecting or will certainly affect the project, such as a failed enrolment upload or an unavailable team member. When a risk trigger occurs and the event happens, the risk becomes an issue and is transferred from the risk register to the issue log.</w:t>
      </w:r>
    </w:p>
    <w:p w:rsidR="00EB510C" w:rsidRDefault="003F5293">
      <w:pPr>
        <w:pStyle w:val="Heading2"/>
      </w:pPr>
      <w:bookmarkStart w:id="53" w:name="_Toc100053"/>
      <w:r>
        <w:t>10.2 Issue Management Process</w:t>
      </w:r>
      <w:bookmarkEnd w:id="53"/>
    </w:p>
    <w:p w:rsidR="00EB510C" w:rsidRDefault="003F5293">
      <w:pPr>
        <w:tabs>
          <w:tab w:val="left" w:pos="720"/>
        </w:tabs>
        <w:spacing w:after="80" w:line="360" w:lineRule="auto"/>
        <w:ind w:left="720" w:hanging="360"/>
        <w:jc w:val="both"/>
      </w:pPr>
      <w:r>
        <w:t>1.</w:t>
        <w:tab/>
      </w:r>
      <w:r>
        <w:rPr>
          <w:b/>
          <w:bCs/>
        </w:rPr>
        <w:t>Identify and log.</w:t>
      </w:r>
      <w:r>
        <w:t xml:space="preserve"> Any team member or stakeholder can raise an issue. It is logged as a GitHub Issue using the "issue" template, so that every issue has a unique number, history and owner.</w:t>
      </w:r>
    </w:p>
    <w:p w:rsidR="00EB510C" w:rsidRDefault="003F5293">
      <w:pPr>
        <w:tabs>
          <w:tab w:val="left" w:pos="720"/>
        </w:tabs>
        <w:spacing w:after="80" w:line="360" w:lineRule="auto"/>
        <w:ind w:left="720" w:hanging="360"/>
        <w:jc w:val="both"/>
      </w:pPr>
      <w:r>
        <w:t>2.</w:t>
        <w:tab/>
      </w:r>
      <w:r>
        <w:rPr>
          <w:b/>
          <w:bCs/>
        </w:rPr>
        <w:t>Assess severity and priority.</w:t>
      </w:r>
      <w:r>
        <w:t xml:space="preserve"> The project manager assigns a severity (Critical, High, Medium or Low) based on its effect on objectives, and a priority based on urgency.</w:t>
      </w:r>
    </w:p>
    <w:p w:rsidR="00EB510C" w:rsidRDefault="003F5293">
      <w:pPr>
        <w:tabs>
          <w:tab w:val="left" w:pos="720"/>
        </w:tabs>
        <w:spacing w:after="80" w:line="360" w:lineRule="auto"/>
        <w:ind w:left="720" w:hanging="360"/>
        <w:jc w:val="both"/>
      </w:pPr>
      <w:r>
        <w:t>3.</w:t>
        <w:tab/>
      </w:r>
      <w:r>
        <w:rPr>
          <w:b/>
          <w:bCs/>
        </w:rPr>
        <w:t>Assign an owner.</w:t>
      </w:r>
      <w:r>
        <w:t xml:space="preserve"> Each issue has one owner who is responsible for resolution.</w:t>
      </w:r>
    </w:p>
    <w:p w:rsidR="00EB510C" w:rsidRDefault="003F5293">
      <w:pPr>
        <w:tabs>
          <w:tab w:val="left" w:pos="720"/>
        </w:tabs>
        <w:spacing w:after="80" w:line="360" w:lineRule="auto"/>
        <w:ind w:left="720" w:hanging="360"/>
        <w:jc w:val="both"/>
      </w:pPr>
      <w:r>
        <w:t>4.</w:t>
        <w:tab/>
      </w:r>
      <w:r>
        <w:rPr>
          <w:b/>
          <w:bCs/>
        </w:rPr>
        <w:t>Set a target date.</w:t>
      </w:r>
      <w:r>
        <w:t xml:space="preserve"> Target resolution times are Critical: 1 working day; High: 3 days; Medium: 10 days; Low: next planned release.</w:t>
      </w:r>
    </w:p>
    <w:p w:rsidR="00EB510C" w:rsidRDefault="003F5293">
      <w:pPr>
        <w:tabs>
          <w:tab w:val="left" w:pos="720"/>
        </w:tabs>
        <w:spacing w:after="80" w:line="360" w:lineRule="auto"/>
        <w:ind w:left="720" w:hanging="360"/>
        <w:jc w:val="both"/>
      </w:pPr>
      <w:r>
        <w:t>5.</w:t>
        <w:tab/>
      </w:r>
      <w:r>
        <w:rPr>
          <w:b/>
          <w:bCs/>
        </w:rPr>
        <w:t>Escalate.</w:t>
      </w:r>
      <w:r>
        <w:t xml:space="preserve"> Issues not resolved by the target date, or those affecting the baseline, are escalated to the sponsor. Issues requiring a scope, schedule or cost change are converted into change requests (Section 11).</w:t>
      </w:r>
    </w:p>
    <w:p w:rsidR="00EB510C" w:rsidRDefault="003F5293">
      <w:pPr>
        <w:tabs>
          <w:tab w:val="left" w:pos="720"/>
        </w:tabs>
        <w:spacing w:after="80" w:line="360" w:lineRule="auto"/>
        <w:ind w:left="720" w:hanging="360"/>
        <w:jc w:val="both"/>
      </w:pPr>
      <w:r>
        <w:t>6.</w:t>
        <w:tab/>
      </w:r>
      <w:r>
        <w:rPr>
          <w:b/>
          <w:bCs/>
        </w:rPr>
        <w:t>Track corrective action.</w:t>
      </w:r>
      <w:r>
        <w:t xml:space="preserve"> Progress is recorded in the issue comments and reviewed at the weekly project meeting.</w:t>
      </w:r>
    </w:p>
    <w:p w:rsidR="00EB510C" w:rsidRDefault="003F5293">
      <w:pPr>
        <w:tabs>
          <w:tab w:val="left" w:pos="720"/>
        </w:tabs>
        <w:spacing w:after="80" w:line="360" w:lineRule="auto"/>
        <w:ind w:left="720" w:hanging="360"/>
        <w:jc w:val="both"/>
      </w:pPr>
      <w:r>
        <w:t>7.</w:t>
        <w:tab/>
      </w:r>
      <w:r>
        <w:rPr>
          <w:b/>
          <w:bCs/>
        </w:rPr>
        <w:t>Verify and close.</w:t>
      </w:r>
      <w:r>
        <w:t xml:space="preserve"> The person who raised the issue, or the QA Tester for defects, confirms the resolution before the issue is closed.</w:t>
      </w:r>
    </w:p>
    <w:p w:rsidR="00EB510C" w:rsidRDefault="003F5293">
      <w:pPr>
        <w:tabs>
          <w:tab w:val="left" w:pos="720"/>
        </w:tabs>
        <w:spacing w:after="80" w:line="360" w:lineRule="auto"/>
        <w:ind w:left="720" w:hanging="360"/>
        <w:jc w:val="both"/>
      </w:pPr>
      <w:r>
        <w:t>8.</w:t>
        <w:tab/>
      </w:r>
      <w:r>
        <w:rPr>
          <w:b/>
          <w:bCs/>
        </w:rPr>
        <w:t>Learn.</w:t>
      </w:r>
      <w:r>
        <w:t xml:space="preserve"> Recurring issues are reviewed for root causes and recorded in the lessons learned log.</w:t>
      </w:r>
    </w:p>
    <w:p w:rsidR="00EB510C" w:rsidRDefault="003F5293">
      <w:pPr>
        <w:pStyle w:val="Heading2"/>
      </w:pPr>
      <w:bookmarkStart w:id="54" w:name="_Toc100054"/>
      <w:r>
        <w:t>10.3 Issue Log Template</w:t>
      </w:r>
      <w:bookmarkEnd w:id="54"/>
    </w:p>
    <w:p w:rsidR="00EB510C" w:rsidRDefault="003F5293">
      <w:pPr>
        <w:keepNext/>
        <w:spacing w:before="200" w:after="80"/>
      </w:pPr>
      <w:r>
        <w:rPr>
          <w:b/>
          <w:bCs/>
        </w:rPr>
        <w:t xml:space="preserve">Table 22: </w:t>
      </w:r>
      <w:r>
        <w:rPr>
          <w:i/>
          <w:iCs/>
        </w:rPr>
        <w:t>Issue log template (with an illustrative 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5628"/>
      </w:tblGrid>
      <w:tr w:rsidR="00EB510C">
        <w:tblPrEx>
          <w:tblCellMar>
            <w:top w:w="0" w:type="dxa"/>
            <w:bottom w:w="0" w:type="dxa"/>
          </w:tblCellMar>
        </w:tblPrEx>
        <w:trPr>
          <w:cantSplit/>
          <w:tblHeader/>
        </w:trPr>
        <w:tc>
          <w:tcPr>
            <w:tcW w:w="3398"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Field</w:t>
            </w:r>
          </w:p>
        </w:tc>
        <w:tc>
          <w:tcPr>
            <w:tcW w:w="5628"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Example entry</w:t>
            </w:r>
          </w:p>
        </w:tc>
      </w:tr>
      <w:tr w:rsidR="00EB510C">
        <w:tblPrEx>
          <w:tblCellMar>
            <w:top w:w="0" w:type="dxa"/>
            <w:bottom w:w="0" w:type="dxa"/>
          </w:tblCellMar>
        </w:tblPrEx>
        <w:trPr>
          <w:cantSplit/>
        </w:trPr>
        <w:tc>
          <w:tcPr>
            <w:tcW w:w="33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Issue ID</w:t>
            </w:r>
          </w:p>
        </w:tc>
        <w:tc>
          <w:tcPr>
            <w:tcW w:w="56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ISS-007 (GitHub Issue #42)</w:t>
            </w:r>
          </w:p>
        </w:tc>
      </w:tr>
      <w:tr w:rsidR="00EB510C">
        <w:tblPrEx>
          <w:tblCellMar>
            <w:top w:w="0" w:type="dxa"/>
            <w:bottom w:w="0" w:type="dxa"/>
          </w:tblCellMar>
        </w:tblPrEx>
        <w:trPr>
          <w:cantSplit/>
        </w:trPr>
        <w:tc>
          <w:tcPr>
            <w:tcW w:w="339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Date raised / raised by</w:t>
            </w:r>
          </w:p>
        </w:tc>
        <w:tc>
          <w:tcPr>
            <w:tcW w:w="562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Week 15 / LMS Administrator</w:t>
            </w:r>
          </w:p>
        </w:tc>
      </w:tr>
      <w:tr w:rsidR="00EB510C">
        <w:tblPrEx>
          <w:tblCellMar>
            <w:top w:w="0" w:type="dxa"/>
            <w:bottom w:w="0" w:type="dxa"/>
          </w:tblCellMar>
        </w:tblPrEx>
        <w:trPr>
          <w:cantSplit/>
        </w:trPr>
        <w:tc>
          <w:tcPr>
            <w:tcW w:w="33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Description</w:t>
            </w:r>
          </w:p>
        </w:tc>
        <w:tc>
          <w:tcPr>
            <w:tcW w:w="56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Enrolment CSV export uses a different date format from the agreed specification</w:t>
            </w:r>
          </w:p>
        </w:tc>
      </w:tr>
      <w:tr w:rsidR="00EB510C">
        <w:tblPrEx>
          <w:tblCellMar>
            <w:top w:w="0" w:type="dxa"/>
            <w:bottom w:w="0" w:type="dxa"/>
          </w:tblCellMar>
        </w:tblPrEx>
        <w:trPr>
          <w:cantSplit/>
        </w:trPr>
        <w:tc>
          <w:tcPr>
            <w:tcW w:w="339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Category</w:t>
            </w:r>
          </w:p>
        </w:tc>
        <w:tc>
          <w:tcPr>
            <w:tcW w:w="562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Integration</w:t>
            </w:r>
          </w:p>
        </w:tc>
      </w:tr>
      <w:tr w:rsidR="00EB510C">
        <w:tblPrEx>
          <w:tblCellMar>
            <w:top w:w="0" w:type="dxa"/>
            <w:bottom w:w="0" w:type="dxa"/>
          </w:tblCellMar>
        </w:tblPrEx>
        <w:trPr>
          <w:cantSplit/>
        </w:trPr>
        <w:tc>
          <w:tcPr>
            <w:tcW w:w="33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lastRenderedPageBreak/>
              <w:t>Severity / priority</w:t>
            </w:r>
          </w:p>
        </w:tc>
        <w:tc>
          <w:tcPr>
            <w:tcW w:w="56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High / High</w:t>
            </w:r>
          </w:p>
        </w:tc>
      </w:tr>
      <w:tr w:rsidR="00EB510C">
        <w:tblPrEx>
          <w:tblCellMar>
            <w:top w:w="0" w:type="dxa"/>
            <w:bottom w:w="0" w:type="dxa"/>
          </w:tblCellMar>
        </w:tblPrEx>
        <w:trPr>
          <w:cantSplit/>
        </w:trPr>
        <w:tc>
          <w:tcPr>
            <w:tcW w:w="339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Owner</w:t>
            </w:r>
          </w:p>
        </w:tc>
        <w:tc>
          <w:tcPr>
            <w:tcW w:w="562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LMS Administrator</w:t>
            </w:r>
          </w:p>
        </w:tc>
      </w:tr>
      <w:tr w:rsidR="00EB510C">
        <w:tblPrEx>
          <w:tblCellMar>
            <w:top w:w="0" w:type="dxa"/>
            <w:bottom w:w="0" w:type="dxa"/>
          </w:tblCellMar>
        </w:tblPrEx>
        <w:trPr>
          <w:cantSplit/>
        </w:trPr>
        <w:tc>
          <w:tcPr>
            <w:tcW w:w="33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Target date</w:t>
            </w:r>
          </w:p>
        </w:tc>
        <w:tc>
          <w:tcPr>
            <w:tcW w:w="56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Week 15, day 4</w:t>
            </w:r>
          </w:p>
        </w:tc>
      </w:tr>
      <w:tr w:rsidR="00EB510C">
        <w:tblPrEx>
          <w:tblCellMar>
            <w:top w:w="0" w:type="dxa"/>
            <w:bottom w:w="0" w:type="dxa"/>
          </w:tblCellMar>
        </w:tblPrEx>
        <w:trPr>
          <w:cantSplit/>
        </w:trPr>
        <w:tc>
          <w:tcPr>
            <w:tcW w:w="339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Action taken</w:t>
            </w:r>
          </w:p>
        </w:tc>
        <w:tc>
          <w:tcPr>
            <w:tcW w:w="562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Format conversion script added and agreed with student records team</w:t>
            </w:r>
          </w:p>
        </w:tc>
      </w:tr>
      <w:tr w:rsidR="00EB510C">
        <w:tblPrEx>
          <w:tblCellMar>
            <w:top w:w="0" w:type="dxa"/>
            <w:bottom w:w="0" w:type="dxa"/>
          </w:tblCellMar>
        </w:tblPrEx>
        <w:trPr>
          <w:cantSplit/>
        </w:trPr>
        <w:tc>
          <w:tcPr>
            <w:tcW w:w="33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Status</w:t>
            </w:r>
          </w:p>
        </w:tc>
        <w:tc>
          <w:tcPr>
            <w:tcW w:w="56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Closed</w:t>
            </w:r>
          </w:p>
        </w:tc>
      </w:tr>
      <w:tr w:rsidR="00EB510C">
        <w:tblPrEx>
          <w:tblCellMar>
            <w:top w:w="0" w:type="dxa"/>
            <w:bottom w:w="0" w:type="dxa"/>
          </w:tblCellMar>
        </w:tblPrEx>
        <w:trPr>
          <w:cantSplit/>
        </w:trPr>
        <w:tc>
          <w:tcPr>
            <w:tcW w:w="339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Verified by / date</w:t>
            </w:r>
          </w:p>
        </w:tc>
        <w:tc>
          <w:tcPr>
            <w:tcW w:w="562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QA Tester / Week 16</w:t>
            </w:r>
          </w:p>
        </w:tc>
      </w:tr>
      <w:tr w:rsidR="00EB510C">
        <w:tblPrEx>
          <w:tblCellMar>
            <w:top w:w="0" w:type="dxa"/>
            <w:bottom w:w="0" w:type="dxa"/>
          </w:tblCellMar>
        </w:tblPrEx>
        <w:trPr>
          <w:cantSplit/>
        </w:trPr>
        <w:tc>
          <w:tcPr>
            <w:tcW w:w="33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Linked items</w:t>
            </w:r>
          </w:p>
        </w:tc>
        <w:tc>
          <w:tcPr>
            <w:tcW w:w="56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Risk R3; change request not required</w:t>
            </w:r>
          </w:p>
        </w:tc>
      </w:tr>
    </w:tbl>
    <w:p w:rsidR="00EB510C" w:rsidRDefault="00EB510C">
      <w:pPr>
        <w:spacing w:after="120"/>
      </w:pPr>
    </w:p>
    <w:p w:rsidR="00EB510C" w:rsidRDefault="003F5293">
      <w:pPr>
        <w:pStyle w:val="Heading1"/>
        <w:pageBreakBefore/>
      </w:pPr>
      <w:bookmarkStart w:id="55" w:name="_Toc243565018"/>
      <w:r>
        <w:lastRenderedPageBreak/>
        <w:t>11. Change Request and Change Management Process</w:t>
      </w:r>
      <w:bookmarkEnd w:id="55"/>
    </w:p>
    <w:p w:rsidR="00EB510C" w:rsidRDefault="003F5293">
      <w:pPr>
        <w:pStyle w:val="Heading2"/>
      </w:pPr>
      <w:bookmarkStart w:id="56" w:name="_Toc100056"/>
      <w:r>
        <w:t>11.1 Change Control Process</w:t>
      </w:r>
      <w:bookmarkEnd w:id="56"/>
    </w:p>
    <w:p w:rsidR="00EB510C" w:rsidRDefault="003F5293">
      <w:pPr>
        <w:spacing w:after="160" w:line="360" w:lineRule="auto"/>
        <w:jc w:val="both"/>
      </w:pPr>
      <w:r>
        <w:t>Formal change control protects the approved baseline from uncontrolled scope creep. A proposed change is any requested modification to the scope, schedule, budget, quality criteria or configuration baseline; it becomes an approved change only after a recorded decision by the Change Control Board (CCB). The CCB comprises the sponsor (chair), the project manager, the technical lead and a lecturer representative. Minor changes that do not alter the approved scope, do not affect the critical path and cost no more than AUD 5,000 from contingency may be approved by the project manager, in line with the authority set in the charter (Table 6), and are reported to the CCB at its next meeting.</w:t>
      </w:r>
    </w:p>
    <w:p w:rsidR="00EB510C" w:rsidRDefault="003F5293">
      <w:pPr>
        <w:keepNext/>
        <w:spacing w:before="160"/>
        <w:jc w:val="center"/>
      </w:pPr>
      <w:r>
        <w:rPr>
          <w:noProof/>
        </w:rPr>
        <w:drawing>
          <wp:inline distT="0" distB="0" distL="0" distR="0">
            <wp:extent cx="5943600" cy="1390802"/>
            <wp:effectExtent l="0" t="0" r="0" b="0"/>
            <wp:docPr id="3" name="change.png" descr="Change request and change control workflow" title="Change request and change contro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390802"/>
                    </a:xfrm>
                    <a:prstGeom prst="rect">
                      <a:avLst/>
                    </a:prstGeom>
                  </pic:spPr>
                </pic:pic>
              </a:graphicData>
            </a:graphic>
          </wp:inline>
        </w:drawing>
      </w:r>
    </w:p>
    <w:p w:rsidR="00EB510C" w:rsidRDefault="003F5293">
      <w:pPr>
        <w:spacing w:after="240"/>
        <w:jc w:val="center"/>
      </w:pPr>
      <w:r>
        <w:rPr>
          <w:b/>
          <w:bCs/>
        </w:rPr>
        <w:t xml:space="preserve">Figure 4: </w:t>
      </w:r>
      <w:r>
        <w:rPr>
          <w:i/>
          <w:iCs/>
        </w:rPr>
        <w:t>Change request and change control workflow</w:t>
      </w:r>
    </w:p>
    <w:p w:rsidR="00EB510C" w:rsidRDefault="003F5293">
      <w:pPr>
        <w:spacing w:after="160" w:line="360" w:lineRule="auto"/>
        <w:jc w:val="both"/>
      </w:pPr>
      <w:r>
        <w:t>The workflow in Figure 4 has ten steps:</w:t>
      </w:r>
    </w:p>
    <w:p w:rsidR="00EB510C" w:rsidRDefault="003F5293">
      <w:pPr>
        <w:tabs>
          <w:tab w:val="left" w:pos="720"/>
        </w:tabs>
        <w:spacing w:after="80" w:line="360" w:lineRule="auto"/>
        <w:ind w:left="720" w:hanging="360"/>
        <w:jc w:val="both"/>
      </w:pPr>
      <w:r>
        <w:t>1.</w:t>
        <w:tab/>
      </w:r>
      <w:r>
        <w:rPr>
          <w:b/>
          <w:bCs/>
        </w:rPr>
        <w:t>Submit.</w:t>
      </w:r>
      <w:r>
        <w:t xml:space="preserve"> The requester completes the change request form, submitted as a GitHub Issue with the "change-request" label.</w:t>
      </w:r>
    </w:p>
    <w:p w:rsidR="00EB510C" w:rsidRDefault="003F5293">
      <w:pPr>
        <w:tabs>
          <w:tab w:val="left" w:pos="720"/>
        </w:tabs>
        <w:spacing w:after="80" w:line="360" w:lineRule="auto"/>
        <w:ind w:left="720" w:hanging="360"/>
        <w:jc w:val="both"/>
      </w:pPr>
      <w:r>
        <w:t>2.</w:t>
        <w:tab/>
      </w:r>
      <w:r>
        <w:rPr>
          <w:b/>
          <w:bCs/>
        </w:rPr>
        <w:t>Log and initial review.</w:t>
      </w:r>
      <w:r>
        <w:t xml:space="preserve"> The project manager checks completeness and assigns a CR number.</w:t>
      </w:r>
    </w:p>
    <w:p w:rsidR="00EB510C" w:rsidRDefault="003F5293">
      <w:pPr>
        <w:tabs>
          <w:tab w:val="left" w:pos="720"/>
        </w:tabs>
        <w:spacing w:after="80" w:line="360" w:lineRule="auto"/>
        <w:ind w:left="720" w:hanging="360"/>
        <w:jc w:val="both"/>
      </w:pPr>
      <w:r>
        <w:t>3.</w:t>
        <w:tab/>
      </w:r>
      <w:r>
        <w:rPr>
          <w:b/>
          <w:bCs/>
        </w:rPr>
        <w:t>Impact assessment.</w:t>
      </w:r>
      <w:r>
        <w:t xml:space="preserve"> The relevant specialists assess the change.</w:t>
      </w:r>
    </w:p>
    <w:p w:rsidR="00EB510C" w:rsidRDefault="003F5293">
      <w:pPr>
        <w:tabs>
          <w:tab w:val="left" w:pos="720"/>
        </w:tabs>
        <w:spacing w:after="80" w:line="360" w:lineRule="auto"/>
        <w:ind w:left="720" w:hanging="360"/>
        <w:jc w:val="both"/>
      </w:pPr>
      <w:r>
        <w:t>4.</w:t>
        <w:tab/>
      </w:r>
      <w:r>
        <w:rPr>
          <w:b/>
          <w:bCs/>
        </w:rPr>
        <w:t>Review of effects</w:t>
      </w:r>
      <w:r>
        <w:t xml:space="preserve"> on scope, schedule, cost, quality, security and resources, including effects on the critical path.</w:t>
      </w:r>
    </w:p>
    <w:p w:rsidR="00EB510C" w:rsidRDefault="003F5293">
      <w:pPr>
        <w:tabs>
          <w:tab w:val="left" w:pos="720"/>
        </w:tabs>
        <w:spacing w:after="80" w:line="360" w:lineRule="auto"/>
        <w:ind w:left="720" w:hanging="360"/>
        <w:jc w:val="both"/>
      </w:pPr>
      <w:r>
        <w:t>5.</w:t>
        <w:tab/>
      </w:r>
      <w:r>
        <w:rPr>
          <w:b/>
          <w:bCs/>
        </w:rPr>
        <w:t>Decision.</w:t>
      </w:r>
      <w:r>
        <w:t xml:space="preserve"> The CCB approves, rejects or defers the change and records the reason.</w:t>
      </w:r>
    </w:p>
    <w:p w:rsidR="00EB510C" w:rsidRDefault="003F5293">
      <w:pPr>
        <w:tabs>
          <w:tab w:val="left" w:pos="720"/>
        </w:tabs>
        <w:spacing w:after="80" w:line="360" w:lineRule="auto"/>
        <w:ind w:left="720" w:hanging="360"/>
        <w:jc w:val="both"/>
      </w:pPr>
      <w:r>
        <w:t>6.</w:t>
        <w:tab/>
      </w:r>
      <w:r>
        <w:rPr>
          <w:b/>
          <w:bCs/>
        </w:rPr>
        <w:t>Implement.</w:t>
      </w:r>
      <w:r>
        <w:t xml:space="preserve"> Approved changes are implemented on a separate GitHub feature branch.</w:t>
      </w:r>
    </w:p>
    <w:p w:rsidR="00EB510C" w:rsidRDefault="003F5293">
      <w:pPr>
        <w:tabs>
          <w:tab w:val="left" w:pos="720"/>
        </w:tabs>
        <w:spacing w:after="80" w:line="360" w:lineRule="auto"/>
        <w:ind w:left="720" w:hanging="360"/>
        <w:jc w:val="both"/>
      </w:pPr>
      <w:r>
        <w:t>7.</w:t>
        <w:tab/>
      </w:r>
      <w:r>
        <w:rPr>
          <w:b/>
          <w:bCs/>
        </w:rPr>
        <w:t>Test and verify</w:t>
      </w:r>
      <w:r>
        <w:t xml:space="preserve"> in the staging environment.</w:t>
      </w:r>
    </w:p>
    <w:p w:rsidR="00EB510C" w:rsidRDefault="003F5293">
      <w:pPr>
        <w:tabs>
          <w:tab w:val="left" w:pos="720"/>
        </w:tabs>
        <w:spacing w:after="80" w:line="360" w:lineRule="auto"/>
        <w:ind w:left="720" w:hanging="360"/>
        <w:jc w:val="both"/>
      </w:pPr>
      <w:r>
        <w:t>8.</w:t>
        <w:tab/>
      </w:r>
      <w:r>
        <w:rPr>
          <w:b/>
          <w:bCs/>
        </w:rPr>
        <w:t>Document and version.</w:t>
      </w:r>
      <w:r>
        <w:t xml:space="preserve"> The change is merged through a reviewed pull request, the baseline is updated, and the CHANGELOG is amended.</w:t>
      </w:r>
    </w:p>
    <w:p w:rsidR="00EB510C" w:rsidRDefault="003F5293">
      <w:pPr>
        <w:tabs>
          <w:tab w:val="left" w:pos="720"/>
        </w:tabs>
        <w:spacing w:after="80" w:line="360" w:lineRule="auto"/>
        <w:ind w:left="720" w:hanging="360"/>
        <w:jc w:val="both"/>
      </w:pPr>
      <w:r>
        <w:t>9.</w:t>
        <w:tab/>
      </w:r>
      <w:r>
        <w:rPr>
          <w:b/>
          <w:bCs/>
        </w:rPr>
        <w:t>Communicate</w:t>
      </w:r>
      <w:r>
        <w:t xml:space="preserve"> to affected stakeholders.</w:t>
      </w:r>
    </w:p>
    <w:p w:rsidR="00EB510C" w:rsidRDefault="003F5293">
      <w:pPr>
        <w:tabs>
          <w:tab w:val="left" w:pos="720"/>
        </w:tabs>
        <w:spacing w:after="80" w:line="360" w:lineRule="auto"/>
        <w:ind w:left="720" w:hanging="360"/>
        <w:jc w:val="both"/>
      </w:pPr>
      <w:r>
        <w:t>10.</w:t>
        <w:tab/>
      </w:r>
      <w:r>
        <w:rPr>
          <w:b/>
          <w:bCs/>
        </w:rPr>
        <w:t>Close</w:t>
      </w:r>
      <w:r>
        <w:t xml:space="preserve"> with a complete audit trail linking the issue, pull request and approval.</w:t>
      </w:r>
    </w:p>
    <w:p w:rsidR="00EB510C" w:rsidRDefault="003F5293">
      <w:pPr>
        <w:pStyle w:val="Heading2"/>
      </w:pPr>
      <w:bookmarkStart w:id="57" w:name="_Toc100057"/>
      <w:r>
        <w:lastRenderedPageBreak/>
        <w:t>11.2 Change Request Form</w:t>
      </w:r>
      <w:bookmarkEnd w:id="57"/>
    </w:p>
    <w:p w:rsidR="00EB510C" w:rsidRDefault="003F5293">
      <w:pPr>
        <w:keepNext/>
        <w:spacing w:before="200" w:after="80"/>
      </w:pPr>
      <w:r>
        <w:rPr>
          <w:b/>
          <w:bCs/>
        </w:rPr>
        <w:t xml:space="preserve">Table 23: </w:t>
      </w:r>
      <w:r>
        <w:rPr>
          <w:i/>
          <w:iCs/>
        </w:rPr>
        <w:t>Change request form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5"/>
        <w:gridCol w:w="5221"/>
      </w:tblGrid>
      <w:tr w:rsidR="00EB510C">
        <w:tblPrEx>
          <w:tblCellMar>
            <w:top w:w="0" w:type="dxa"/>
            <w:bottom w:w="0" w:type="dxa"/>
          </w:tblCellMar>
        </w:tblPrEx>
        <w:trPr>
          <w:cantSplit/>
          <w:tblHeader/>
        </w:trPr>
        <w:tc>
          <w:tcPr>
            <w:tcW w:w="3805"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Field</w:t>
            </w:r>
          </w:p>
        </w:tc>
        <w:tc>
          <w:tcPr>
            <w:tcW w:w="522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Description</w:t>
            </w:r>
          </w:p>
        </w:tc>
      </w:tr>
      <w:tr w:rsidR="00EB510C">
        <w:tblPrEx>
          <w:tblCellMar>
            <w:top w:w="0" w:type="dxa"/>
            <w:bottom w:w="0" w:type="dxa"/>
          </w:tblCellMar>
        </w:tblPrEx>
        <w:trPr>
          <w:cantSplit/>
        </w:trPr>
        <w:tc>
          <w:tcPr>
            <w:tcW w:w="3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CR number and date</w:t>
            </w:r>
          </w:p>
        </w:tc>
        <w:tc>
          <w:tcPr>
            <w:tcW w:w="5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Assigned by project manager (e.g., CR-012, GitHub Issue #57)</w:t>
            </w:r>
          </w:p>
        </w:tc>
      </w:tr>
      <w:tr w:rsidR="00EB510C">
        <w:tblPrEx>
          <w:tblCellMar>
            <w:top w:w="0" w:type="dxa"/>
            <w:bottom w:w="0" w:type="dxa"/>
          </w:tblCellMar>
        </w:tblPrEx>
        <w:trPr>
          <w:cantSplit/>
        </w:trPr>
        <w:tc>
          <w:tcPr>
            <w:tcW w:w="38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Requester and role</w:t>
            </w:r>
          </w:p>
        </w:tc>
        <w:tc>
          <w:tcPr>
            <w:tcW w:w="522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Name and position</w:t>
            </w:r>
          </w:p>
        </w:tc>
      </w:tr>
      <w:tr w:rsidR="00EB510C">
        <w:tblPrEx>
          <w:tblCellMar>
            <w:top w:w="0" w:type="dxa"/>
            <w:bottom w:w="0" w:type="dxa"/>
          </w:tblCellMar>
        </w:tblPrEx>
        <w:trPr>
          <w:cantSplit/>
        </w:trPr>
        <w:tc>
          <w:tcPr>
            <w:tcW w:w="3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Description of change</w:t>
            </w:r>
          </w:p>
        </w:tc>
        <w:tc>
          <w:tcPr>
            <w:tcW w:w="5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What is requested</w:t>
            </w:r>
          </w:p>
        </w:tc>
      </w:tr>
      <w:tr w:rsidR="00EB510C">
        <w:tblPrEx>
          <w:tblCellMar>
            <w:top w:w="0" w:type="dxa"/>
            <w:bottom w:w="0" w:type="dxa"/>
          </w:tblCellMar>
        </w:tblPrEx>
        <w:trPr>
          <w:cantSplit/>
        </w:trPr>
        <w:tc>
          <w:tcPr>
            <w:tcW w:w="38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Reason and benefit</w:t>
            </w:r>
          </w:p>
        </w:tc>
        <w:tc>
          <w:tcPr>
            <w:tcW w:w="522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Why the change is needed</w:t>
            </w:r>
          </w:p>
        </w:tc>
      </w:tr>
      <w:tr w:rsidR="00EB510C">
        <w:tblPrEx>
          <w:tblCellMar>
            <w:top w:w="0" w:type="dxa"/>
            <w:bottom w:w="0" w:type="dxa"/>
          </w:tblCellMar>
        </w:tblPrEx>
        <w:trPr>
          <w:cantSplit/>
        </w:trPr>
        <w:tc>
          <w:tcPr>
            <w:tcW w:w="3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Priority</w:t>
            </w:r>
          </w:p>
        </w:tc>
        <w:tc>
          <w:tcPr>
            <w:tcW w:w="5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Critical / High / Medium / Low</w:t>
            </w:r>
          </w:p>
        </w:tc>
      </w:tr>
      <w:tr w:rsidR="00EB510C">
        <w:tblPrEx>
          <w:tblCellMar>
            <w:top w:w="0" w:type="dxa"/>
            <w:bottom w:w="0" w:type="dxa"/>
          </w:tblCellMar>
        </w:tblPrEx>
        <w:trPr>
          <w:cantSplit/>
        </w:trPr>
        <w:tc>
          <w:tcPr>
            <w:tcW w:w="38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Impact on scope</w:t>
            </w:r>
          </w:p>
        </w:tc>
        <w:tc>
          <w:tcPr>
            <w:tcW w:w="522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Deliverables added, removed or modified</w:t>
            </w:r>
          </w:p>
        </w:tc>
      </w:tr>
      <w:tr w:rsidR="00EB510C">
        <w:tblPrEx>
          <w:tblCellMar>
            <w:top w:w="0" w:type="dxa"/>
            <w:bottom w:w="0" w:type="dxa"/>
          </w:tblCellMar>
        </w:tblPrEx>
        <w:trPr>
          <w:cantSplit/>
        </w:trPr>
        <w:tc>
          <w:tcPr>
            <w:tcW w:w="3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Impact on schedule</w:t>
            </w:r>
          </w:p>
        </w:tc>
        <w:tc>
          <w:tcPr>
            <w:tcW w:w="5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Effect on tasks, milestones and critical path</w:t>
            </w:r>
          </w:p>
        </w:tc>
      </w:tr>
      <w:tr w:rsidR="00EB510C">
        <w:tblPrEx>
          <w:tblCellMar>
            <w:top w:w="0" w:type="dxa"/>
            <w:bottom w:w="0" w:type="dxa"/>
          </w:tblCellMar>
        </w:tblPrEx>
        <w:trPr>
          <w:cantSplit/>
        </w:trPr>
        <w:tc>
          <w:tcPr>
            <w:tcW w:w="38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Impact on cost</w:t>
            </w:r>
          </w:p>
        </w:tc>
        <w:tc>
          <w:tcPr>
            <w:tcW w:w="522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Estimated cost and funding source</w:t>
            </w:r>
          </w:p>
        </w:tc>
      </w:tr>
      <w:tr w:rsidR="00EB510C">
        <w:tblPrEx>
          <w:tblCellMar>
            <w:top w:w="0" w:type="dxa"/>
            <w:bottom w:w="0" w:type="dxa"/>
          </w:tblCellMar>
        </w:tblPrEx>
        <w:trPr>
          <w:cantSplit/>
        </w:trPr>
        <w:tc>
          <w:tcPr>
            <w:tcW w:w="3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Impact on quality and security</w:t>
            </w:r>
          </w:p>
        </w:tc>
        <w:tc>
          <w:tcPr>
            <w:tcW w:w="5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Testing, accessibility or security implications</w:t>
            </w:r>
          </w:p>
        </w:tc>
      </w:tr>
      <w:tr w:rsidR="00EB510C">
        <w:tblPrEx>
          <w:tblCellMar>
            <w:top w:w="0" w:type="dxa"/>
            <w:bottom w:w="0" w:type="dxa"/>
          </w:tblCellMar>
        </w:tblPrEx>
        <w:trPr>
          <w:cantSplit/>
        </w:trPr>
        <w:tc>
          <w:tcPr>
            <w:tcW w:w="38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Impact on resources</w:t>
            </w:r>
          </w:p>
        </w:tc>
        <w:tc>
          <w:tcPr>
            <w:tcW w:w="522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People and tools required</w:t>
            </w:r>
          </w:p>
        </w:tc>
      </w:tr>
      <w:tr w:rsidR="00EB510C">
        <w:tblPrEx>
          <w:tblCellMar>
            <w:top w:w="0" w:type="dxa"/>
            <w:bottom w:w="0" w:type="dxa"/>
          </w:tblCellMar>
        </w:tblPrEx>
        <w:trPr>
          <w:cantSplit/>
        </w:trPr>
        <w:tc>
          <w:tcPr>
            <w:tcW w:w="3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Risks introduced</w:t>
            </w:r>
          </w:p>
        </w:tc>
        <w:tc>
          <w:tcPr>
            <w:tcW w:w="5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New or changed risks</w:t>
            </w:r>
          </w:p>
        </w:tc>
      </w:tr>
      <w:tr w:rsidR="00EB510C">
        <w:tblPrEx>
          <w:tblCellMar>
            <w:top w:w="0" w:type="dxa"/>
            <w:bottom w:w="0" w:type="dxa"/>
          </w:tblCellMar>
        </w:tblPrEx>
        <w:trPr>
          <w:cantSplit/>
        </w:trPr>
        <w:tc>
          <w:tcPr>
            <w:tcW w:w="38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Decision</w:t>
            </w:r>
          </w:p>
        </w:tc>
        <w:tc>
          <w:tcPr>
            <w:tcW w:w="522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Approved / Rejected / Deferred, with reason</w:t>
            </w:r>
          </w:p>
        </w:tc>
      </w:tr>
      <w:tr w:rsidR="00EB510C">
        <w:tblPrEx>
          <w:tblCellMar>
            <w:top w:w="0" w:type="dxa"/>
            <w:bottom w:w="0" w:type="dxa"/>
          </w:tblCellMar>
        </w:tblPrEx>
        <w:trPr>
          <w:cantSplit/>
        </w:trPr>
        <w:tc>
          <w:tcPr>
            <w:tcW w:w="38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Approved by and date</w:t>
            </w:r>
          </w:p>
        </w:tc>
        <w:tc>
          <w:tcPr>
            <w:tcW w:w="52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CCB chair signature</w:t>
            </w:r>
          </w:p>
        </w:tc>
      </w:tr>
      <w:tr w:rsidR="00EB510C">
        <w:tblPrEx>
          <w:tblCellMar>
            <w:top w:w="0" w:type="dxa"/>
            <w:bottom w:w="0" w:type="dxa"/>
          </w:tblCellMar>
        </w:tblPrEx>
        <w:trPr>
          <w:cantSplit/>
        </w:trPr>
        <w:tc>
          <w:tcPr>
            <w:tcW w:w="3805"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Implementation reference</w:t>
            </w:r>
          </w:p>
        </w:tc>
        <w:tc>
          <w:tcPr>
            <w:tcW w:w="5221"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GitHub branch, pull request and release tag</w:t>
            </w:r>
          </w:p>
        </w:tc>
      </w:tr>
    </w:tbl>
    <w:p w:rsidR="00EB510C" w:rsidRDefault="00EB510C">
      <w:pPr>
        <w:spacing w:after="120"/>
      </w:pPr>
    </w:p>
    <w:p>
      <w:pPr>
        <w:pStyle w:val="Heading2"/>
      </w:pPr>
      <w:r>
        <w:t xml:space="preserve">11.3 Worked Example: Change Request CR-014</w:t>
      </w:r>
    </w:p>
    <w:p>
      <w:pPr>
        <w:spacing w:after="160" w:line="360" w:lineRule="auto"/>
        <w:jc w:val="both"/>
      </w:pPr>
      <w:r>
        <w:t xml:space="preserve">To show how the process works in practice, Table 24 records a realistic change request raised during the pilot preparation period. It follows all ten steps in Figure 4.</w:t>
      </w:r>
    </w:p>
    <w:p>
      <w:pPr>
        <w:keepNext/>
        <w:spacing w:before="200" w:after="80"/>
      </w:pPr>
      <w:r>
        <w:rPr>
          <w:b/>
          <w:bCs/>
        </w:rPr>
        <w:t xml:space="preserve">Table 24: </w:t>
      </w:r>
      <w:r>
        <w:rPr>
          <w:i/>
          <w:iCs/>
        </w:rPr>
        <w:t>Completed change request form for CR-014 (illustrative)</w:t>
      </w:r>
    </w:p>
    <w:tbl>
      <w:tblPr>
        <w:tblW w:w="9026" w:type="dxa"/>
        <w:tblLayout w:type="fixed"/>
        <w:tblCellMar>
          <w:left w:w="10" w:type="dxa"/>
          <w:right w:w="10" w:type="dxa"/>
        </w:tblCellMar>
        <w:tblLook w:val="0000" w:firstRow="0" w:lastRow="0" w:firstColumn="0" w:lastColumn="0" w:noHBand="0" w:noVBand="0"/>
      </w:tblPr>
      <w:tblGrid>
        <w:gridCol w:w="2600"/>
        <w:gridCol w:w="6426"/>
      </w:tblGrid>
      <w:tr>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Field</w:t>
            </w:r>
          </w:p>
        </w:tc>
        <w:tc>
          <w:tcPr>
            <w:tcW w:w="6426"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7"/>
                <w:szCs w:val="17"/>
              </w:rPr>
              <w:t xml:space="preserve">Entry</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CR number and date</w:t>
            </w:r>
          </w:p>
        </w:tc>
        <w:tc>
          <w:tcPr>
            <w:tcW w:w="6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CR-014, raised in Week 16 (GitHub Issue #73, label "change-request")</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Requester and role</w:t>
            </w:r>
          </w:p>
        </w:tc>
        <w:tc>
          <w:tcPr>
            <w:tcW w:w="6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Dr Emily Brooks, Lecturer Representative (School of Business)</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Description of change</w:t>
            </w:r>
          </w:p>
        </w:tc>
        <w:tc>
          <w:tcPr>
            <w:tcW w:w="6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Integrate live video conferencing (Zoom, through an LTI 1.3 plugin) into Moodle so that lecturers can schedule and launch live classes from inside each course, available from the start of the pilot</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Reason and benefit</w:t>
            </w:r>
          </w:p>
        </w:tc>
        <w:tc>
          <w:tcPr>
            <w:tcW w:w="6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One place for live and self-paced learning; requested by several pilot lecturers during training</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Priority</w:t>
            </w:r>
          </w:p>
        </w:tc>
        <w:tc>
          <w:tcPr>
            <w:tcW w:w="6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Medium</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Impact on scope</w:t>
            </w:r>
          </w:p>
        </w:tc>
        <w:tc>
          <w:tcPr>
            <w:tcW w:w="6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Adds a deliverable that the scope statement lists as out of scope (Section 4.2); requires a plugin outside the approved list, configuration and new user guides</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Impact on schedule</w:t>
            </w:r>
          </w:p>
        </w:tc>
        <w:tc>
          <w:tcPr>
            <w:tcW w:w="6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Plugin evaluation, security and privacy review and integration testing add about three weeks to task 8.2, which has zero float. The pilot would move from Week 18 to Week 21 and go-live from Week 25 to Week 28, which falls inside the teaching trimester and breaches the constraint in Table 9</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Impact on cost</w:t>
            </w:r>
          </w:p>
        </w:tc>
        <w:tc>
          <w:tcPr>
            <w:tcW w:w="6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AUD 18,500 (developer and security effort 9,500; video platform integration licence 6,000; training material updates 3,000), which is 60% of the contingency reserve</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Impact on quality and security</w:t>
            </w:r>
          </w:p>
        </w:tc>
        <w:tc>
          <w:tcPr>
            <w:tcW w:w="6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Creates a new flow of student personal information to a third party; requires an updated privacy impact assessment and extra accessibility testing</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Impact on resources</w:t>
            </w:r>
          </w:p>
        </w:tc>
        <w:tc>
          <w:tcPr>
            <w:tcW w:w="6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Technical Lead +2 weeks; Security Specialist +1 week; QA Tester +1 week; Instructional Designer +3 days</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Risks introduced</w:t>
            </w:r>
          </w:p>
        </w:tc>
        <w:tc>
          <w:tcPr>
            <w:tcW w:w="6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Raises the likelihood of R6 (privacy), R10 (plugin compatibility) and R14 (schedule overrun)</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Decision</w:t>
            </w:r>
          </w:p>
        </w:tc>
        <w:tc>
          <w:tcPr>
            <w:tcW w:w="6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Rejected for this phase at the CCB meeting in Week 16, and added to the Phase 2 backlog. Reasons: out of scope, threatens the trimester go-live constraint, and the existing institutional video tool remains available</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Approved by and date</w:t>
            </w:r>
          </w:p>
        </w:tc>
        <w:tc>
          <w:tcPr>
            <w:tcW w:w="6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Dr Helen Carter, CCB Chair, Week 16 (decision recorded in /06-change-management/ccb-decisions.md)</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Implementation reference</w:t>
            </w:r>
          </w:p>
        </w:tc>
        <w:tc>
          <w:tcPr>
            <w:tcW w:w="6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7"/>
                <w:szCs w:val="17"/>
              </w:rPr>
              <w:t xml:space="preserve">No branch created; Issue #73 closed with the label "phase-2-backlog"</w:t>
            </w:r>
          </w:p>
        </w:tc>
      </w:tr>
    </w:tbl>
    <w:p>
      <w:pPr>
        <w:spacing w:after="120"/>
      </w:pPr>
    </w:p>
    <w:p>
      <w:pPr>
        <w:spacing w:after="160" w:line="360" w:lineRule="auto"/>
        <w:jc w:val="both"/>
      </w:pPr>
      <w:r>
        <w:t xml:space="preserve">The impact assessment was decisive. Task 8.2 sits on the critical path with zero total float, so any extra security and integration work moves every following task, including the go/no-go review and production deployment. Approving the change would have pushed go-live into the teaching trimester, which the charter prohibits. The requester was told about the decision within two working days through the issue thread. The decision was also reported in the next steering committee status report, and lecturers were reminded through the monthly bulletin that the existing video tool remains supported.</w:t>
      </w:r>
    </w:p>
    <w:p>
      <w:pPr>
        <w:pStyle w:val="Heading2"/>
      </w:pPr>
      <w:r>
        <w:t xml:space="preserve">11.4 Change Log</w:t>
      </w:r>
    </w:p>
    <w:p>
      <w:pPr>
        <w:spacing w:after="160" w:line="360" w:lineRule="auto"/>
        <w:jc w:val="both"/>
      </w:pPr>
      <w:r>
        <w:t xml:space="preserve">The change log gives the steering committee a single view of every request and its outcome. It is generated from the GitHub Issues labelled "change-request". Table 25 shows the planned format with illustrative entries, including how contingency is drawn down through approved changes.</w:t>
      </w:r>
    </w:p>
    <w:p>
      <w:pPr>
        <w:keepNext/>
        <w:spacing w:before="200" w:after="80"/>
      </w:pPr>
      <w:r>
        <w:rPr>
          <w:b/>
          <w:bCs/>
        </w:rPr>
        <w:t xml:space="preserve">Table 25: </w:t>
      </w:r>
      <w:r>
        <w:rPr>
          <w:i/>
          <w:iCs/>
        </w:rPr>
        <w:t>Change log (illustrative entries)</w:t>
      </w:r>
    </w:p>
    <w:tbl>
      <w:tblPr>
        <w:tblW w:w="9026" w:type="dxa"/>
        <w:tblLayout w:type="fixed"/>
        <w:tblCellMar>
          <w:left w:w="10" w:type="dxa"/>
          <w:right w:w="10" w:type="dxa"/>
        </w:tblCellMar>
        <w:tblLook w:val="0000" w:firstRow="0" w:lastRow="0" w:firstColumn="0" w:lastColumn="0" w:noHBand="0" w:noVBand="0"/>
      </w:tblPr>
      <w:tblGrid>
        <w:gridCol w:w="800"/>
        <w:gridCol w:w="600"/>
        <w:gridCol w:w="2100"/>
        <w:gridCol w:w="1300"/>
        <w:gridCol w:w="1900"/>
        <w:gridCol w:w="1000"/>
        <w:gridCol w:w="1326"/>
      </w:tblGrid>
      <w:tr>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6"/>
                <w:szCs w:val="16"/>
              </w:rPr>
              <w:t xml:space="preserve">CR</w:t>
            </w:r>
          </w:p>
        </w:tc>
        <w:tc>
          <w:tcPr>
            <w:tcW w:w="6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6"/>
                <w:szCs w:val="16"/>
              </w:rPr>
              <w:t xml:space="preserve">Week</w:t>
            </w:r>
          </w:p>
        </w:tc>
        <w:tc>
          <w:tcPr>
            <w:tcW w:w="21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6"/>
                <w:szCs w:val="16"/>
              </w:rPr>
              <w:t xml:space="preserve">Change</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6"/>
                <w:szCs w:val="16"/>
              </w:rPr>
              <w:t xml:space="preserve">Decision</w:t>
            </w:r>
          </w:p>
        </w:tc>
        <w:tc>
          <w:tcPr>
            <w:tcW w:w="19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6"/>
                <w:szCs w:val="16"/>
              </w:rPr>
              <w:t xml:space="preserve">Schedule and cost impact</w:t>
            </w:r>
          </w:p>
        </w:tc>
        <w:tc>
          <w:tcPr>
            <w:tcW w:w="100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6"/>
                <w:szCs w:val="16"/>
              </w:rPr>
              <w:t xml:space="preserve">Approved by</w:t>
            </w:r>
          </w:p>
        </w:tc>
        <w:tc>
          <w:tcPr>
            <w:tcW w:w="1326"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pPr>
              <w:spacing w:after="0"/>
            </w:pPr>
            <w:r>
              <w:rPr>
                <w:b/>
                <w:bCs/>
                <w:color w:val="FFFFFF"/>
                <w:sz w:val="16"/>
                <w:szCs w:val="16"/>
              </w:rPr>
              <w:t xml:space="preserve">Reference</w:t>
            </w:r>
          </w:p>
        </w:tc>
      </w:tr>
      <w:tr>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CR-008</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9</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Increase staging capacity to match production for load testing</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Approved (PM, minor)</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No schedule effect; AUD 1,200 from contingency</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Daniel Reyes</w:t>
            </w:r>
          </w:p>
        </w:tc>
        <w:tc>
          <w:tcPr>
            <w:tcW w:w="1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Infrastructure ticket; noted in CHANGELOG</w:t>
            </w:r>
          </w:p>
        </w:tc>
      </w:tr>
      <w:tr>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CR-011</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12</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Add a similarity-checking plugin for assignments</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Deferred to Phase 2</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Plugin not on approved list; licence cost not budgeted</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CCB</w:t>
            </w:r>
          </w:p>
        </w:tc>
        <w:tc>
          <w:tcPr>
            <w:tcW w:w="1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Issue #58</w:t>
            </w:r>
          </w:p>
        </w:tc>
      </w:tr>
      <w:tr>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CR-012</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12</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Change default quiz settings (time limits, review options)</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Approved (PM, minor)</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No cost; completed within task 6.1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Daniel Reyes</w:t>
            </w:r>
          </w:p>
        </w:tc>
        <w:tc>
          <w:tcPr>
            <w:tcW w:w="1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feature/cr-012-quiz-settings; PR #61; tag v1.0</w:t>
            </w:r>
          </w:p>
        </w:tc>
      </w:tr>
      <w:tr>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CR-014</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16</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Integrate live video conferencing into Moodle</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Rejected (Phase 2 backlog)</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Would add 3 weeks to the critical path and AUD 18,500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CCB</w:t>
            </w:r>
          </w:p>
        </w:tc>
        <w:tc>
          <w:tcPr>
            <w:tcW w:w="1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Issue #73</w:t>
            </w:r>
          </w:p>
        </w:tc>
      </w:tr>
      <w:tr>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CR-017</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21</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Add a contract QA tester for one week to clear the remediation backlog</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Approved (CCB)</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Crashing task 11.1 protects UAT in Week 23; AUD 3,500 from contingency</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CCB</w:t>
            </w:r>
          </w:p>
        </w:tc>
        <w:tc>
          <w:tcPr>
            <w:tcW w:w="1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pPr>
              <w:spacing w:after="0"/>
            </w:pPr>
            <w:r>
              <w:rPr>
                <w:sz w:val="16"/>
                <w:szCs w:val="16"/>
              </w:rPr>
              <w:t xml:space="preserve">Issue #88; tag v1.1</w:t>
            </w:r>
          </w:p>
        </w:tc>
      </w:tr>
    </w:tbl>
    <w:p>
      <w:pPr>
        <w:spacing w:after="120"/>
      </w:pPr>
    </w:p>
    <w:p w:rsidR="00EB510C" w:rsidRDefault="003F5293">
      <w:pPr>
        <w:pStyle w:val="Heading2"/>
      </w:pPr>
      <w:bookmarkStart w:id="58" w:name="_Toc100058"/>
      <w:r>
        <w:t>11.5 Organisational Change Management</w:t>
      </w:r>
      <w:bookmarkEnd w:id="58"/>
    </w:p>
    <w:p w:rsidR="00EB510C" w:rsidRDefault="003F5293">
      <w:pPr>
        <w:spacing w:after="160" w:line="360" w:lineRule="auto"/>
        <w:jc w:val="both"/>
      </w:pPr>
      <w:r>
        <w:t>An LMS changes how lecturers teach and how students learn, so the project also manages the human side of change. The approach is based directly on the evidence in Section 2:</w:t>
      </w:r>
    </w:p>
    <w:p w:rsidR="00EB510C" w:rsidRDefault="003F5293">
      <w:pPr>
        <w:pStyle w:val="ListParagraph"/>
        <w:numPr>
          <w:ilvl w:val="0"/>
          <w:numId w:val="2"/>
        </w:numPr>
        <w:spacing w:after="80" w:line="360" w:lineRule="auto"/>
        <w:jc w:val="both"/>
      </w:pPr>
      <w:r>
        <w:rPr>
          <w:b/>
          <w:bCs/>
        </w:rPr>
        <w:t>Phased rollout rather than sudden introduction.</w:t>
      </w:r>
      <w:r>
        <w:t xml:space="preserve"> The five-course pilot allows staff and students to experience the system before full deployment and provides evidence for improvement [5].</w:t>
      </w:r>
    </w:p>
    <w:p w:rsidR="00EB510C" w:rsidRDefault="003F5293">
      <w:pPr>
        <w:pStyle w:val="ListParagraph"/>
        <w:numPr>
          <w:ilvl w:val="0"/>
          <w:numId w:val="2"/>
        </w:numPr>
        <w:spacing w:after="80" w:line="360" w:lineRule="auto"/>
        <w:jc w:val="both"/>
      </w:pPr>
      <w:r>
        <w:rPr>
          <w:b/>
          <w:bCs/>
        </w:rPr>
        <w:t>Reducing workload, not adding to it.</w:t>
      </w:r>
      <w:r>
        <w:t xml:space="preserve"> Course templates, migrated content and drop-in support reduce the time lecturers need to prepare courses, addressing the main barrier identified by Garrote Jurado [1].</w:t>
      </w:r>
    </w:p>
    <w:p w:rsidR="00EB510C" w:rsidRDefault="003F5293">
      <w:pPr>
        <w:pStyle w:val="ListParagraph"/>
        <w:numPr>
          <w:ilvl w:val="0"/>
          <w:numId w:val="2"/>
        </w:numPr>
        <w:spacing w:after="80" w:line="360" w:lineRule="auto"/>
        <w:jc w:val="both"/>
      </w:pPr>
      <w:r>
        <w:rPr>
          <w:b/>
          <w:bCs/>
        </w:rPr>
        <w:t>Training and capability building.</w:t>
      </w:r>
      <w:r>
        <w:t xml:space="preserve"> A train-the-trainer model and short, role-based workshops build staff skills [4].</w:t>
      </w:r>
    </w:p>
    <w:p w:rsidR="00EB510C" w:rsidRDefault="003F5293">
      <w:pPr>
        <w:pStyle w:val="ListParagraph"/>
        <w:numPr>
          <w:ilvl w:val="0"/>
          <w:numId w:val="2"/>
        </w:numPr>
        <w:spacing w:after="80" w:line="360" w:lineRule="auto"/>
        <w:jc w:val="both"/>
      </w:pPr>
      <w:r>
        <w:rPr>
          <w:b/>
          <w:bCs/>
        </w:rPr>
        <w:t>Champions and incentives.</w:t>
      </w:r>
      <w:r>
        <w:t xml:space="preserve"> Pilot lecturers act as school champions, and the sponsor recognises LMS course development in workload planning.</w:t>
      </w:r>
    </w:p>
    <w:p w:rsidR="00EB510C" w:rsidRDefault="003F5293">
      <w:pPr>
        <w:pStyle w:val="ListParagraph"/>
        <w:numPr>
          <w:ilvl w:val="0"/>
          <w:numId w:val="2"/>
        </w:numPr>
        <w:spacing w:after="80" w:line="360" w:lineRule="auto"/>
        <w:jc w:val="both"/>
      </w:pPr>
      <w:r>
        <w:rPr>
          <w:b/>
          <w:bCs/>
        </w:rPr>
        <w:t>Listening and responding.</w:t>
      </w:r>
      <w:r>
        <w:t xml:space="preserve"> Pilot feedback from both lecturers and students is analysed and acted on during remediation, reflecting Al-Busaidi's [12] finding that learners sustain long-term use.</w:t>
      </w:r>
    </w:p>
    <w:p w:rsidR="00EB510C" w:rsidRDefault="003F5293">
      <w:pPr>
        <w:pStyle w:val="Heading1"/>
        <w:pageBreakBefore/>
      </w:pPr>
      <w:bookmarkStart w:id="59" w:name="_Toc243565019"/>
      <w:r>
        <w:lastRenderedPageBreak/>
        <w:t>12. Communication Management Plan</w:t>
      </w:r>
      <w:bookmarkEnd w:id="59"/>
    </w:p>
    <w:p w:rsidR="00EB510C" w:rsidRDefault="003F5293">
      <w:pPr>
        <w:pStyle w:val="Heading2"/>
      </w:pPr>
      <w:bookmarkStart w:id="60" w:name="_Toc100060"/>
      <w:r>
        <w:t>12.1 Communication Objectives</w:t>
      </w:r>
      <w:bookmarkEnd w:id="60"/>
    </w:p>
    <w:p w:rsidR="00EB510C" w:rsidRDefault="003F5293">
      <w:pPr>
        <w:spacing w:after="160" w:line="360" w:lineRule="auto"/>
        <w:jc w:val="both"/>
      </w:pPr>
      <w:r>
        <w:t>Communication supports adoption by explaining why the LMS is changing, what it means for each group and how people can get help. It also keeps decision-makers informed so that approvals are not delayed.</w:t>
      </w:r>
    </w:p>
    <w:p w:rsidR="00EB510C" w:rsidRDefault="003F5293">
      <w:pPr>
        <w:pStyle w:val="Heading2"/>
      </w:pPr>
      <w:bookmarkStart w:id="61" w:name="_Toc100061"/>
      <w:r>
        <w:t>12.2 Communication Matrix</w:t>
      </w:r>
      <w:bookmarkEnd w:id="61"/>
    </w:p>
    <w:p w:rsidR="00EB510C" w:rsidRDefault="003F5293">
      <w:pPr>
        <w:keepNext/>
        <w:spacing w:before="200" w:after="80"/>
      </w:pPr>
      <w:r>
        <w:rPr>
          <w:b/>
          <w:bCs/>
        </w:rPr>
        <w:t xml:space="preserve">Table 26: </w:t>
      </w:r>
      <w:r>
        <w:rPr>
          <w:i/>
          <w:iCs/>
        </w:rPr>
        <w:t>Stakeholder communication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8"/>
        <w:gridCol w:w="1702"/>
        <w:gridCol w:w="1727"/>
        <w:gridCol w:w="1627"/>
        <w:gridCol w:w="1359"/>
        <w:gridCol w:w="1283"/>
      </w:tblGrid>
      <w:tr w:rsidR="00EB510C">
        <w:tblPrEx>
          <w:tblCellMar>
            <w:top w:w="0" w:type="dxa"/>
            <w:bottom w:w="0" w:type="dxa"/>
          </w:tblCellMar>
        </w:tblPrEx>
        <w:trPr>
          <w:cantSplit/>
          <w:tblHeader/>
        </w:trPr>
        <w:tc>
          <w:tcPr>
            <w:tcW w:w="1328"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Stakeholder</w:t>
            </w:r>
          </w:p>
        </w:tc>
        <w:tc>
          <w:tcPr>
            <w:tcW w:w="170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Information needed</w:t>
            </w:r>
          </w:p>
        </w:tc>
        <w:tc>
          <w:tcPr>
            <w:tcW w:w="1727"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Method</w:t>
            </w:r>
          </w:p>
        </w:tc>
        <w:tc>
          <w:tcPr>
            <w:tcW w:w="1627"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Frequency or trigger</w:t>
            </w:r>
          </w:p>
        </w:tc>
        <w:tc>
          <w:tcPr>
            <w:tcW w:w="1359"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Sender</w:t>
            </w:r>
          </w:p>
        </w:tc>
        <w:tc>
          <w:tcPr>
            <w:tcW w:w="1283"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Feedback channel</w:t>
            </w:r>
          </w:p>
        </w:tc>
      </w:tr>
      <w:tr w:rsidR="00EB510C">
        <w:tblPrEx>
          <w:tblCellMar>
            <w:top w:w="0" w:type="dxa"/>
            <w:bottom w:w="0" w:type="dxa"/>
          </w:tblCellMar>
        </w:tblPrEx>
        <w:trPr>
          <w:cantSplit/>
        </w:trPr>
        <w:tc>
          <w:tcPr>
            <w:tcW w:w="13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Project sponsor and steering committee</w:t>
            </w:r>
          </w:p>
        </w:tc>
        <w:tc>
          <w:tcPr>
            <w:tcW w:w="17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Progress, risks, issues, decisions needed</w:t>
            </w:r>
          </w:p>
        </w:tc>
        <w:tc>
          <w:tcPr>
            <w:tcW w:w="1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Status report; steering meeting</w:t>
            </w:r>
          </w:p>
        </w:tc>
        <w:tc>
          <w:tcPr>
            <w:tcW w:w="16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Fortnightly report; monthly meeting; ad hoc for escalations</w:t>
            </w:r>
          </w:p>
        </w:tc>
        <w:tc>
          <w:tcPr>
            <w:tcW w:w="13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Project Manager</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Meeting minutes; decision log</w:t>
            </w:r>
          </w:p>
        </w:tc>
      </w:tr>
      <w:tr w:rsidR="00EB510C">
        <w:tblPrEx>
          <w:tblCellMar>
            <w:top w:w="0" w:type="dxa"/>
            <w:bottom w:w="0" w:type="dxa"/>
          </w:tblCellMar>
        </w:tblPrEx>
        <w:trPr>
          <w:cantSplit/>
        </w:trPr>
        <w:tc>
          <w:tcPr>
            <w:tcW w:w="132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Project team</w:t>
            </w:r>
          </w:p>
        </w:tc>
        <w:tc>
          <w:tcPr>
            <w:tcW w:w="170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Tasks, dependencies, blockers</w:t>
            </w:r>
          </w:p>
        </w:tc>
        <w:tc>
          <w:tcPr>
            <w:tcW w:w="172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Stand-up meeting; GitHub project board</w:t>
            </w:r>
          </w:p>
        </w:tc>
        <w:tc>
          <w:tcPr>
            <w:tcW w:w="162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Twice weekly; continuous board updates</w:t>
            </w:r>
          </w:p>
        </w:tc>
        <w:tc>
          <w:tcPr>
            <w:tcW w:w="135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Project Manager</w:t>
            </w:r>
          </w:p>
        </w:tc>
        <w:tc>
          <w:tcPr>
            <w:tcW w:w="128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GitHub Issues; meeting</w:t>
            </w:r>
          </w:p>
        </w:tc>
      </w:tr>
      <w:tr w:rsidR="00EB510C">
        <w:tblPrEx>
          <w:tblCellMar>
            <w:top w:w="0" w:type="dxa"/>
            <w:bottom w:w="0" w:type="dxa"/>
          </w:tblCellMar>
        </w:tblPrEx>
        <w:trPr>
          <w:cantSplit/>
        </w:trPr>
        <w:tc>
          <w:tcPr>
            <w:tcW w:w="13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Lecturers</w:t>
            </w:r>
          </w:p>
        </w:tc>
        <w:tc>
          <w:tcPr>
            <w:tcW w:w="17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Purpose, timeline, training dates, support, what changes for them</w:t>
            </w:r>
          </w:p>
        </w:tc>
        <w:tc>
          <w:tcPr>
            <w:tcW w:w="1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Email bulletin; school meetings; training sessions; LMS help pages</w:t>
            </w:r>
          </w:p>
        </w:tc>
        <w:tc>
          <w:tcPr>
            <w:tcW w:w="16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Monthly bulletin; before training; at go-live</w:t>
            </w:r>
          </w:p>
        </w:tc>
        <w:tc>
          <w:tcPr>
            <w:tcW w:w="13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Project Manager / Instructional Designer</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Surveys; drop-in clinics; champions</w:t>
            </w:r>
          </w:p>
        </w:tc>
      </w:tr>
      <w:tr w:rsidR="00EB510C">
        <w:tblPrEx>
          <w:tblCellMar>
            <w:top w:w="0" w:type="dxa"/>
            <w:bottom w:w="0" w:type="dxa"/>
          </w:tblCellMar>
        </w:tblPrEx>
        <w:trPr>
          <w:cantSplit/>
        </w:trPr>
        <w:tc>
          <w:tcPr>
            <w:tcW w:w="132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Pilot lecturers and students</w:t>
            </w:r>
          </w:p>
        </w:tc>
        <w:tc>
          <w:tcPr>
            <w:tcW w:w="170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Pilot schedule, how to report problems, changes made</w:t>
            </w:r>
          </w:p>
        </w:tc>
        <w:tc>
          <w:tcPr>
            <w:tcW w:w="172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Briefing session; in-LMS announcements</w:t>
            </w:r>
          </w:p>
        </w:tc>
        <w:tc>
          <w:tcPr>
            <w:tcW w:w="162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Before pilot; weekly during pilot</w:t>
            </w:r>
          </w:p>
        </w:tc>
        <w:tc>
          <w:tcPr>
            <w:tcW w:w="135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Project Manager</w:t>
            </w:r>
          </w:p>
        </w:tc>
        <w:tc>
          <w:tcPr>
            <w:tcW w:w="128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Pilot feedback form; focus groups</w:t>
            </w:r>
          </w:p>
        </w:tc>
      </w:tr>
      <w:tr w:rsidR="00EB510C">
        <w:tblPrEx>
          <w:tblCellMar>
            <w:top w:w="0" w:type="dxa"/>
            <w:bottom w:w="0" w:type="dxa"/>
          </w:tblCellMar>
        </w:tblPrEx>
        <w:trPr>
          <w:cantSplit/>
        </w:trPr>
        <w:tc>
          <w:tcPr>
            <w:tcW w:w="13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Students</w:t>
            </w:r>
          </w:p>
        </w:tc>
        <w:tc>
          <w:tcPr>
            <w:tcW w:w="17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What the LMS is, when it starts, how to log in, where to get help</w:t>
            </w:r>
          </w:p>
        </w:tc>
        <w:tc>
          <w:tcPr>
            <w:tcW w:w="1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Student portal news; email; orientation video; in-LMS announcements</w:t>
            </w:r>
          </w:p>
        </w:tc>
        <w:tc>
          <w:tcPr>
            <w:tcW w:w="16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Four weeks and one week before go-live; at go-live</w:t>
            </w:r>
          </w:p>
        </w:tc>
        <w:tc>
          <w:tcPr>
            <w:tcW w:w="13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Student Services with Project Manager</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Help desk; student survey</w:t>
            </w:r>
          </w:p>
        </w:tc>
      </w:tr>
      <w:tr w:rsidR="00EB510C">
        <w:tblPrEx>
          <w:tblCellMar>
            <w:top w:w="0" w:type="dxa"/>
            <w:bottom w:w="0" w:type="dxa"/>
          </w:tblCellMar>
        </w:tblPrEx>
        <w:trPr>
          <w:cantSplit/>
        </w:trPr>
        <w:tc>
          <w:tcPr>
            <w:tcW w:w="132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Academic administrators</w:t>
            </w:r>
          </w:p>
        </w:tc>
        <w:tc>
          <w:tcPr>
            <w:tcW w:w="170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Course setup and enrolment processes</w:t>
            </w:r>
          </w:p>
        </w:tc>
        <w:tc>
          <w:tcPr>
            <w:tcW w:w="172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Workshop; procedure guide</w:t>
            </w:r>
          </w:p>
        </w:tc>
        <w:tc>
          <w:tcPr>
            <w:tcW w:w="162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Before pilot; before go-live</w:t>
            </w:r>
          </w:p>
        </w:tc>
        <w:tc>
          <w:tcPr>
            <w:tcW w:w="135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LMS Administrator</w:t>
            </w:r>
          </w:p>
        </w:tc>
        <w:tc>
          <w:tcPr>
            <w:tcW w:w="128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Workshop Q&amp;A; GitHub Issues</w:t>
            </w:r>
          </w:p>
        </w:tc>
      </w:tr>
      <w:tr w:rsidR="00EB510C">
        <w:tblPrEx>
          <w:tblCellMar>
            <w:top w:w="0" w:type="dxa"/>
            <w:bottom w:w="0" w:type="dxa"/>
          </w:tblCellMar>
        </w:tblPrEx>
        <w:trPr>
          <w:cantSplit/>
        </w:trPr>
        <w:tc>
          <w:tcPr>
            <w:tcW w:w="13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IT services</w:t>
            </w:r>
          </w:p>
        </w:tc>
        <w:tc>
          <w:tcPr>
            <w:tcW w:w="17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Architecture, operations, handover</w:t>
            </w:r>
          </w:p>
        </w:tc>
        <w:tc>
          <w:tcPr>
            <w:tcW w:w="1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Technical documentation; handover sessions</w:t>
            </w:r>
          </w:p>
        </w:tc>
        <w:tc>
          <w:tcPr>
            <w:tcW w:w="16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During design; before handover</w:t>
            </w:r>
          </w:p>
        </w:tc>
        <w:tc>
          <w:tcPr>
            <w:tcW w:w="13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Technical Lead</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Handover checklist</w:t>
            </w:r>
          </w:p>
        </w:tc>
      </w:tr>
      <w:tr w:rsidR="00EB510C">
        <w:tblPrEx>
          <w:tblCellMar>
            <w:top w:w="0" w:type="dxa"/>
            <w:bottom w:w="0" w:type="dxa"/>
          </w:tblCellMar>
        </w:tblPrEx>
        <w:trPr>
          <w:cantSplit/>
        </w:trPr>
        <w:tc>
          <w:tcPr>
            <w:tcW w:w="132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All users (incidents)</w:t>
            </w:r>
          </w:p>
        </w:tc>
        <w:tc>
          <w:tcPr>
            <w:tcW w:w="170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Outages, workarounds, restoration</w:t>
            </w:r>
          </w:p>
        </w:tc>
        <w:tc>
          <w:tcPr>
            <w:tcW w:w="172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LMS banner; email</w:t>
            </w:r>
          </w:p>
        </w:tc>
        <w:tc>
          <w:tcPr>
            <w:tcW w:w="162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On incident</w:t>
            </w:r>
          </w:p>
        </w:tc>
        <w:tc>
          <w:tcPr>
            <w:tcW w:w="135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LMS Administrator</w:t>
            </w:r>
          </w:p>
        </w:tc>
        <w:tc>
          <w:tcPr>
            <w:tcW w:w="128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Help desk</w:t>
            </w:r>
          </w:p>
        </w:tc>
      </w:tr>
    </w:tbl>
    <w:p w:rsidR="00EB510C" w:rsidRDefault="00EB510C">
      <w:pPr>
        <w:spacing w:after="120"/>
      </w:pPr>
    </w:p>
    <w:p w:rsidR="00EB510C" w:rsidRDefault="003F5293">
      <w:pPr>
        <w:pStyle w:val="Heading2"/>
      </w:pPr>
      <w:bookmarkStart w:id="62" w:name="_Toc100062"/>
      <w:r>
        <w:t>12.3 Communication and Adoption</w:t>
      </w:r>
      <w:bookmarkEnd w:id="62"/>
    </w:p>
    <w:p w:rsidR="00EB510C" w:rsidRDefault="003F5293">
      <w:pPr>
        <w:spacing w:after="160" w:line="360" w:lineRule="auto"/>
        <w:jc w:val="both"/>
      </w:pPr>
      <w:r>
        <w:t>The communication plan deliberately begins with lecturers and continues through hypercare, because research shows that staff motivation and visible support are implementation drivers [5]. Messages emphasise practical benefits, such as faster grading and reusable templates, to address perceived usefulness [9]. Every communication includes a clear route for questions or feedback, and feedback is reviewed at weekly team meetings so that concerns are answered visibly.</w:t>
      </w:r>
    </w:p>
    <w:p w:rsidR="00EB510C" w:rsidRDefault="003F5293">
      <w:pPr>
        <w:pStyle w:val="Heading1"/>
        <w:pageBreakBefore/>
      </w:pPr>
      <w:bookmarkStart w:id="63" w:name="_Toc243565020"/>
      <w:r>
        <w:lastRenderedPageBreak/>
        <w:t>13. Quality Management Approach</w:t>
      </w:r>
      <w:bookmarkEnd w:id="63"/>
    </w:p>
    <w:p w:rsidR="00EB510C" w:rsidRDefault="003F5293">
      <w:pPr>
        <w:pStyle w:val="Heading2"/>
      </w:pPr>
      <w:bookmarkStart w:id="64" w:name="_Toc100064"/>
      <w:r>
        <w:t>13.1 Quality Assurance and Quality Control</w:t>
      </w:r>
      <w:bookmarkEnd w:id="64"/>
    </w:p>
    <w:p w:rsidR="00EB510C" w:rsidRDefault="003F5293">
      <w:pPr>
        <w:spacing w:after="160" w:line="360" w:lineRule="auto"/>
        <w:jc w:val="both"/>
      </w:pPr>
      <w:r>
        <w:t xml:space="preserve">Quality assurance (QA) focuses on the processes used to build the LMS, such as requirements reviews, design reviews, peer review of configuration changes through pull requests and adherence to the change control process. Quality control (QC) focuses on inspecting and testing the outputs, such as functional, security and accessibility testing. Both are needed: QA prevents defects, while QC detects those that remain. The quality objectives reflect the DeLone and McLean dimensions of system quality, information quality and user satisfaction [10], [11].</w:t>
      </w:r>
    </w:p>
    <w:p w:rsidR="00EB510C" w:rsidRDefault="003F5293">
      <w:pPr>
        <w:pStyle w:val="Heading2"/>
      </w:pPr>
      <w:bookmarkStart w:id="65" w:name="_Toc100065"/>
      <w:r>
        <w:t>13.2 Quality Activities by Stage</w:t>
      </w:r>
      <w:bookmarkEnd w:id="65"/>
    </w:p>
    <w:p w:rsidR="00EB510C" w:rsidRDefault="003F5293">
      <w:pPr>
        <w:pStyle w:val="ListParagraph"/>
        <w:numPr>
          <w:ilvl w:val="0"/>
          <w:numId w:val="2"/>
        </w:numPr>
        <w:spacing w:after="80" w:line="360" w:lineRule="auto"/>
        <w:jc w:val="both"/>
      </w:pPr>
      <w:r>
        <w:rPr>
          <w:b/>
          <w:bCs/>
        </w:rPr>
        <w:t>Requirements validation:</w:t>
      </w:r>
      <w:r>
        <w:t xml:space="preserve"> structured review of the specification with each stakeholder group; traceability matrix linking each requirement to a test case.</w:t>
      </w:r>
    </w:p>
    <w:p w:rsidR="00EB510C" w:rsidRDefault="003F5293">
      <w:pPr>
        <w:pStyle w:val="ListParagraph"/>
        <w:numPr>
          <w:ilvl w:val="0"/>
          <w:numId w:val="2"/>
        </w:numPr>
        <w:spacing w:after="80" w:line="360" w:lineRule="auto"/>
        <w:jc w:val="both"/>
      </w:pPr>
      <w:r>
        <w:rPr>
          <w:b/>
          <w:bCs/>
        </w:rPr>
        <w:t>Design review:</w:t>
      </w:r>
      <w:r>
        <w:t xml:space="preserve"> architecture and security design reviewed by the technical lead and security specialist before infrastructure work starts.</w:t>
      </w:r>
    </w:p>
    <w:p w:rsidR="00EB510C" w:rsidRDefault="003F5293">
      <w:pPr>
        <w:pStyle w:val="ListParagraph"/>
        <w:numPr>
          <w:ilvl w:val="0"/>
          <w:numId w:val="2"/>
        </w:numPr>
        <w:spacing w:after="80" w:line="360" w:lineRule="auto"/>
        <w:jc w:val="both"/>
      </w:pPr>
      <w:r>
        <w:rPr>
          <w:b/>
          <w:bCs/>
        </w:rPr>
        <w:t>Configuration and code review:</w:t>
      </w:r>
      <w:r>
        <w:t xml:space="preserve"> every change to configuration, theme or plugins is reviewed through a GitHub pull request before merging.</w:t>
      </w:r>
    </w:p>
    <w:p w:rsidR="00EB510C" w:rsidRDefault="003F5293">
      <w:pPr>
        <w:pStyle w:val="ListParagraph"/>
        <w:numPr>
          <w:ilvl w:val="0"/>
          <w:numId w:val="2"/>
        </w:numPr>
        <w:spacing w:after="80" w:line="360" w:lineRule="auto"/>
        <w:jc w:val="both"/>
      </w:pPr>
      <w:r>
        <w:rPr>
          <w:b/>
          <w:bCs/>
        </w:rPr>
        <w:t>Functional and integration testing:</w:t>
      </w:r>
      <w:r>
        <w:t xml:space="preserve"> test cases cover all must-have requirements, including enrolment CSV uploads.</w:t>
      </w:r>
    </w:p>
    <w:p w:rsidR="00EB510C" w:rsidRDefault="003F5293">
      <w:pPr>
        <w:pStyle w:val="ListParagraph"/>
        <w:numPr>
          <w:ilvl w:val="0"/>
          <w:numId w:val="2"/>
        </w:numPr>
        <w:spacing w:after="80" w:line="360" w:lineRule="auto"/>
        <w:jc w:val="both"/>
      </w:pPr>
      <w:r>
        <w:rPr>
          <w:b/>
          <w:bCs/>
        </w:rPr>
        <w:t>Security testing:</w:t>
      </w:r>
      <w:r>
        <w:t xml:space="preserve"> testing against selected OWASP ASVS requirements, focusing on authentication, access control and session management.</w:t>
      </w:r>
    </w:p>
    <w:p w:rsidR="00EB510C" w:rsidRDefault="003F5293">
      <w:pPr>
        <w:pStyle w:val="ListParagraph"/>
        <w:numPr>
          <w:ilvl w:val="0"/>
          <w:numId w:val="2"/>
        </w:numPr>
        <w:spacing w:after="80" w:line="360" w:lineRule="auto"/>
        <w:jc w:val="both"/>
      </w:pPr>
      <w:r>
        <w:rPr>
          <w:b/>
          <w:bCs/>
        </w:rPr>
        <w:t>Accessibility testing:</w:t>
      </w:r>
      <w:r>
        <w:t xml:space="preserve"> automated and manual checks of core student workflows against WCAG 2.2 Level A and AA.</w:t>
      </w:r>
    </w:p>
    <w:p w:rsidR="00EB510C" w:rsidRDefault="003F5293">
      <w:pPr>
        <w:pStyle w:val="ListParagraph"/>
        <w:numPr>
          <w:ilvl w:val="0"/>
          <w:numId w:val="2"/>
        </w:numPr>
        <w:spacing w:after="80" w:line="360" w:lineRule="auto"/>
        <w:jc w:val="both"/>
      </w:pPr>
      <w:r>
        <w:rPr>
          <w:b/>
          <w:bCs/>
        </w:rPr>
        <w:t>Performance testing:</w:t>
      </w:r>
      <w:r>
        <w:t xml:space="preserve"> simulated peak load representing an assessment deadline.</w:t>
      </w:r>
    </w:p>
    <w:p w:rsidR="00EB510C" w:rsidRDefault="003F5293">
      <w:pPr>
        <w:pStyle w:val="ListParagraph"/>
        <w:numPr>
          <w:ilvl w:val="0"/>
          <w:numId w:val="2"/>
        </w:numPr>
        <w:spacing w:after="80" w:line="360" w:lineRule="auto"/>
        <w:jc w:val="both"/>
      </w:pPr>
      <w:r>
        <w:rPr>
          <w:b/>
          <w:bCs/>
        </w:rPr>
        <w:t>Backup and recovery testing:</w:t>
      </w:r>
      <w:r>
        <w:t xml:space="preserve"> a full restore to the test environment.</w:t>
      </w:r>
    </w:p>
    <w:p w:rsidR="00EB510C" w:rsidRDefault="003F5293">
      <w:pPr>
        <w:pStyle w:val="ListParagraph"/>
        <w:numPr>
          <w:ilvl w:val="0"/>
          <w:numId w:val="2"/>
        </w:numPr>
        <w:spacing w:after="80" w:line="360" w:lineRule="auto"/>
        <w:jc w:val="both"/>
      </w:pPr>
      <w:r>
        <w:rPr>
          <w:b/>
          <w:bCs/>
        </w:rPr>
        <w:t>User acceptance testing:</w:t>
      </w:r>
      <w:r>
        <w:t xml:space="preserve"> lecturers, students and administrators execute realistic scenarios in Week 23 (8.4); defects found are fixed and retested in Week 24 (8.5) before formal acceptance.</w:t>
      </w:r>
    </w:p>
    <w:p w:rsidR="00EB510C" w:rsidRDefault="003F5293">
      <w:pPr>
        <w:pStyle w:val="ListParagraph"/>
        <w:numPr>
          <w:ilvl w:val="0"/>
          <w:numId w:val="2"/>
        </w:numPr>
        <w:spacing w:after="80" w:line="360" w:lineRule="auto"/>
        <w:jc w:val="both"/>
      </w:pPr>
      <w:r>
        <w:rPr>
          <w:b/>
          <w:bCs/>
        </w:rPr>
        <w:t>Defect management:</w:t>
      </w:r>
      <w:r>
        <w:t xml:space="preserve"> defects are logged as GitHub Issues with a severity rating; critical and high defects must be fixed and retested before the go/no-go review, with no exceptions.</w:t>
      </w:r>
    </w:p>
    <w:p w:rsidR="00EB510C" w:rsidRDefault="003F5293">
      <w:pPr>
        <w:pStyle w:val="ListParagraph"/>
        <w:numPr>
          <w:ilvl w:val="0"/>
          <w:numId w:val="2"/>
        </w:numPr>
        <w:spacing w:after="80" w:line="360" w:lineRule="auto"/>
        <w:jc w:val="both"/>
      </w:pPr>
      <w:r>
        <w:rPr>
          <w:b/>
          <w:bCs/>
        </w:rPr>
        <w:lastRenderedPageBreak/>
        <w:t>Release approval:</w:t>
      </w:r>
      <w:r>
        <w:t xml:space="preserve"> go-live requires sponsor sign-off against the mandatory gate criteria in Table 28.</w:t>
      </w:r>
    </w:p>
    <w:p w:rsidR="00EB510C" w:rsidRDefault="003F5293">
      <w:pPr>
        <w:pStyle w:val="ListParagraph"/>
        <w:numPr>
          <w:ilvl w:val="0"/>
          <w:numId w:val="2"/>
        </w:numPr>
        <w:spacing w:after="80" w:line="360" w:lineRule="auto"/>
        <w:jc w:val="both"/>
      </w:pPr>
      <w:r>
        <w:rPr>
          <w:b/>
          <w:bCs/>
        </w:rPr>
        <w:t>Post-deployment monitoring:</w:t>
      </w:r>
      <w:r>
        <w:t xml:space="preserve"> uptime, response time, help desk volumes and user satisfaction during hypercare.</w:t>
      </w:r>
    </w:p>
    <w:p w:rsidR="00EB510C" w:rsidRDefault="003F5293">
      <w:pPr>
        <w:pStyle w:val="Heading2"/>
      </w:pPr>
      <w:bookmarkStart w:id="66" w:name="_Toc100066"/>
      <w:r>
        <w:t>13.3 Quality Matrix</w:t>
      </w:r>
      <w:bookmarkEnd w:id="66"/>
    </w:p>
    <w:p w:rsidR="00EB510C" w:rsidRDefault="003F5293">
      <w:pPr>
        <w:keepNext/>
        <w:spacing w:before="200" w:after="80"/>
      </w:pPr>
      <w:r>
        <w:rPr>
          <w:b/>
          <w:bCs/>
        </w:rPr>
        <w:t xml:space="preserve">Table 27: </w:t>
      </w:r>
      <w:r>
        <w:rPr>
          <w:i/>
          <w:iCs/>
        </w:rPr>
        <w:t>Quality management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8"/>
        <w:gridCol w:w="2049"/>
        <w:gridCol w:w="1650"/>
        <w:gridCol w:w="1449"/>
        <w:gridCol w:w="1038"/>
        <w:gridCol w:w="1602"/>
      </w:tblGrid>
      <w:tr w:rsidR="00EB510C">
        <w:tblPrEx>
          <w:tblCellMar>
            <w:top w:w="0" w:type="dxa"/>
            <w:bottom w:w="0" w:type="dxa"/>
          </w:tblCellMar>
        </w:tblPrEx>
        <w:trPr>
          <w:cantSplit/>
          <w:tblHeader/>
        </w:trPr>
        <w:tc>
          <w:tcPr>
            <w:tcW w:w="1238"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Quality objective</w:t>
            </w:r>
          </w:p>
        </w:tc>
        <w:tc>
          <w:tcPr>
            <w:tcW w:w="2049"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Metric or acceptance criterion</w:t>
            </w:r>
          </w:p>
        </w:tc>
        <w:tc>
          <w:tcPr>
            <w:tcW w:w="165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Measurement method</w:t>
            </w:r>
          </w:p>
        </w:tc>
        <w:tc>
          <w:tcPr>
            <w:tcW w:w="1449"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Responsible</w:t>
            </w:r>
          </w:p>
        </w:tc>
        <w:tc>
          <w:tcPr>
            <w:tcW w:w="1038"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Stage</w:t>
            </w:r>
          </w:p>
        </w:tc>
        <w:tc>
          <w:tcPr>
            <w:tcW w:w="160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7"/>
                <w:szCs w:val="17"/>
              </w:rPr>
              <w:t>Evidence</w:t>
            </w:r>
          </w:p>
        </w:tc>
      </w:tr>
      <w:tr w:rsidR="00EB510C">
        <w:tblPrEx>
          <w:tblCellMar>
            <w:top w:w="0" w:type="dxa"/>
            <w:bottom w:w="0" w:type="dxa"/>
          </w:tblCellMar>
        </w:tblPrEx>
        <w:trPr>
          <w:cantSplit/>
        </w:trPr>
        <w:tc>
          <w:tcPr>
            <w:tcW w:w="1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Requirements met</w:t>
            </w:r>
          </w:p>
        </w:tc>
        <w:tc>
          <w:tcPr>
            <w:tcW w:w="20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100% of must-have requirements pass UAT, including retest</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Traceability matrix and test results</w:t>
            </w:r>
          </w:p>
        </w:tc>
        <w:tc>
          <w:tcPr>
            <w:tcW w:w="14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QA Tester</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8.1, 8.4, 8.5</w:t>
            </w:r>
          </w:p>
        </w:tc>
        <w:tc>
          <w:tcPr>
            <w:tcW w:w="16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UAT report; acceptance record</w:t>
            </w:r>
          </w:p>
        </w:tc>
      </w:tr>
      <w:tr w:rsidR="00EB510C">
        <w:tblPrEx>
          <w:tblCellMar>
            <w:top w:w="0" w:type="dxa"/>
            <w:bottom w:w="0" w:type="dxa"/>
          </w:tblCellMar>
        </w:tblPrEx>
        <w:trPr>
          <w:cantSplit/>
        </w:trPr>
        <w:tc>
          <w:tcPr>
            <w:tcW w:w="12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System reliability</w:t>
            </w:r>
          </w:p>
        </w:tc>
        <w:tc>
          <w:tcPr>
            <w:tcW w:w="204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Pilot exit: no open critical defects. Go/no-go: no open critical or high defects</w:t>
            </w:r>
          </w:p>
        </w:tc>
        <w:tc>
          <w:tcPr>
            <w:tcW w:w="16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Defect log in GitHub Issues</w:t>
            </w:r>
          </w:p>
        </w:tc>
        <w:tc>
          <w:tcPr>
            <w:tcW w:w="144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QA Tester</w:t>
            </w:r>
          </w:p>
        </w:tc>
        <w:tc>
          <w:tcPr>
            <w:tcW w:w="10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10.1, 11.1, 8.5</w:t>
            </w:r>
          </w:p>
        </w:tc>
        <w:tc>
          <w:tcPr>
            <w:tcW w:w="160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Defect report</w:t>
            </w:r>
          </w:p>
        </w:tc>
      </w:tr>
      <w:tr w:rsidR="00EB510C">
        <w:tblPrEx>
          <w:tblCellMar>
            <w:top w:w="0" w:type="dxa"/>
            <w:bottom w:w="0" w:type="dxa"/>
          </w:tblCellMar>
        </w:tblPrEx>
        <w:trPr>
          <w:cantSplit/>
        </w:trPr>
        <w:tc>
          <w:tcPr>
            <w:tcW w:w="1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Security</w:t>
            </w:r>
          </w:p>
        </w:tc>
        <w:tc>
          <w:tcPr>
            <w:tcW w:w="20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No unresolved high-risk findings</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Security test against selected ASVS controls</w:t>
            </w:r>
          </w:p>
        </w:tc>
        <w:tc>
          <w:tcPr>
            <w:tcW w:w="14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Security Specialist</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8.2</w:t>
            </w:r>
          </w:p>
        </w:tc>
        <w:tc>
          <w:tcPr>
            <w:tcW w:w="16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Security test report</w:t>
            </w:r>
          </w:p>
        </w:tc>
      </w:tr>
      <w:tr w:rsidR="00EB510C">
        <w:tblPrEx>
          <w:tblCellMar>
            <w:top w:w="0" w:type="dxa"/>
            <w:bottom w:w="0" w:type="dxa"/>
          </w:tblCellMar>
        </w:tblPrEx>
        <w:trPr>
          <w:cantSplit/>
        </w:trPr>
        <w:tc>
          <w:tcPr>
            <w:tcW w:w="12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Accessibility</w:t>
            </w:r>
          </w:p>
        </w:tc>
        <w:tc>
          <w:tcPr>
            <w:tcW w:w="204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No unresolved WCAG 2.2 A/AA failures in core student workflows</w:t>
            </w:r>
          </w:p>
        </w:tc>
        <w:tc>
          <w:tcPr>
            <w:tcW w:w="16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Automated scan and manual review</w:t>
            </w:r>
          </w:p>
        </w:tc>
        <w:tc>
          <w:tcPr>
            <w:tcW w:w="144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QA Tester</w:t>
            </w:r>
          </w:p>
        </w:tc>
        <w:tc>
          <w:tcPr>
            <w:tcW w:w="10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8.2</w:t>
            </w:r>
          </w:p>
        </w:tc>
        <w:tc>
          <w:tcPr>
            <w:tcW w:w="160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Accessibility report</w:t>
            </w:r>
          </w:p>
        </w:tc>
      </w:tr>
      <w:tr w:rsidR="00EB510C">
        <w:tblPrEx>
          <w:tblCellMar>
            <w:top w:w="0" w:type="dxa"/>
            <w:bottom w:w="0" w:type="dxa"/>
          </w:tblCellMar>
        </w:tblPrEx>
        <w:trPr>
          <w:cantSplit/>
        </w:trPr>
        <w:tc>
          <w:tcPr>
            <w:tcW w:w="1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Performance</w:t>
            </w:r>
          </w:p>
        </w:tc>
        <w:tc>
          <w:tcPr>
            <w:tcW w:w="20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Core pages load within an agreed threshold under simulated peak load</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Load test</w:t>
            </w:r>
          </w:p>
        </w:tc>
        <w:tc>
          <w:tcPr>
            <w:tcW w:w="14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Infrastructure Admin</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8.2</w:t>
            </w:r>
          </w:p>
        </w:tc>
        <w:tc>
          <w:tcPr>
            <w:tcW w:w="16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Performance test report</w:t>
            </w:r>
          </w:p>
        </w:tc>
      </w:tr>
      <w:tr w:rsidR="00EB510C">
        <w:tblPrEx>
          <w:tblCellMar>
            <w:top w:w="0" w:type="dxa"/>
            <w:bottom w:w="0" w:type="dxa"/>
          </w:tblCellMar>
        </w:tblPrEx>
        <w:trPr>
          <w:cantSplit/>
        </w:trPr>
        <w:tc>
          <w:tcPr>
            <w:tcW w:w="12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Data protection</w:t>
            </w:r>
          </w:p>
        </w:tc>
        <w:tc>
          <w:tcPr>
            <w:tcW w:w="204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Successful full restore within agreed recovery time; rollback rehearsed in staging</w:t>
            </w:r>
          </w:p>
        </w:tc>
        <w:tc>
          <w:tcPr>
            <w:tcW w:w="16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Restore test; rollback rehearsal</w:t>
            </w:r>
          </w:p>
        </w:tc>
        <w:tc>
          <w:tcPr>
            <w:tcW w:w="144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Infrastructure Admin</w:t>
            </w:r>
          </w:p>
        </w:tc>
        <w:tc>
          <w:tcPr>
            <w:tcW w:w="10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8.3, 8.5</w:t>
            </w:r>
          </w:p>
        </w:tc>
        <w:tc>
          <w:tcPr>
            <w:tcW w:w="160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Restore and rehearsal records</w:t>
            </w:r>
          </w:p>
        </w:tc>
      </w:tr>
      <w:tr w:rsidR="00EB510C">
        <w:tblPrEx>
          <w:tblCellMar>
            <w:top w:w="0" w:type="dxa"/>
            <w:bottom w:w="0" w:type="dxa"/>
          </w:tblCellMar>
        </w:tblPrEx>
        <w:trPr>
          <w:cantSplit/>
        </w:trPr>
        <w:tc>
          <w:tcPr>
            <w:tcW w:w="1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Content quality</w:t>
            </w:r>
          </w:p>
        </w:tc>
        <w:tc>
          <w:tcPr>
            <w:tcW w:w="20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100% of agreed courses reconciled and approved by lecturers</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Reconciliation checklist</w:t>
            </w:r>
          </w:p>
        </w:tc>
        <w:tc>
          <w:tcPr>
            <w:tcW w:w="14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Instructional Designer</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7.2</w:t>
            </w:r>
          </w:p>
        </w:tc>
        <w:tc>
          <w:tcPr>
            <w:tcW w:w="16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Signed checklists</w:t>
            </w:r>
          </w:p>
        </w:tc>
      </w:tr>
      <w:tr w:rsidR="00EB510C">
        <w:tblPrEx>
          <w:tblCellMar>
            <w:top w:w="0" w:type="dxa"/>
            <w:bottom w:w="0" w:type="dxa"/>
          </w:tblCellMar>
        </w:tblPrEx>
        <w:trPr>
          <w:cantSplit/>
        </w:trPr>
        <w:tc>
          <w:tcPr>
            <w:tcW w:w="12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Staff readiness</w:t>
            </w:r>
          </w:p>
        </w:tc>
        <w:tc>
          <w:tcPr>
            <w:tcW w:w="204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At least 90% of teaching staff complete core training</w:t>
            </w:r>
          </w:p>
        </w:tc>
        <w:tc>
          <w:tcPr>
            <w:tcW w:w="16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Training records</w:t>
            </w:r>
          </w:p>
        </w:tc>
        <w:tc>
          <w:tcPr>
            <w:tcW w:w="144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Instructional Designer</w:t>
            </w:r>
          </w:p>
        </w:tc>
        <w:tc>
          <w:tcPr>
            <w:tcW w:w="10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9.2, 8.5</w:t>
            </w:r>
          </w:p>
        </w:tc>
        <w:tc>
          <w:tcPr>
            <w:tcW w:w="160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Training completion report</w:t>
            </w:r>
          </w:p>
        </w:tc>
      </w:tr>
      <w:tr w:rsidR="00EB510C">
        <w:tblPrEx>
          <w:tblCellMar>
            <w:top w:w="0" w:type="dxa"/>
            <w:bottom w:w="0" w:type="dxa"/>
          </w:tblCellMar>
        </w:tblPrEx>
        <w:trPr>
          <w:cantSplit/>
        </w:trPr>
        <w:tc>
          <w:tcPr>
            <w:tcW w:w="1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User satisfaction</w:t>
            </w:r>
          </w:p>
        </w:tc>
        <w:tc>
          <w:tcPr>
            <w:tcW w:w="20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Pilot exit: average of at least 3.5 out of 5 among pilot users (planning target); monitored again during hypercare</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Pilot and post-go-live surveys</w:t>
            </w:r>
          </w:p>
        </w:tc>
        <w:tc>
          <w:tcPr>
            <w:tcW w:w="14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Project Manager</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10.1, 13.1</w:t>
            </w:r>
          </w:p>
        </w:tc>
        <w:tc>
          <w:tcPr>
            <w:tcW w:w="16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7"/>
                <w:szCs w:val="17"/>
              </w:rPr>
              <w:t>Pilot evaluation report; hypercare report</w:t>
            </w:r>
          </w:p>
        </w:tc>
      </w:tr>
      <w:tr w:rsidR="00EB510C">
        <w:tblPrEx>
          <w:tblCellMar>
            <w:top w:w="0" w:type="dxa"/>
            <w:bottom w:w="0" w:type="dxa"/>
          </w:tblCellMar>
        </w:tblPrEx>
        <w:trPr>
          <w:cantSplit/>
        </w:trPr>
        <w:tc>
          <w:tcPr>
            <w:tcW w:w="12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Configuration integrity</w:t>
            </w:r>
          </w:p>
        </w:tc>
        <w:tc>
          <w:tcPr>
            <w:tcW w:w="204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100% of production changes traceable to an approved pull request</w:t>
            </w:r>
          </w:p>
        </w:tc>
        <w:tc>
          <w:tcPr>
            <w:tcW w:w="165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GitHub audit of merges and tags</w:t>
            </w:r>
          </w:p>
        </w:tc>
        <w:tc>
          <w:tcPr>
            <w:tcW w:w="144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Configuration Manager (LMS Admin)</w:t>
            </w:r>
          </w:p>
        </w:tc>
        <w:tc>
          <w:tcPr>
            <w:tcW w:w="1038"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6.3 onward</w:t>
            </w:r>
          </w:p>
        </w:tc>
        <w:tc>
          <w:tcPr>
            <w:tcW w:w="1602"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7"/>
                <w:szCs w:val="17"/>
              </w:rPr>
              <w:t>Repository history</w:t>
            </w:r>
          </w:p>
        </w:tc>
      </w:tr>
    </w:tbl>
    <w:p w:rsidR="00EB510C" w:rsidRDefault="00EB510C">
      <w:pPr>
        <w:spacing w:after="120"/>
      </w:pPr>
    </w:p>
    <w:p w:rsidR="00EB510C" w:rsidRDefault="003F5293">
      <w:pPr>
        <w:spacing w:after="160" w:line="360" w:lineRule="auto"/>
        <w:jc w:val="both"/>
      </w:pPr>
      <w:r>
        <w:t>The thresholds are planning targets and do not claim that compliance has been achieved. Table 28 in Section 15.3 identifies which of these criteria are mandatory go-live gates and which are monitored after deployment.</w:t>
      </w:r>
    </w:p>
    <w:p w:rsidR="00EB510C" w:rsidRDefault="003F5293">
      <w:pPr>
        <w:pStyle w:val="Heading1"/>
        <w:pageBreakBefore/>
      </w:pPr>
      <w:bookmarkStart w:id="67" w:name="_Toc243565021"/>
      <w:r>
        <w:lastRenderedPageBreak/>
        <w:t>14. Configuration Management and GitHub Version Control</w:t>
      </w:r>
      <w:bookmarkEnd w:id="67"/>
    </w:p>
    <w:p w:rsidR="00EB510C" w:rsidRDefault="003F5293">
      <w:pPr>
        <w:pStyle w:val="Heading2"/>
      </w:pPr>
      <w:bookmarkStart w:id="68" w:name="_Toc100068"/>
      <w:r>
        <w:t>14.1 Purpose and Scope</w:t>
      </w:r>
      <w:bookmarkEnd w:id="68"/>
    </w:p>
    <w:p w:rsidR="00EB510C" w:rsidRDefault="003F5293">
      <w:pPr>
        <w:spacing w:after="160" w:line="360" w:lineRule="auto"/>
        <w:jc w:val="both"/>
      </w:pPr>
      <w:r>
        <w:t>Configuration management ensures that every project artefact and system configuration is identified, version-controlled and changed only through an approved process. GitHub was selected as the configuration management tool because it combines Git version control with issue tracking, pull request reviews and release tagging, which directly support the issue and change processes in Sections 10 and 11.</w:t>
      </w:r>
    </w:p>
    <w:p w:rsidR="00EB510C" w:rsidRDefault="003F5293">
      <w:pPr>
        <w:spacing w:after="160" w:line="360" w:lineRule="auto"/>
        <w:jc w:val="both"/>
      </w:pPr>
      <w:r>
        <w:t>The following items are placed under version control: project management documents (charter, requirements, schedule, risk register, plans); the Moodle configuration template without secrets; the custom theme; the approved plugin list with versions; deployment and backup scripts; test plans and results; and the CHANGELOG.</w:t>
      </w:r>
    </w:p>
    <w:p w:rsidR="00EB510C" w:rsidRDefault="003F5293">
      <w:pPr>
        <w:spacing w:after="160" w:line="360" w:lineRule="auto"/>
        <w:jc w:val="both"/>
      </w:pPr>
      <w:r>
        <w:t xml:space="preserve">The following are deliberately </w:t>
      </w:r>
      <w:r>
        <w:rPr>
          <w:b/>
          <w:bCs/>
        </w:rPr>
        <w:t>excluded</w:t>
      </w:r>
      <w:r>
        <w:t xml:space="preserve"> from Git: passwords, API keys and production credentials; student personal data; the Moodle database; and uploaded course files. These are stored in the institution's secured hosting environment with separate access controls and backups.</w:t>
      </w:r>
    </w:p>
    <w:p w:rsidR="00EB510C" w:rsidRDefault="003F5293">
      <w:pPr>
        <w:pStyle w:val="Heading2"/>
      </w:pPr>
      <w:bookmarkStart w:id="69" w:name="_Toc100069"/>
      <w:r>
        <w:t>14.2 Repository Structure</w:t>
      </w:r>
      <w:bookmarkEnd w:id="69"/>
    </w:p>
    <w:p w:rsidR="00EB510C" w:rsidRDefault="003F5293">
      <w:pPr>
        <w:spacing w:after="160" w:line="360" w:lineRule="auto"/>
        <w:jc w:val="both"/>
      </w:pPr>
      <w:r>
        <w:t xml:space="preserve">Repository URL: </w:t>
      </w:r>
      <w:r>
        <w:rPr>
          <w:highlight w:val="yellow"/>
        </w:rPr>
        <w:t>[GitHub repository URL to be inserted by the group]</w:t>
      </w:r>
    </w:p>
    <w:p w:rsidR="00EB510C" w:rsidRDefault="003F5293">
      <w:pPr>
        <w:shd w:val="clear" w:color="auto" w:fill="F2F2F2"/>
      </w:pPr>
      <w:r>
        <w:rPr>
          <w:rFonts w:ascii="Courier New" w:eastAsia="Courier New" w:hAnsi="Courier New" w:cs="Courier New"/>
          <w:sz w:val="18"/>
          <w:szCs w:val="18"/>
        </w:rPr>
        <w:t>/rihe-lms-project-plan</w:t>
      </w:r>
    </w:p>
    <w:p w:rsidR="00EB510C" w:rsidRDefault="003F5293">
      <w:pPr>
        <w:shd w:val="clear" w:color="auto" w:fill="F2F2F2"/>
      </w:pPr>
      <w:r>
        <w:rPr>
          <w:rFonts w:ascii="Courier New" w:eastAsia="Courier New" w:hAnsi="Courier New" w:cs="Courier New"/>
          <w:sz w:val="18"/>
          <w:szCs w:val="18"/>
        </w:rPr>
        <w:t xml:space="preserve">  /01-charter-scope          charter, scope statement, stakeholder register</w:t>
      </w:r>
    </w:p>
    <w:p w:rsidR="00EB510C" w:rsidRDefault="003F5293">
      <w:pPr>
        <w:shd w:val="clear" w:color="auto" w:fill="F2F2F2"/>
      </w:pPr>
      <w:r>
        <w:rPr>
          <w:rFonts w:ascii="Courier New" w:eastAsia="Courier New" w:hAnsi="Courier New" w:cs="Courier New"/>
          <w:sz w:val="18"/>
          <w:szCs w:val="18"/>
        </w:rPr>
        <w:t xml:space="preserve">  /02-requirements           specification, traceability matrix</w:t>
      </w:r>
    </w:p>
    <w:p w:rsidR="00EB510C" w:rsidRDefault="003F5293">
      <w:pPr>
        <w:shd w:val="clear" w:color="auto" w:fill="F2F2F2"/>
      </w:pPr>
      <w:r>
        <w:rPr>
          <w:rFonts w:ascii="Courier New" w:eastAsia="Courier New" w:hAnsi="Courier New" w:cs="Courier New"/>
          <w:sz w:val="18"/>
          <w:szCs w:val="18"/>
        </w:rPr>
        <w:t xml:space="preserve">  /03-wbs-schedule           WBS, schedule, Gantt source files</w:t>
      </w:r>
    </w:p>
    <w:p w:rsidR="00EB510C" w:rsidRDefault="003F5293">
      <w:pPr>
        <w:shd w:val="clear" w:color="auto" w:fill="F2F2F2"/>
      </w:pPr>
      <w:r>
        <w:rPr>
          <w:rFonts w:ascii="Courier New" w:eastAsia="Courier New" w:hAnsi="Courier New" w:cs="Courier New"/>
          <w:sz w:val="18"/>
          <w:szCs w:val="18"/>
        </w:rPr>
        <w:t xml:space="preserve">  /04-resources-raci         resource plan, RACI matrix</w:t>
      </w:r>
    </w:p>
    <w:p w:rsidR="00EB510C" w:rsidRDefault="003F5293">
      <w:pPr>
        <w:shd w:val="clear" w:color="auto" w:fill="F2F2F2"/>
      </w:pPr>
      <w:r>
        <w:rPr>
          <w:rFonts w:ascii="Courier New" w:eastAsia="Courier New" w:hAnsi="Courier New" w:cs="Courier New"/>
          <w:sz w:val="18"/>
          <w:szCs w:val="18"/>
        </w:rPr>
        <w:t xml:space="preserve">  /05-risk-issue             risk register, issue log exports</w:t>
      </w:r>
    </w:p>
    <w:p w:rsidR="00EB510C" w:rsidRDefault="003F5293">
      <w:pPr>
        <w:shd w:val="clear" w:color="auto" w:fill="F2F2F2"/>
      </w:pPr>
      <w:r>
        <w:rPr>
          <w:rFonts w:ascii="Courier New" w:eastAsia="Courier New" w:hAnsi="Courier New" w:cs="Courier New"/>
          <w:sz w:val="18"/>
          <w:szCs w:val="18"/>
        </w:rPr>
        <w:t xml:space="preserve">  /06-change-management      change request form, CCB decisions</w:t>
      </w:r>
    </w:p>
    <w:p w:rsidR="00EB510C" w:rsidRDefault="003F5293">
      <w:pPr>
        <w:shd w:val="clear" w:color="auto" w:fill="F2F2F2"/>
      </w:pPr>
      <w:r>
        <w:rPr>
          <w:rFonts w:ascii="Courier New" w:eastAsia="Courier New" w:hAnsi="Courier New" w:cs="Courier New"/>
          <w:sz w:val="18"/>
          <w:szCs w:val="18"/>
        </w:rPr>
        <w:t xml:space="preserve">  /07-communication          communication plan, templates</w:t>
      </w:r>
    </w:p>
    <w:p w:rsidR="00EB510C" w:rsidRDefault="003F5293">
      <w:pPr>
        <w:shd w:val="clear" w:color="auto" w:fill="F2F2F2"/>
      </w:pPr>
      <w:r>
        <w:rPr>
          <w:rFonts w:ascii="Courier New" w:eastAsia="Courier New" w:hAnsi="Courier New" w:cs="Courier New"/>
          <w:sz w:val="18"/>
          <w:szCs w:val="18"/>
        </w:rPr>
        <w:t xml:space="preserve">  /08-quality-testing        quality plan, test plans, test reports</w:t>
      </w:r>
    </w:p>
    <w:p w:rsidR="00EB510C" w:rsidRDefault="003F5293">
      <w:pPr>
        <w:shd w:val="clear" w:color="auto" w:fill="F2F2F2"/>
      </w:pPr>
      <w:r>
        <w:rPr>
          <w:rFonts w:ascii="Courier New" w:eastAsia="Courier New" w:hAnsi="Courier New" w:cs="Courier New"/>
          <w:sz w:val="18"/>
          <w:szCs w:val="18"/>
        </w:rPr>
        <w:t xml:space="preserve">  /moodle-config             config template (no secrets), theme, plugin list</w:t>
      </w:r>
    </w:p>
    <w:p w:rsidR="00EB510C" w:rsidRDefault="003F5293">
      <w:pPr>
        <w:shd w:val="clear" w:color="auto" w:fill="F2F2F2"/>
      </w:pPr>
      <w:r>
        <w:rPr>
          <w:rFonts w:ascii="Courier New" w:eastAsia="Courier New" w:hAnsi="Courier New" w:cs="Courier New"/>
          <w:sz w:val="18"/>
          <w:szCs w:val="18"/>
        </w:rPr>
        <w:t xml:space="preserve">  /deployment                deployment and backup scripts, runbook</w:t>
      </w:r>
    </w:p>
    <w:p w:rsidR="00EB510C" w:rsidRDefault="003F5293">
      <w:pPr>
        <w:shd w:val="clear" w:color="auto" w:fill="F2F2F2"/>
      </w:pPr>
      <w:r>
        <w:rPr>
          <w:rFonts w:ascii="Courier New" w:eastAsia="Courier New" w:hAnsi="Courier New" w:cs="Courier New"/>
          <w:sz w:val="18"/>
          <w:szCs w:val="18"/>
        </w:rPr>
        <w:t xml:space="preserve">  .gitignore                 excludes secrets, data and uploaded files</w:t>
      </w:r>
    </w:p>
    <w:p w:rsidR="00EB510C" w:rsidRDefault="003F5293">
      <w:pPr>
        <w:shd w:val="clear" w:color="auto" w:fill="F2F2F2"/>
      </w:pPr>
      <w:r>
        <w:rPr>
          <w:rFonts w:ascii="Courier New" w:eastAsia="Courier New" w:hAnsi="Courier New" w:cs="Courier New"/>
          <w:sz w:val="18"/>
          <w:szCs w:val="18"/>
        </w:rPr>
        <w:t xml:space="preserve">  CHANGELOG.md</w:t>
      </w:r>
    </w:p>
    <w:p w:rsidR="00EB510C" w:rsidRDefault="003F5293">
      <w:pPr>
        <w:shd w:val="clear" w:color="auto" w:fill="F2F2F2"/>
      </w:pPr>
      <w:r>
        <w:rPr>
          <w:rFonts w:ascii="Courier New" w:eastAsia="Courier New" w:hAnsi="Courier New" w:cs="Courier New"/>
          <w:sz w:val="18"/>
          <w:szCs w:val="18"/>
        </w:rPr>
        <w:t xml:space="preserve">  README.md</w:t>
      </w:r>
    </w:p>
    <w:p w:rsidR="00EB510C" w:rsidRDefault="00EB510C">
      <w:pPr>
        <w:spacing w:after="160"/>
      </w:pPr>
    </w:p>
    <w:p w:rsidR="00EB510C" w:rsidRDefault="003F5293">
      <w:pPr>
        <w:pStyle w:val="Heading2"/>
      </w:pPr>
      <w:bookmarkStart w:id="70" w:name="_Toc100070"/>
      <w:r>
        <w:t>14.3 Branching, Commits and Reviews</w:t>
      </w:r>
      <w:bookmarkEnd w:id="70"/>
    </w:p>
    <w:p w:rsidR="00EB510C" w:rsidRDefault="003F5293">
      <w:pPr>
        <w:pStyle w:val="ListParagraph"/>
        <w:numPr>
          <w:ilvl w:val="0"/>
          <w:numId w:val="2"/>
        </w:numPr>
        <w:spacing w:after="80" w:line="360" w:lineRule="auto"/>
        <w:jc w:val="both"/>
      </w:pPr>
      <w:r>
        <w:rPr>
          <w:b/>
          <w:bCs/>
        </w:rPr>
        <w:t>Branches.</w:t>
      </w:r>
      <w:r>
        <w:t xml:space="preserve"> The main branch holds the approved baseline and is protected so that changes can only be merged through a reviewed pull request [23]. A develop branch integrates work in progress, and each change is made on a short-lived feature branch named after its issue (for example, feature/cr-012-quiz-settings).</w:t>
      </w:r>
    </w:p>
    <w:p w:rsidR="00EB510C" w:rsidRDefault="003F5293">
      <w:pPr>
        <w:pStyle w:val="ListParagraph"/>
        <w:numPr>
          <w:ilvl w:val="0"/>
          <w:numId w:val="2"/>
        </w:numPr>
        <w:spacing w:after="80" w:line="360" w:lineRule="auto"/>
        <w:jc w:val="both"/>
      </w:pPr>
      <w:r>
        <w:rPr>
          <w:b/>
          <w:bCs/>
        </w:rPr>
        <w:lastRenderedPageBreak/>
        <w:t>Commit conventions.</w:t>
      </w:r>
      <w:r>
        <w:t xml:space="preserve"> Commit messages start with a type and the related issue number, for example "docs: update risk register (#31)" or "config: add assignment plugin settings (#45)".</w:t>
      </w:r>
    </w:p>
    <w:p w:rsidR="00EB510C" w:rsidRDefault="003F5293">
      <w:pPr>
        <w:pStyle w:val="ListParagraph"/>
        <w:numPr>
          <w:ilvl w:val="0"/>
          <w:numId w:val="2"/>
        </w:numPr>
        <w:spacing w:after="80" w:line="360" w:lineRule="auto"/>
        <w:jc w:val="both"/>
      </w:pPr>
      <w:r>
        <w:rPr>
          <w:b/>
          <w:bCs/>
        </w:rPr>
        <w:t>Pull requests.</w:t>
      </w:r>
      <w:r>
        <w:t xml:space="preserve"> Every pull request must reference an issue or change request, describe the change and be approved by at least one other team member before merging. This provides the peer review required by the quality plan.</w:t>
      </w:r>
    </w:p>
    <w:p w:rsidR="00EB510C" w:rsidRDefault="003F5293">
      <w:pPr>
        <w:pStyle w:val="ListParagraph"/>
        <w:numPr>
          <w:ilvl w:val="0"/>
          <w:numId w:val="2"/>
        </w:numPr>
        <w:spacing w:after="80" w:line="360" w:lineRule="auto"/>
        <w:jc w:val="both"/>
      </w:pPr>
      <w:r>
        <w:rPr>
          <w:b/>
          <w:bCs/>
        </w:rPr>
        <w:t>Issues and labels.</w:t>
      </w:r>
      <w:r>
        <w:t xml:space="preserve"> GitHub Issues are used for issues, defects and change requests, distinguished by labels (issue, defect, change-request, risk-triggered).</w:t>
      </w:r>
    </w:p>
    <w:p w:rsidR="00EB510C" w:rsidRDefault="003F5293">
      <w:pPr>
        <w:pStyle w:val="Heading2"/>
      </w:pPr>
      <w:bookmarkStart w:id="71" w:name="_Toc100071"/>
      <w:r>
        <w:t>14.4 Baselines, Releases and Change History</w:t>
      </w:r>
      <w:bookmarkEnd w:id="71"/>
    </w:p>
    <w:p w:rsidR="00EB510C" w:rsidRDefault="003F5293">
      <w:pPr>
        <w:spacing w:after="160" w:line="360" w:lineRule="auto"/>
        <w:jc w:val="both"/>
      </w:pPr>
      <w:r>
        <w:t>Approved baselines are tagged as releases. For example, v0.1 marks the approved project plan, v0.2 the approved requirements, v1.0 the configuration baseline (milestone M4), v1.1 the post-pilot configuration and v2.0 the production go-live release. Each release has release notes summarising the changes. Because every change is linked from issue to pull request to release, the repository provides a complete audit trail for the change control process.</w:t>
      </w:r>
    </w:p>
    <w:p w:rsidR="00EB510C" w:rsidRDefault="003F5293">
      <w:pPr>
        <w:pStyle w:val="Heading2"/>
      </w:pPr>
      <w:bookmarkStart w:id="72" w:name="_Toc100072"/>
      <w:r>
        <w:t>14.5 Moodle Updates, Plugins and Secrets</w:t>
      </w:r>
      <w:bookmarkEnd w:id="72"/>
    </w:p>
    <w:p w:rsidR="00EB510C" w:rsidRDefault="003F5293">
      <w:pPr>
        <w:spacing w:after="160" w:line="360" w:lineRule="auto"/>
        <w:jc w:val="both"/>
      </w:pPr>
      <w:r>
        <w:t>Moodle core and plugin updates follow the same path as any other change: a change request is raised, the update is applied on a feature branch, tested in the test and staging environments, reviewed through a pull request and then deployed to production during an agreed maintenance window. Plugins are limited to an approved list, and their compatibility with the installed Moodle version is checked before installation [24]. Secrets are supplied through environment variables or the hosting provider's secrets store, never committed to the repository. The .gitignore file prevents configuration files containing credentials from being committed accidentally.</w:t>
      </w:r>
    </w:p>
    <w:p w:rsidR="00EB510C" w:rsidRDefault="003F5293">
      <w:pPr>
        <w:pStyle w:val="Heading2"/>
      </w:pPr>
      <w:bookmarkStart w:id="73" w:name="_Toc100073"/>
      <w:r>
        <w:t>14.6 Access Control and Backup</w:t>
      </w:r>
      <w:bookmarkEnd w:id="73"/>
    </w:p>
    <w:p w:rsidR="00EB510C" w:rsidRDefault="003F5293">
      <w:pPr>
        <w:spacing w:after="160" w:line="360" w:lineRule="auto"/>
        <w:jc w:val="both"/>
      </w:pPr>
      <w:r>
        <w:t xml:space="preserve">Repository access follows least privilege. Team members have write access to feature branches, only the configuration manager and project manager can approve merges to main, and stakeholders who only need to view documents receive read access. The repository is mirrored to the institution's backup system weekly, so the configuration history can be recovered if the GitHub service becomes unavailable.</w:t>
      </w:r>
    </w:p>
    <w:p w:rsidR="00EB510C" w:rsidRDefault="003F5293">
      <w:pPr>
        <w:pStyle w:val="Heading1"/>
        <w:pageBreakBefore/>
      </w:pPr>
      <w:bookmarkStart w:id="74" w:name="_Toc243565022"/>
      <w:r>
        <w:lastRenderedPageBreak/>
        <w:t>15. Deployment, Pilot and Post-Implementation Support</w:t>
      </w:r>
      <w:bookmarkEnd w:id="74"/>
    </w:p>
    <w:p w:rsidR="00EB510C" w:rsidRDefault="003F5293">
      <w:pPr>
        <w:pStyle w:val="Heading2"/>
      </w:pPr>
      <w:bookmarkStart w:id="75" w:name="_Toc100075"/>
      <w:r>
        <w:t>15.1 Environments</w:t>
      </w:r>
      <w:bookmarkEnd w:id="75"/>
    </w:p>
    <w:p w:rsidR="00EB510C" w:rsidRDefault="003F5293">
      <w:pPr>
        <w:spacing w:after="160" w:line="360" w:lineRule="auto"/>
        <w:jc w:val="both"/>
      </w:pPr>
      <w:r>
        <w:t xml:space="preserve">Four environments are used. </w:t>
      </w:r>
      <w:r>
        <w:rPr>
          <w:b/>
          <w:bCs/>
        </w:rPr>
        <w:t>Development</w:t>
      </w:r>
      <w:r>
        <w:t xml:space="preserve"> is used for configuration and theme work. </w:t>
      </w:r>
      <w:r>
        <w:rPr>
          <w:b/>
          <w:bCs/>
        </w:rPr>
        <w:t>Test</w:t>
      </w:r>
      <w:r>
        <w:t xml:space="preserve"> is used for functional, integration and security testing. </w:t>
      </w:r>
      <w:r>
        <w:rPr>
          <w:b/>
          <w:bCs/>
        </w:rPr>
        <w:t>Staging</w:t>
      </w:r>
      <w:r>
        <w:t xml:space="preserve"> mirrors production and is used for UAT, performance testing and rehearsal of deployments. </w:t>
      </w:r>
      <w:r>
        <w:rPr>
          <w:b/>
          <w:bCs/>
        </w:rPr>
        <w:t>Production</w:t>
      </w:r>
      <w:r>
        <w:t xml:space="preserve"> serves live users. Configuration moves between environments only through tagged releases from GitHub, so each environment's state is known.</w:t>
      </w:r>
    </w:p>
    <w:p w:rsidR="00EB510C" w:rsidRDefault="003F5293">
      <w:pPr>
        <w:pStyle w:val="Heading2"/>
      </w:pPr>
      <w:bookmarkStart w:id="76" w:name="_Toc100076"/>
      <w:r>
        <w:t>15.2 Pilot Phase</w:t>
      </w:r>
      <w:bookmarkEnd w:id="76"/>
    </w:p>
    <w:p w:rsidR="00EB510C" w:rsidRDefault="003F5293">
      <w:pPr>
        <w:spacing w:after="160" w:line="360" w:lineRule="auto"/>
        <w:jc w:val="both"/>
      </w:pPr>
      <w:r>
        <w:t xml:space="preserve">The pilot runs for three weeks (task 10.1) with five courses selected to represent different schools and teaching styles, including at least one course with a large enrolment and one with students who use assistive technology. The pilot is justified by the Oslo finding that a pilot phase acted as a front-runner and that sudden introduction acted as a barrier [5].</w:t>
      </w:r>
    </w:p>
    <w:p w:rsidR="00EB510C" w:rsidRDefault="003F5293">
      <w:pPr>
        <w:spacing w:after="160" w:line="360" w:lineRule="auto"/>
        <w:jc w:val="both"/>
      </w:pPr>
      <w:r>
        <w:t xml:space="preserve">Pilot exit criteria are: all pilot assessments submitted and graded without data loss; no open critical defects (high and lower-severity defects are logged for remediation in task 11.1); average satisfaction among pilot users of at least 3.5 out of 5, or a remediation plan approved by the sponsor if this target is not met; and feedback analysed and prioritised for remediation. Meeting the pilot exit criteria does not by itself authorise go-live. Production deployment also requires every mandatory gate in Table 28.</w:t>
      </w:r>
    </w:p>
    <w:p w:rsidR="00EB510C" w:rsidRDefault="003F5293">
      <w:pPr>
        <w:pStyle w:val="Heading2"/>
      </w:pPr>
      <w:bookmarkStart w:id="77" w:name="_Toc100077"/>
      <w:r>
        <w:t>15.3 UAT, Go/No-Go Decision and Rollback</w:t>
      </w:r>
      <w:bookmarkEnd w:id="77"/>
    </w:p>
    <w:p w:rsidR="00EB510C" w:rsidRDefault="003F5293">
      <w:pPr>
        <w:spacing w:after="160" w:line="360" w:lineRule="auto"/>
        <w:jc w:val="both"/>
      </w:pPr>
      <w:r>
        <w:t>The final readiness sequence separates four steps. UAT is executed in Week 23 (8.4) by lecturers, students and administrators on the remediated build. Defects found in UAT are fixed and retested in Week 24 (8.5), after which the sponsor signs formal acceptance. The go/no-go review is held at the end of Week 24; the sponsor holds the decision authority, advised by the steering committee. Production deployment follows in Week 25 (12.1) only if the decision is "go" (milestone M7).</w:t>
      </w:r>
    </w:p>
    <w:p w:rsidR="00EB510C" w:rsidRDefault="003F5293">
      <w:pPr>
        <w:spacing w:after="160" w:line="360" w:lineRule="auto"/>
        <w:jc w:val="both"/>
      </w:pPr>
      <w:r>
        <w:t xml:space="preserve">Every mandatory gate in Table 28 must be met. Critical and high-severity defects cannot be accepted as exceptions. Medium and low-severity defects may remain open only with a documented workaround and a scheduled fix. If any mandatory gate is not met, the sponsor defers go-live; the resulting schedule change is then assessed and approved through the Change </w:t>
        <w:lastRenderedPageBreak/>
        <w:t>Control Board, and the schedule is re-baselined. The CCB manages the change but does not replace the sponsor's go/no-go authority.</w:t>
      </w:r>
    </w:p>
    <w:p w:rsidR="00EB510C" w:rsidRDefault="003F5293">
      <w:pPr>
        <w:keepNext/>
        <w:pageBreakBefore/>
        <w:spacing w:before="200" w:after="80"/>
      </w:pPr>
      <w:r>
        <w:rPr>
          <w:b/>
          <w:bCs/>
        </w:rPr>
        <w:lastRenderedPageBreak/>
        <w:t xml:space="preserve">Table 28: </w:t>
      </w:r>
      <w:r>
        <w:rPr>
          <w:i/>
          <w:iCs/>
        </w:rPr>
        <w:t xml:space="preserve">Go-live gate criteria (mandatory gates and post-deployment monitoring)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2610"/>
        <w:gridCol w:w="1743"/>
        <w:gridCol w:w="1547"/>
        <w:gridCol w:w="1579"/>
      </w:tblGrid>
      <w:tr w:rsidR="00EB510C">
        <w:tblPrEx>
          <w:tblCellMar>
            <w:top w:w="0" w:type="dxa"/>
            <w:bottom w:w="0" w:type="dxa"/>
          </w:tblCellMar>
        </w:tblPrEx>
        <w:trPr>
          <w:cantSplit/>
          <w:tblHeader/>
        </w:trPr>
        <w:tc>
          <w:tcPr>
            <w:tcW w:w="1547"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Criterion</w:t>
            </w:r>
          </w:p>
        </w:tc>
        <w:tc>
          <w:tcPr>
            <w:tcW w:w="261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Threshold</w:t>
            </w:r>
          </w:p>
        </w:tc>
        <w:tc>
          <w:tcPr>
            <w:tcW w:w="1743"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Evidence</w:t>
            </w:r>
          </w:p>
        </w:tc>
        <w:tc>
          <w:tcPr>
            <w:tcW w:w="1547"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Responsible</w:t>
            </w:r>
          </w:p>
        </w:tc>
        <w:tc>
          <w:tcPr>
            <w:tcW w:w="1579"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rsidR="00EB510C" w:rsidRDefault="003F5293">
            <w:r>
              <w:rPr>
                <w:b/>
                <w:bCs/>
                <w:color w:val="FFFFFF"/>
                <w:sz w:val="19"/>
                <w:szCs w:val="19"/>
              </w:rPr>
              <w:t>Type</w:t>
            </w:r>
          </w:p>
        </w:tc>
      </w:tr>
      <w:tr w:rsidR="00EB510C">
        <w:tblPrEx>
          <w:tblCellMar>
            <w:top w:w="0" w:type="dxa"/>
            <w:bottom w:w="0" w:type="dxa"/>
          </w:tblCellMar>
        </w:tblPrEx>
        <w:trPr>
          <w:cantSplit/>
        </w:trPr>
        <w:tc>
          <w:tcPr>
            <w:tcW w:w="15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Must-have requirements</w:t>
            </w:r>
          </w:p>
        </w:tc>
        <w:tc>
          <w:tcPr>
            <w:tcW w:w="2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100% pass UAT, including retest; acceptance signed</w:t>
            </w:r>
          </w:p>
        </w:tc>
        <w:tc>
          <w:tcPr>
            <w:tcW w:w="17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UAT report; acceptance record</w:t>
            </w:r>
          </w:p>
        </w:tc>
        <w:tc>
          <w:tcPr>
            <w:tcW w:w="15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QA Tester</w:t>
            </w:r>
          </w:p>
        </w:tc>
        <w:tc>
          <w:tcPr>
            <w:tcW w:w="15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Mandatory gate</w:t>
            </w:r>
          </w:p>
        </w:tc>
      </w:tr>
      <w:tr w:rsidR="00EB510C">
        <w:tblPrEx>
          <w:tblCellMar>
            <w:top w:w="0" w:type="dxa"/>
            <w:bottom w:w="0" w:type="dxa"/>
          </w:tblCellMar>
        </w:tblPrEx>
        <w:trPr>
          <w:cantSplit/>
        </w:trPr>
        <w:tc>
          <w:tcPr>
            <w:tcW w:w="15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Defects</w:t>
            </w:r>
          </w:p>
        </w:tc>
        <w:tc>
          <w:tcPr>
            <w:tcW w:w="261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Zero open critical or high defects; medium/low only with workaround and scheduled fix</w:t>
            </w:r>
          </w:p>
        </w:tc>
        <w:tc>
          <w:tcPr>
            <w:tcW w:w="174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Defect log</w:t>
            </w:r>
          </w:p>
        </w:tc>
        <w:tc>
          <w:tcPr>
            <w:tcW w:w="15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QA Tester</w:t>
            </w:r>
          </w:p>
        </w:tc>
        <w:tc>
          <w:tcPr>
            <w:tcW w:w="157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Mandatory gate</w:t>
            </w:r>
          </w:p>
        </w:tc>
      </w:tr>
      <w:tr w:rsidR="00EB510C">
        <w:tblPrEx>
          <w:tblCellMar>
            <w:top w:w="0" w:type="dxa"/>
            <w:bottom w:w="0" w:type="dxa"/>
          </w:tblCellMar>
        </w:tblPrEx>
        <w:trPr>
          <w:cantSplit/>
        </w:trPr>
        <w:tc>
          <w:tcPr>
            <w:tcW w:w="15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Security</w:t>
            </w:r>
          </w:p>
        </w:tc>
        <w:tc>
          <w:tcPr>
            <w:tcW w:w="2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No unresolved high-risk findings</w:t>
            </w:r>
          </w:p>
        </w:tc>
        <w:tc>
          <w:tcPr>
            <w:tcW w:w="17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Security test report</w:t>
            </w:r>
          </w:p>
        </w:tc>
        <w:tc>
          <w:tcPr>
            <w:tcW w:w="15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Security Specialist</w:t>
            </w:r>
          </w:p>
        </w:tc>
        <w:tc>
          <w:tcPr>
            <w:tcW w:w="15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Mandatory gate</w:t>
            </w:r>
          </w:p>
        </w:tc>
      </w:tr>
      <w:tr w:rsidR="00EB510C">
        <w:tblPrEx>
          <w:tblCellMar>
            <w:top w:w="0" w:type="dxa"/>
            <w:bottom w:w="0" w:type="dxa"/>
          </w:tblCellMar>
        </w:tblPrEx>
        <w:trPr>
          <w:cantSplit/>
        </w:trPr>
        <w:tc>
          <w:tcPr>
            <w:tcW w:w="15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Accessibility</w:t>
            </w:r>
          </w:p>
        </w:tc>
        <w:tc>
          <w:tcPr>
            <w:tcW w:w="261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No unresolved WCAG 2.2 A/AA failures in core student workflows</w:t>
            </w:r>
          </w:p>
        </w:tc>
        <w:tc>
          <w:tcPr>
            <w:tcW w:w="174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Accessibility report</w:t>
            </w:r>
          </w:p>
        </w:tc>
        <w:tc>
          <w:tcPr>
            <w:tcW w:w="15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QA Tester</w:t>
            </w:r>
          </w:p>
        </w:tc>
        <w:tc>
          <w:tcPr>
            <w:tcW w:w="157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Mandatory gate</w:t>
            </w:r>
          </w:p>
        </w:tc>
      </w:tr>
      <w:tr w:rsidR="00EB510C">
        <w:tblPrEx>
          <w:tblCellMar>
            <w:top w:w="0" w:type="dxa"/>
            <w:bottom w:w="0" w:type="dxa"/>
          </w:tblCellMar>
        </w:tblPrEx>
        <w:trPr>
          <w:cantSplit/>
        </w:trPr>
        <w:tc>
          <w:tcPr>
            <w:tcW w:w="15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Content migration</w:t>
            </w:r>
          </w:p>
        </w:tc>
        <w:tc>
          <w:tcPr>
            <w:tcW w:w="2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100% of agreed courses reconciled and approved by lecturers</w:t>
            </w:r>
          </w:p>
        </w:tc>
        <w:tc>
          <w:tcPr>
            <w:tcW w:w="17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Signed checklists</w:t>
            </w:r>
          </w:p>
        </w:tc>
        <w:tc>
          <w:tcPr>
            <w:tcW w:w="15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Instructional Designer</w:t>
            </w:r>
          </w:p>
        </w:tc>
        <w:tc>
          <w:tcPr>
            <w:tcW w:w="15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Mandatory gate</w:t>
            </w:r>
          </w:p>
        </w:tc>
      </w:tr>
      <w:tr w:rsidR="00EB510C">
        <w:tblPrEx>
          <w:tblCellMar>
            <w:top w:w="0" w:type="dxa"/>
            <w:bottom w:w="0" w:type="dxa"/>
          </w:tblCellMar>
        </w:tblPrEx>
        <w:trPr>
          <w:cantSplit/>
        </w:trPr>
        <w:tc>
          <w:tcPr>
            <w:tcW w:w="15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Backup and rollback</w:t>
            </w:r>
          </w:p>
        </w:tc>
        <w:tc>
          <w:tcPr>
            <w:tcW w:w="261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Successful restore test; rollback rehearsed in staging</w:t>
            </w:r>
          </w:p>
        </w:tc>
        <w:tc>
          <w:tcPr>
            <w:tcW w:w="174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Restore and rehearsal records</w:t>
            </w:r>
          </w:p>
        </w:tc>
        <w:tc>
          <w:tcPr>
            <w:tcW w:w="15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Infrastructure Admin</w:t>
            </w:r>
          </w:p>
        </w:tc>
        <w:tc>
          <w:tcPr>
            <w:tcW w:w="157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Mandatory gate</w:t>
            </w:r>
          </w:p>
        </w:tc>
      </w:tr>
      <w:tr w:rsidR="00EB510C">
        <w:tblPrEx>
          <w:tblCellMar>
            <w:top w:w="0" w:type="dxa"/>
            <w:bottom w:w="0" w:type="dxa"/>
          </w:tblCellMar>
        </w:tblPrEx>
        <w:trPr>
          <w:cantSplit/>
        </w:trPr>
        <w:tc>
          <w:tcPr>
            <w:tcW w:w="15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Performance</w:t>
            </w:r>
          </w:p>
        </w:tc>
        <w:tc>
          <w:tcPr>
            <w:tcW w:w="2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Core pages within the agreed threshold under simulated peak load</w:t>
            </w:r>
          </w:p>
        </w:tc>
        <w:tc>
          <w:tcPr>
            <w:tcW w:w="17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Performance test report</w:t>
            </w:r>
          </w:p>
        </w:tc>
        <w:tc>
          <w:tcPr>
            <w:tcW w:w="15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Infrastructure Admin</w:t>
            </w:r>
          </w:p>
        </w:tc>
        <w:tc>
          <w:tcPr>
            <w:tcW w:w="15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Mandatory gate</w:t>
            </w:r>
          </w:p>
        </w:tc>
      </w:tr>
      <w:tr w:rsidR="00EB510C">
        <w:tblPrEx>
          <w:tblCellMar>
            <w:top w:w="0" w:type="dxa"/>
            <w:bottom w:w="0" w:type="dxa"/>
          </w:tblCellMar>
        </w:tblPrEx>
        <w:trPr>
          <w:cantSplit/>
        </w:trPr>
        <w:tc>
          <w:tcPr>
            <w:tcW w:w="15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Staff training</w:t>
            </w:r>
          </w:p>
        </w:tc>
        <w:tc>
          <w:tcPr>
            <w:tcW w:w="261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At least 90% of teaching staff trained</w:t>
            </w:r>
          </w:p>
        </w:tc>
        <w:tc>
          <w:tcPr>
            <w:tcW w:w="174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Training completion report</w:t>
            </w:r>
          </w:p>
        </w:tc>
        <w:tc>
          <w:tcPr>
            <w:tcW w:w="15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Instructional Designer</w:t>
            </w:r>
          </w:p>
        </w:tc>
        <w:tc>
          <w:tcPr>
            <w:tcW w:w="157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Mandatory gate</w:t>
            </w:r>
          </w:p>
        </w:tc>
      </w:tr>
      <w:tr w:rsidR="00EB510C">
        <w:tblPrEx>
          <w:tblCellMar>
            <w:top w:w="0" w:type="dxa"/>
            <w:bottom w:w="0" w:type="dxa"/>
          </w:tblCellMar>
        </w:tblPrEx>
        <w:trPr>
          <w:cantSplit/>
        </w:trPr>
        <w:tc>
          <w:tcPr>
            <w:tcW w:w="15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Formal approval</w:t>
            </w:r>
          </w:p>
        </w:tc>
        <w:tc>
          <w:tcPr>
            <w:tcW w:w="2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Sponsor go/no-go decision recorded</w:t>
            </w:r>
          </w:p>
        </w:tc>
        <w:tc>
          <w:tcPr>
            <w:tcW w:w="17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Decision record</w:t>
            </w:r>
          </w:p>
        </w:tc>
        <w:tc>
          <w:tcPr>
            <w:tcW w:w="15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Project Sponsor</w:t>
            </w:r>
          </w:p>
        </w:tc>
        <w:tc>
          <w:tcPr>
            <w:tcW w:w="15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Mandatory gate</w:t>
            </w:r>
          </w:p>
        </w:tc>
      </w:tr>
      <w:tr w:rsidR="00EB510C">
        <w:tblPrEx>
          <w:tblCellMar>
            <w:top w:w="0" w:type="dxa"/>
            <w:bottom w:w="0" w:type="dxa"/>
          </w:tblCellMar>
        </w:tblPrEx>
        <w:trPr>
          <w:cantSplit/>
        </w:trPr>
        <w:tc>
          <w:tcPr>
            <w:tcW w:w="15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User satisfaction</w:t>
            </w:r>
          </w:p>
        </w:tc>
        <w:tc>
          <w:tcPr>
            <w:tcW w:w="2610"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At least 3.5 out of 5 (pilot); surveyed again during hypercare</w:t>
            </w:r>
          </w:p>
        </w:tc>
        <w:tc>
          <w:tcPr>
            <w:tcW w:w="1743"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Surveys</w:t>
            </w:r>
          </w:p>
        </w:tc>
        <w:tc>
          <w:tcPr>
            <w:tcW w:w="1547"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Project Manager</w:t>
            </w:r>
          </w:p>
        </w:tc>
        <w:tc>
          <w:tcPr>
            <w:tcW w:w="1579" w:type="dxa"/>
            <w:tcBorders>
              <w:top w:val="single" w:sz="4" w:space="0" w:color="808080"/>
              <w:left w:val="single" w:sz="4" w:space="0" w:color="808080"/>
              <w:bottom w:val="single" w:sz="4" w:space="0" w:color="808080"/>
              <w:right w:val="single" w:sz="4" w:space="0" w:color="808080"/>
            </w:tcBorders>
            <w:shd w:val="clear" w:color="auto" w:fill="F2F5FA"/>
            <w:tcMar>
              <w:top w:w="50" w:type="dxa"/>
              <w:left w:w="80" w:type="dxa"/>
              <w:bottom w:w="50" w:type="dxa"/>
              <w:right w:w="80" w:type="dxa"/>
            </w:tcMar>
            <w:vAlign w:val="center"/>
          </w:tcPr>
          <w:p w:rsidR="00EB510C" w:rsidRDefault="003F5293">
            <w:r>
              <w:rPr>
                <w:sz w:val="19"/>
                <w:szCs w:val="19"/>
              </w:rPr>
              <w:t>Monitored after go-live</w:t>
            </w:r>
          </w:p>
        </w:tc>
      </w:tr>
      <w:tr w:rsidR="00EB510C">
        <w:tblPrEx>
          <w:tblCellMar>
            <w:top w:w="0" w:type="dxa"/>
            <w:bottom w:w="0" w:type="dxa"/>
          </w:tblCellMar>
        </w:tblPrEx>
        <w:trPr>
          <w:cantSplit/>
        </w:trPr>
        <w:tc>
          <w:tcPr>
            <w:tcW w:w="15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Service operation</w:t>
            </w:r>
          </w:p>
        </w:tc>
        <w:tc>
          <w:tcPr>
            <w:tcW w:w="26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Uptime, response time, help desk volume and course activity within agreed levels</w:t>
            </w:r>
          </w:p>
        </w:tc>
        <w:tc>
          <w:tcPr>
            <w:tcW w:w="17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Monitoring reports</w:t>
            </w:r>
          </w:p>
        </w:tc>
        <w:tc>
          <w:tcPr>
            <w:tcW w:w="154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LMS Administrator</w:t>
            </w:r>
          </w:p>
        </w:tc>
        <w:tc>
          <w:tcPr>
            <w:tcW w:w="15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rsidR="00EB510C" w:rsidRDefault="003F5293">
            <w:r>
              <w:rPr>
                <w:sz w:val="19"/>
                <w:szCs w:val="19"/>
              </w:rPr>
              <w:t>Monitored after go-live</w:t>
            </w:r>
          </w:p>
        </w:tc>
      </w:tr>
    </w:tbl>
    <w:p w:rsidR="00EB510C" w:rsidRDefault="00EB510C">
      <w:pPr>
        <w:spacing w:after="120"/>
      </w:pPr>
    </w:p>
    <w:p w:rsidR="00EB510C" w:rsidRDefault="003F5293">
      <w:pPr>
        <w:spacing w:after="160" w:line="360" w:lineRule="auto"/>
        <w:jc w:val="both"/>
      </w:pPr>
      <w:r>
        <w:t>If a critical failure occurs during cut-over, the team restores the last verified backup and the previous release tag, and communicates the delay to users.</w:t>
      </w:r>
    </w:p>
    <w:p w:rsidR="00EB510C" w:rsidRDefault="003F5293">
      <w:pPr>
        <w:pStyle w:val="Heading2"/>
      </w:pPr>
      <w:bookmarkStart w:id="78" w:name="_Toc100078"/>
      <w:r>
        <w:t>15.4 Hypercare, Handover and Closure</w:t>
      </w:r>
      <w:bookmarkEnd w:id="78"/>
    </w:p>
    <w:p w:rsidR="00EB510C" w:rsidRDefault="003F5293">
      <w:pPr>
        <w:spacing w:after="160" w:line="360" w:lineRule="auto"/>
        <w:jc w:val="both"/>
      </w:pPr>
      <w:r>
        <w:t xml:space="preserve">During two weeks of hypercare, the project team provides extended support, monitors performance and responds to issues using the target resolution times in Section 10. Handover to IT services includes the operations runbook, administrator documentation and access to the GitHub repository. Project closure includes a final status report, confirmation that objectives have been met, release of resources and a lessons learned session with the team and stakeholders, recorded in the repository for future projects.</w:t>
      </w:r>
    </w:p>
    <w:p w:rsidR="00EB510C" w:rsidRDefault="003F5293">
      <w:pPr>
        <w:pStyle w:val="Heading1"/>
        <w:pageBreakBefore/>
      </w:pPr>
      <w:bookmarkStart w:id="79" w:name="_Toc243565023"/>
      <w:r>
        <w:lastRenderedPageBreak/>
        <w:t>16. Conclusion</w:t>
      </w:r>
      <w:bookmarkEnd w:id="79"/>
    </w:p>
    <w:p w:rsidR="00EB510C" w:rsidRDefault="003F5293">
      <w:pPr>
        <w:spacing w:after="160" w:line="360" w:lineRule="auto"/>
        <w:jc w:val="both"/>
      </w:pPr>
      <w:r>
        <w:t>RIHE needs to replace fragmented and end-of-support online learning tools with a secure, centralised LMS. This report has presented a plan to deliver that system over 28 weeks, using Moodle as the recommended platform because of its low licensing cost, configurability and institutional control over data, while openly acknowledging its weaker out-of-the-box usability and greater dependence on in-house skills.</w:t>
      </w:r>
    </w:p>
    <w:p w:rsidR="00EB510C" w:rsidRDefault="003F5293">
      <w:pPr>
        <w:spacing w:after="160" w:line="360" w:lineRule="auto"/>
        <w:jc w:val="both"/>
      </w:pPr>
      <w:r>
        <w:t>The plan is shaped by the evidence that LMS implementations most often struggle because of human factors, integration problems and sudden introduction rather than technology alone. For this reason, a pilot phase, targeted training, lecturer champions, structured communication and formal change control are built into the schedule, the RACI matrix and the quality criteria. The main risks, led by low lecturer adoption, content migration errors and security or privacy failures, have named owners, preventive controls and triggers.</w:t>
      </w:r>
    </w:p>
    <w:p w:rsidR="00EB510C" w:rsidRDefault="003F5293">
      <w:pPr>
        <w:spacing w:after="160" w:line="360" w:lineRule="auto"/>
        <w:jc w:val="both"/>
      </w:pPr>
      <w:r>
        <w:t>The WBS, Gantt chart, risk register, communication plan, quality matrix and GitHub configuration management strategy are designed to work together, so that any change, defect or risk can be traced through the plan. If executed as planned, the project should provide RIHE with a reliable and accessible LMS, a better and more consistent learning experience for students, reduced administrative workload for lecturers, and a controlled foundation for future improvements.</w:t>
      </w:r>
    </w:p>
    <w:p>
      <w:pPr>
        <w:spacing w:after="160" w:line="360" w:lineRule="auto"/>
        <w:jc w:val="both"/>
      </w:pPr>
      <w:r>
        <w:t xml:space="preserve">In summary, the plan delivers the LMS in 28 weeks (1 February 2027 to 13 August 2027) for AUD 337,700, through 25 scheduled tasks and nine approval milestones. Its 14 assessed risks carry a residual exposure of AUD 29,750 EMV, which the contingency reserve covers, and the change control process is shown working through a completed change request.</w:t>
      </w:r>
    </w:p>
    <w:p>
      <w:pPr>
        <w:pStyle w:val="Heading2"/>
      </w:pPr>
      <w:r>
        <w:t xml:space="preserve">16.1 Recommendations and Next Steps</w:t>
      </w:r>
    </w:p>
    <w:p>
      <w:pPr>
        <w:spacing w:after="160" w:line="360" w:lineRule="auto"/>
        <w:jc w:val="both"/>
      </w:pPr>
      <w:r>
        <w:t xml:space="preserve">To move from plan to execution, the following next steps are recommended:</w:t>
      </w:r>
    </w:p>
    <w:p>
      <w:pPr>
        <w:pStyle w:val="ListParagraph"/>
        <w:numPr>
          <w:ilvl w:val="0"/>
          <w:numId w:val="2"/>
        </w:numPr>
        <w:spacing w:after="80" w:line="360" w:lineRule="auto"/>
        <w:jc w:val="both"/>
      </w:pPr>
      <w:r>
        <w:t xml:space="preserve">The sponsor should sign the charter (Table 8) and confirm the platform evaluation weights at milestone M3, because the Moodle recommendation is sensitive to the usability weighting.</w:t>
      </w:r>
    </w:p>
    <w:p>
      <w:pPr>
        <w:pStyle w:val="ListParagraph"/>
        <w:numPr>
          <w:ilvl w:val="0"/>
          <w:numId w:val="2"/>
        </w:numPr>
        <w:spacing w:after="80" w:line="360" w:lineRule="auto"/>
        <w:jc w:val="both"/>
      </w:pPr>
      <w:r>
        <w:t xml:space="preserve">Confirm the 1 February 2027 start date and book requirements workshops with heads of school in Week 2 to protect the critical path.</w:t>
      </w:r>
    </w:p>
    <w:p>
      <w:pPr>
        <w:pStyle w:val="ListParagraph"/>
        <w:numPr>
          <w:ilvl w:val="0"/>
          <w:numId w:val="2"/>
        </w:numPr>
        <w:spacing w:after="80" w:line="360" w:lineRule="auto"/>
        <w:jc w:val="both"/>
      </w:pPr>
      <w:r>
        <w:t xml:space="preserve">Set up the GitHub repository and tag the approved project plan as v0.1 before execution begins.</w:t>
      </w:r>
    </w:p>
    <w:p>
      <w:pPr>
        <w:pStyle w:val="ListParagraph"/>
        <w:numPr>
          <w:ilvl w:val="0"/>
          <w:numId w:val="2"/>
        </w:numPr>
        <w:spacing w:after="80" w:line="360" w:lineRule="auto"/>
        <w:jc w:val="both"/>
      </w:pPr>
      <w:r>
        <w:t xml:space="preserve">Apply the CCB rules to every contingency drawdown and review the EMV-based reserve monthly as risks close.</w:t>
      </w:r>
    </w:p>
    <w:p>
      <w:pPr>
        <w:pStyle w:val="ListParagraph"/>
        <w:numPr>
          <w:ilvl w:val="0"/>
          <w:numId w:val="2"/>
        </w:numPr>
        <w:spacing w:after="80" w:line="360" w:lineRule="auto"/>
        <w:jc w:val="both"/>
      </w:pPr>
      <w:r>
        <w:t xml:space="preserve">After hypercare, evaluate the deferred requests, such as video conferencing integration (CR-014) and real-time student information system integration, as a Phase 2 business case.</w:t>
      </w:r>
    </w:p>
    <w:p w:rsidR="00EB510C" w:rsidRDefault="003F5293">
      <w:pPr>
        <w:pStyle w:val="Heading1"/>
        <w:pageBreakBefore/>
      </w:pPr>
      <w:bookmarkStart w:id="80" w:name="_Toc243565024"/>
      <w:r>
        <w:lastRenderedPageBreak/>
        <w:t>References</w:t>
      </w:r>
      <w:bookmarkEnd w:id="80"/>
    </w:p>
    <w:p>
      <w:pPr>
        <w:tabs>
          <w:tab w:val="left" w:pos="567"/>
        </w:tabs>
        <w:spacing w:after="120" w:line="300" w:lineRule="auto"/>
        <w:ind w:left="567" w:hanging="567"/>
      </w:pPr>
      <w:r>
        <w:t>[1]</w:t>
      </w:r>
      <w:r>
        <w:tab/>
      </w:r>
      <w:r>
        <w:t xml:space="preserve">R. Garrote Jurado, "Barriers to a wider implementation of LMS in higher education: A Swedish case study, 2006–2011," </w:t>
      </w:r>
      <w:r>
        <w:rPr>
          <w:i/>
          <w:iCs/>
        </w:rPr>
        <w:t xml:space="preserve">E-Learning and Education</w:t>
      </w:r>
      <w:r>
        <w:t xml:space="preserve">, vol. 1, no. 9, 2013. [Online]. Available: https://doaj.org/article/a5ecf30c06dd46e8b40afc54b1c0f2ae</w:t>
      </w:r>
    </w:p>
    <w:p>
      <w:pPr>
        <w:tabs>
          <w:tab w:val="left" w:pos="567"/>
        </w:tabs>
        <w:spacing w:after="120" w:line="300" w:lineRule="auto"/>
        <w:ind w:left="567" w:hanging="567"/>
      </w:pPr>
      <w:r>
        <w:t>[2]</w:t>
      </w:r>
      <w:r>
        <w:tab/>
      </w:r>
      <w:r>
        <w:t xml:space="preserve">G. M. Delen, "An analytical study on the utilization of learning management systems in higher education institutions: Perspectives from the Philippines," </w:t>
      </w:r>
      <w:r>
        <w:rPr>
          <w:i/>
          <w:iCs/>
        </w:rPr>
        <w:t xml:space="preserve">Humanities and Social Sciences Letters</w:t>
      </w:r>
      <w:r>
        <w:t xml:space="preserve">, vol. 14, no. 1, pp. 126–140, 2026, doi: 10.18488/73.v14i1.4668.</w:t>
      </w:r>
    </w:p>
    <w:p>
      <w:pPr>
        <w:tabs>
          <w:tab w:val="left" w:pos="567"/>
        </w:tabs>
        <w:spacing w:after="120" w:line="300" w:lineRule="auto"/>
        <w:ind w:left="567" w:hanging="567"/>
      </w:pPr>
      <w:r>
        <w:t>[3]</w:t>
      </w:r>
      <w:r>
        <w:tab/>
      </w:r>
      <w:r>
        <w:t xml:space="preserve">Moodle, "Moodle statistics," 2026. [Online]. Available: https://stats.moodle.org/ (accessed Oct. 21, 2026).</w:t>
      </w:r>
    </w:p>
    <w:p>
      <w:pPr>
        <w:tabs>
          <w:tab w:val="left" w:pos="567"/>
        </w:tabs>
        <w:spacing w:after="120" w:line="300" w:lineRule="auto"/>
        <w:ind w:left="567" w:hanging="567"/>
      </w:pPr>
      <w:r>
        <w:t>[4]</w:t>
      </w:r>
      <w:r>
        <w:tab/>
      </w:r>
      <w:r>
        <w:t xml:space="preserve">Y. Alduraywish, J. Patsavellas, and K. Salonitis, "Critical success factors for improving learning management systems diffusion in KSA HEIs: An ISM approach," </w:t>
      </w:r>
      <w:r>
        <w:rPr>
          <w:i/>
          <w:iCs/>
        </w:rPr>
        <w:t xml:space="preserve">Education and Information Technologies</w:t>
      </w:r>
      <w:r>
        <w:t xml:space="preserve">, vol. 27, pp. 1105–1131, 2022, doi: 10.1007/s10639-021-10621-0.</w:t>
      </w:r>
    </w:p>
    <w:p>
      <w:pPr>
        <w:tabs>
          <w:tab w:val="left" w:pos="567"/>
        </w:tabs>
        <w:spacing w:after="120" w:line="300" w:lineRule="auto"/>
        <w:ind w:left="567" w:hanging="567"/>
      </w:pPr>
      <w:r>
        <w:t>[5]</w:t>
      </w:r>
      <w:r>
        <w:tab/>
      </w:r>
      <w:r>
        <w:t xml:space="preserve">C. Sagvik, "Implementing learning management systems in higher education: A case study of University of Oslo," M.S. thesis, Univ. of Oslo, Oslo, Norway, 2018. [Online]. Available: https://www.duo.uio.no/handle/10852/65683</w:t>
      </w:r>
    </w:p>
    <w:p>
      <w:pPr>
        <w:tabs>
          <w:tab w:val="left" w:pos="567"/>
        </w:tabs>
        <w:spacing w:after="120" w:line="300" w:lineRule="auto"/>
        <w:ind w:left="567" w:hanging="567"/>
      </w:pPr>
      <w:r>
        <w:t>[6]</w:t>
      </w:r>
      <w:r>
        <w:tab/>
      </w:r>
      <w:r>
        <w:t xml:space="preserve">Office of the Australian Information Commissioner, "Australian Privacy Principles." [Online]. Available: https://www.oaic.gov.au/privacy/australian-privacy-principles (accessed Oct. 21, 2026).</w:t>
      </w:r>
    </w:p>
    <w:p>
      <w:pPr>
        <w:tabs>
          <w:tab w:val="left" w:pos="567"/>
        </w:tabs>
        <w:spacing w:after="120" w:line="300" w:lineRule="auto"/>
        <w:ind w:left="567" w:hanging="567"/>
      </w:pPr>
      <w:r>
        <w:t>[7]</w:t>
      </w:r>
      <w:r>
        <w:tab/>
      </w:r>
      <w:r>
        <w:t xml:space="preserve">Project Management Institute, </w:t>
      </w:r>
      <w:r>
        <w:rPr>
          <w:i/>
          <w:iCs/>
        </w:rPr>
        <w:t xml:space="preserve">A Guide to the Project Management Body of Knowledge (PMBOK Guide)</w:t>
      </w:r>
      <w:r>
        <w:t xml:space="preserve">, 7th ed. Newtown Square, PA, USA: Project Management Institute, 2021.</w:t>
      </w:r>
    </w:p>
    <w:p>
      <w:pPr>
        <w:tabs>
          <w:tab w:val="left" w:pos="567"/>
        </w:tabs>
        <w:spacing w:after="120" w:line="300" w:lineRule="auto"/>
        <w:ind w:left="567" w:hanging="567"/>
      </w:pPr>
      <w:r>
        <w:t>[8]</w:t>
      </w:r>
      <w:r>
        <w:tab/>
      </w:r>
      <w:r>
        <w:t xml:space="preserve">M. N. Al-Nuaimi and M. Al-Emran, "Learning management systems and technology acceptance models: A systematic review," </w:t>
      </w:r>
      <w:r>
        <w:rPr>
          <w:i/>
          <w:iCs/>
        </w:rPr>
        <w:t xml:space="preserve">Education and Information Technologies</w:t>
      </w:r>
      <w:r>
        <w:t xml:space="preserve">, vol. 26, no. 5, pp. 5499–5533, 2021, doi: 10.1007/s10639-021-10513-3.</w:t>
      </w:r>
    </w:p>
    <w:p>
      <w:pPr>
        <w:tabs>
          <w:tab w:val="left" w:pos="567"/>
        </w:tabs>
        <w:spacing w:after="120" w:line="300" w:lineRule="auto"/>
        <w:ind w:left="567" w:hanging="567"/>
      </w:pPr>
      <w:r>
        <w:t>[9]</w:t>
      </w:r>
      <w:r>
        <w:tab/>
      </w:r>
      <w:r>
        <w:t xml:space="preserve">F. D. Davis, "Perceived usefulness, perceived ease of use, and user acceptance of information technology," </w:t>
      </w:r>
      <w:r>
        <w:rPr>
          <w:i/>
          <w:iCs/>
        </w:rPr>
        <w:t xml:space="preserve">MIS Quarterly</w:t>
      </w:r>
      <w:r>
        <w:t xml:space="preserve">, vol. 13, no. 3, pp. 319–340, 1989, doi: 10.2307/249008.</w:t>
      </w:r>
    </w:p>
    <w:p>
      <w:pPr>
        <w:tabs>
          <w:tab w:val="left" w:pos="567"/>
        </w:tabs>
        <w:spacing w:after="120" w:line="300" w:lineRule="auto"/>
        <w:ind w:left="567" w:hanging="567"/>
      </w:pPr>
      <w:r>
        <w:t>[10]</w:t>
      </w:r>
      <w:r>
        <w:tab/>
      </w:r>
      <w:r>
        <w:t xml:space="preserve">W. H. DeLone and E. R. McLean, "The DeLone and McLean model of information systems success: A ten-year update," </w:t>
      </w:r>
      <w:r>
        <w:rPr>
          <w:i/>
          <w:iCs/>
        </w:rPr>
        <w:t xml:space="preserve">Journal of Management Information Systems</w:t>
      </w:r>
      <w:r>
        <w:t xml:space="preserve">, vol. 19, no. 4, pp. 9–30, 2003, doi: 10.1080/07421222.2003.11045748.</w:t>
      </w:r>
    </w:p>
    <w:p>
      <w:pPr>
        <w:tabs>
          <w:tab w:val="left" w:pos="567"/>
        </w:tabs>
        <w:spacing w:after="120" w:line="300" w:lineRule="auto"/>
        <w:ind w:left="567" w:hanging="567"/>
      </w:pPr>
      <w:r>
        <w:t>[11]</w:t>
      </w:r>
      <w:r>
        <w:tab/>
      </w:r>
      <w:r>
        <w:t xml:space="preserve">S. Otto, A. O. Markman, and T. Svarre, "Critical success factors for learning management systems in higher education: A literature review," in </w:t>
      </w:r>
      <w:r>
        <w:rPr>
          <w:i/>
          <w:iCs/>
        </w:rPr>
        <w:t xml:space="preserve">Proc. Int. Conf. Networked Learning</w:t>
      </w:r>
      <w:r>
        <w:t xml:space="preserve">, vol. 13, 2022, doi: 10.54337/nlc.v13.8501.</w:t>
      </w:r>
    </w:p>
    <w:p>
      <w:pPr>
        <w:tabs>
          <w:tab w:val="left" w:pos="567"/>
        </w:tabs>
        <w:spacing w:after="120" w:line="300" w:lineRule="auto"/>
        <w:ind w:left="567" w:hanging="567"/>
      </w:pPr>
      <w:r>
        <w:t>[12]</w:t>
      </w:r>
      <w:r>
        <w:tab/>
      </w:r>
      <w:r>
        <w:t xml:space="preserve">K. A. Al-Busaidi, "Learners' perspective on critical factors to LMS success in blended learning: An empirical investigation," </w:t>
      </w:r>
      <w:r>
        <w:rPr>
          <w:i/>
          <w:iCs/>
        </w:rPr>
        <w:t xml:space="preserve">Communications of the Association for Information Systems</w:t>
      </w:r>
      <w:r>
        <w:t xml:space="preserve">, vol. 30, Art. no. 2, 2012, doi: 10.17705/1CAIS.03002.</w:t>
      </w:r>
    </w:p>
    <w:p>
      <w:pPr>
        <w:tabs>
          <w:tab w:val="left" w:pos="567"/>
        </w:tabs>
        <w:spacing w:after="120" w:line="300" w:lineRule="auto"/>
        <w:ind w:left="567" w:hanging="567"/>
      </w:pPr>
      <w:r>
        <w:t>[13]</w:t>
      </w:r>
      <w:r>
        <w:tab/>
      </w:r>
      <w:r>
        <w:t xml:space="preserve">World Wide Web Consortium, "Web Content Accessibility Guidelines (WCAG) 2.2," W3C Recommendation, 2023. [Online]. Available: https://www.w3.org/TR/WCAG22/</w:t>
      </w:r>
    </w:p>
    <w:p>
      <w:pPr>
        <w:tabs>
          <w:tab w:val="left" w:pos="567"/>
        </w:tabs>
        <w:spacing w:after="120" w:line="300" w:lineRule="auto"/>
        <w:ind w:left="567" w:hanging="567"/>
      </w:pPr>
      <w:r>
        <w:t>[14]</w:t>
      </w:r>
      <w:r>
        <w:tab/>
      </w:r>
      <w:r>
        <w:t xml:space="preserve">OWASP Foundation, "OWASP Application Security Verification Standard." [Online]. Available: https://owasp.org/www-project-application-security-verification-standard/ (accessed Oct. 21, 2026).</w:t>
      </w:r>
    </w:p>
    <w:p>
      <w:pPr>
        <w:tabs>
          <w:tab w:val="left" w:pos="567"/>
        </w:tabs>
        <w:spacing w:after="120" w:line="300" w:lineRule="auto"/>
        <w:ind w:left="567" w:hanging="567"/>
      </w:pPr>
      <w:r>
        <w:t>[15]</w:t>
      </w:r>
      <w:r>
        <w:tab/>
      </w:r>
      <w:r>
        <w:t xml:space="preserve">Lambda Solutions, "Navigating the phases of LMS implementation: A comprehensive guide." [Online]. Available: https://www.lambdasolutions.net/en/blog/navigating-the-phases-of-lms-implementation-a-comprehensive-guide (accessed Oct. 21, 2026).</w:t>
      </w:r>
    </w:p>
    <w:p>
      <w:pPr>
        <w:tabs>
          <w:tab w:val="left" w:pos="567"/>
        </w:tabs>
        <w:spacing w:after="120" w:line="300" w:lineRule="auto"/>
        <w:ind w:left="567" w:hanging="567"/>
      </w:pPr>
      <w:r>
        <w:t>[16]</w:t>
      </w:r>
      <w:r>
        <w:tab/>
      </w:r>
      <w:r>
        <w:t xml:space="preserve">360Learning, </w:t>
      </w:r>
      <w:r>
        <w:rPr>
          <w:i/>
          <w:iCs/>
        </w:rPr>
        <w:t xml:space="preserve">The 11-Step LMS Implementation Checklist &amp; Project Plan</w:t>
      </w:r>
      <w:r>
        <w:t xml:space="preserve"> [E-book]. eLearning Industry, 2026. [Online]. Available: https://elearningindustry.com/free-ebooks/the-11-step-lms-implementation-checklist-project-plan</w:t>
      </w:r>
    </w:p>
    <w:p>
      <w:pPr>
        <w:tabs>
          <w:tab w:val="left" w:pos="567"/>
        </w:tabs>
        <w:spacing w:after="120" w:line="300" w:lineRule="auto"/>
        <w:ind w:left="567" w:hanging="567"/>
      </w:pPr>
      <w:r>
        <w:t>[17]</w:t>
      </w:r>
      <w:r>
        <w:tab/>
      </w:r>
      <w:r>
        <w:t xml:space="preserve">Moodle, "License," Moodle Developer Documentation. [Online]. Available: https://docs.moodle.org/dev/License (accessed Oct. 21, 2026).</w:t>
      </w:r>
    </w:p>
    <w:p>
      <w:pPr>
        <w:tabs>
          <w:tab w:val="left" w:pos="567"/>
        </w:tabs>
        <w:spacing w:after="120" w:line="300" w:lineRule="auto"/>
        <w:ind w:left="567" w:hanging="567"/>
      </w:pPr>
      <w:r>
        <w:t>[18]</w:t>
      </w:r>
      <w:r>
        <w:tab/>
      </w:r>
      <w:r>
        <w:t xml:space="preserve">Instructure, "Canvas LMS wiki," GitHub repository wiki. [Online]. Available: https://github.com/instructure/canvas-lms/wiki (accessed Oct. 21, 2026).</w:t>
      </w:r>
    </w:p>
    <w:p>
      <w:pPr>
        <w:tabs>
          <w:tab w:val="left" w:pos="567"/>
        </w:tabs>
        <w:spacing w:after="120" w:line="300" w:lineRule="auto"/>
        <w:ind w:left="567" w:hanging="567"/>
      </w:pPr>
      <w:r>
        <w:t>[19]</w:t>
      </w:r>
      <w:r>
        <w:tab/>
      </w:r>
      <w:r>
        <w:t xml:space="preserve">OpenEduCat, "Open source LMS comparison: Moodle, Open edX, Canvas, ILIAS, Sakai, Chamilo, OpenEduCat." [Online]. Available: https://openeducat.org/comparisons/open-source-lms-comparison/ (accessed Oct. 21, 2026).</w:t>
      </w:r>
    </w:p>
    <w:p>
      <w:pPr>
        <w:tabs>
          <w:tab w:val="left" w:pos="567"/>
        </w:tabs>
        <w:spacing w:after="120" w:line="300" w:lineRule="auto"/>
        <w:ind w:left="567" w:hanging="567"/>
      </w:pPr>
      <w:r>
        <w:t>[20]</w:t>
      </w:r>
      <w:r>
        <w:tab/>
      </w:r>
      <w:r>
        <w:t xml:space="preserve">ibl.ai, "Canvas LMS vs Moodle LMS." [Online]. Available: https://ibl.ai/resources/comparisons/canvas-vs-moodle (accessed Oct. 21, 2026).</w:t>
      </w:r>
    </w:p>
    <w:p>
      <w:pPr>
        <w:tabs>
          <w:tab w:val="left" w:pos="567"/>
        </w:tabs>
        <w:spacing w:after="120" w:line="300" w:lineRule="auto"/>
        <w:ind w:left="567" w:hanging="567"/>
      </w:pPr>
      <w:r>
        <w:t>[21]</w:t>
      </w:r>
      <w:r>
        <w:tab/>
      </w:r>
      <w:r>
        <w:t xml:space="preserve">Jotform, "Canvas vs Moodle: Comparing digital classrooms in 2026," 2026. [Online]. Available: https://www.jotform.com/blog/canvas-vs-moodle/ (accessed Oct. 21, 2026).</w:t>
      </w:r>
    </w:p>
    <w:p>
      <w:pPr>
        <w:tabs>
          <w:tab w:val="left" w:pos="567"/>
        </w:tabs>
        <w:spacing w:after="120" w:line="300" w:lineRule="auto"/>
        <w:ind w:left="567" w:hanging="567"/>
      </w:pPr>
      <w:r>
        <w:t>[22]</w:t>
      </w:r>
      <w:r>
        <w:tab/>
      </w:r>
      <w:r>
        <w:t xml:space="preserve">MetaDesign Solutions, "Moodle vs Canvas for enterprise: The ultimate 2026 comparison guide," Aug. 10, 2026. [Online]. Available: https://metadesignsolutions.com/blog/moodle-vs-canvas-for-enterprise (accessed Oct. 21, 2026).</w:t>
      </w:r>
    </w:p>
    <w:p>
      <w:pPr>
        <w:tabs>
          <w:tab w:val="left" w:pos="567"/>
        </w:tabs>
        <w:spacing w:after="120" w:line="300" w:lineRule="auto"/>
        <w:ind w:left="567" w:hanging="567"/>
      </w:pPr>
      <w:r>
        <w:t>[23]</w:t>
      </w:r>
      <w:r>
        <w:tab/>
      </w:r>
      <w:r>
        <w:t xml:space="preserve">GitHub, "About protected branches," GitHub Docs. [Online]. Available: https://docs.github.com/en/repositories/configuring-branches-and-merges-in-your-repository/managing-protected-branches/about-protected-branches (accessed Oct. 21, 2026).</w:t>
      </w:r>
    </w:p>
    <w:p>
      <w:pPr>
        <w:tabs>
          <w:tab w:val="left" w:pos="567"/>
        </w:tabs>
        <w:spacing w:after="120" w:line="300" w:lineRule="auto"/>
        <w:ind w:left="567" w:hanging="567"/>
      </w:pPr>
      <w:r>
        <w:t>[24]</w:t>
      </w:r>
      <w:r>
        <w:tab/>
      </w:r>
      <w:r>
        <w:t xml:space="preserve">Moodle, "Moodle documentation." [Online]. Available: https://docs.moodle.org/ (accessed Oct. 21, 2026).</w:t>
      </w:r>
    </w:p>
    <w:p>
      <w:pPr>
        <w:pStyle w:val="Heading1"/>
        <w:pageBreakBefore/>
      </w:pPr>
      <w:bookmarkStart w:id="9003" w:name="_Toc900003"/>
      <w:r>
        <w:t xml:space="preserve">Appendix A: GitHub Repository Evidence</w:t>
      </w:r>
      <w:bookmarkEnd w:id="9003"/>
    </w:p>
    <w:p>
      <w:pPr>
        <w:spacing w:after="160" w:line="360" w:lineRule="auto"/>
        <w:jc w:val="both"/>
      </w:pPr>
      <w:r>
        <w:rPr>
          <w:highlight w:val="yellow"/>
        </w:rPr>
        <w:t xml:space="preserve">[Insert screenshots here: repository home and folder structure, commit history, pull requests with reviews, Issues with labels (issue, defect, change-request), and release tags v0.1 and v1.0. Insert the repository URL in Section 14.2.]</w:t>
      </w:r>
    </w:p>
    <w:sectPr w:rsidR="00EB510C">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5293" w:rsidRDefault="003F5293">
      <w:r>
        <w:separator/>
      </w:r>
    </w:p>
  </w:endnote>
  <w:endnote w:type="continuationSeparator" w:id="0">
    <w:p w:rsidR="003F5293" w:rsidRDefault="003F5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10C" w:rsidRDefault="003F5293">
    <w:pPr>
      <w:jc w:val="center"/>
    </w:pPr>
    <w:r>
      <w:rPr>
        <w:sz w:val="18"/>
        <w:szCs w:val="18"/>
      </w:rPr>
      <w:t xml:space="preserve">Page </w:t>
    </w:r>
    <w:r>
      <w:rPr>
        <w:sz w:val="18"/>
        <w:szCs w:val="18"/>
      </w:rPr>
      <w:fldChar w:fldCharType="begin"/>
    </w:r>
    <w:r>
      <w:rPr>
        <w:sz w:val="18"/>
        <w:szCs w:val="18"/>
      </w:rPr>
      <w:instrText>PAGE</w:instrText>
    </w:r>
    <w:r w:rsidR="00A04CE8">
      <w:rPr>
        <w:sz w:val="18"/>
        <w:szCs w:val="18"/>
      </w:rPr>
      <w:fldChar w:fldCharType="separate"/>
    </w:r>
    <w:r w:rsidR="00A04CE8">
      <w:rPr>
        <w:noProof/>
        <w:sz w:val="18"/>
        <w:szCs w:val="18"/>
      </w:rPr>
      <w:t>2</w:t>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10C" w:rsidRDefault="003F5293">
    <w:pPr>
      <w:jc w:val="center"/>
    </w:pPr>
    <w:r>
      <w:rPr>
        <w:sz w:val="18"/>
        <w:szCs w:val="18"/>
      </w:rPr>
      <w:t xml:space="preserve">Page </w:t>
    </w:r>
    <w:r>
      <w:rPr>
        <w:sz w:val="18"/>
        <w:szCs w:val="18"/>
      </w:rPr>
      <w:fldChar w:fldCharType="begin"/>
    </w:r>
    <w:r>
      <w:rPr>
        <w:sz w:val="18"/>
        <w:szCs w:val="18"/>
      </w:rPr>
      <w:instrText>PAGE</w:instrText>
    </w:r>
    <w:r w:rsidR="00A04CE8">
      <w:rPr>
        <w:sz w:val="18"/>
        <w:szCs w:val="18"/>
      </w:rPr>
      <w:fldChar w:fldCharType="separate"/>
    </w:r>
    <w:r w:rsidR="00A04CE8">
      <w:rPr>
        <w:noProof/>
        <w:sz w:val="18"/>
        <w:szCs w:val="18"/>
      </w:rPr>
      <w:t>22</w:t>
    </w:r>
    <w:r>
      <w:rPr>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10C" w:rsidRDefault="003F5293">
    <w:pPr>
      <w:jc w:val="center"/>
    </w:pPr>
    <w:r>
      <w:rPr>
        <w:sz w:val="18"/>
        <w:szCs w:val="18"/>
      </w:rPr>
      <w:t xml:space="preserve">Page </w:t>
    </w:r>
    <w:r>
      <w:rPr>
        <w:sz w:val="18"/>
        <w:szCs w:val="18"/>
      </w:rPr>
      <w:fldChar w:fldCharType="begin"/>
    </w:r>
    <w:r>
      <w:rPr>
        <w:sz w:val="18"/>
        <w:szCs w:val="18"/>
      </w:rPr>
      <w:instrText>PAGE</w:instrText>
    </w:r>
    <w:r w:rsidR="00A04CE8">
      <w:rPr>
        <w:sz w:val="18"/>
        <w:szCs w:val="18"/>
      </w:rPr>
      <w:fldChar w:fldCharType="separate"/>
    </w:r>
    <w:r w:rsidR="00A04CE8">
      <w:rPr>
        <w:noProof/>
        <w:sz w:val="18"/>
        <w:szCs w:val="18"/>
      </w:rPr>
      <w:t>45</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5293" w:rsidRDefault="003F5293">
      <w:r>
        <w:separator/>
      </w:r>
    </w:p>
  </w:footnote>
  <w:footnote w:type="continuationSeparator" w:id="0">
    <w:p w:rsidR="003F5293" w:rsidRDefault="003F52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10C" w:rsidRDefault="003F5293">
    <w:pPr>
      <w:jc w:val="right"/>
    </w:pPr>
    <w:r>
      <w:rPr>
        <w:color w:val="666666"/>
        <w:sz w:val="18"/>
        <w:szCs w:val="18"/>
      </w:rPr>
      <w:t>ITSU2006R — LMS Project Plan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10C" w:rsidRDefault="003F5293">
    <w:pPr>
      <w:jc w:val="right"/>
    </w:pPr>
    <w:r>
      <w:rPr>
        <w:color w:val="666666"/>
        <w:sz w:val="18"/>
        <w:szCs w:val="18"/>
      </w:rPr>
      <w:t>ITSU2006R — LMS Project Plan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10C" w:rsidRDefault="003F5293">
    <w:pPr>
      <w:jc w:val="right"/>
    </w:pPr>
    <w:r>
      <w:rPr>
        <w:color w:val="666666"/>
        <w:sz w:val="18"/>
        <w:szCs w:val="18"/>
      </w:rPr>
      <w:t>ITSU2006R — LMS Project Plan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D720D02"/>
    <w:multiLevelType w:val="hybridMultilevel"/>
    <w:tmpl w:val="94BA41E6"/>
    <w:lvl w:ilvl="0" w:tplc="768A0EBA" w:tentative="1">
      <w:start w:val="1"/>
      <w:numFmt w:val="bullet"/>
      <w:lvlText w:val="●"/>
      <w:lvlJc w:val="left"/>
      <w:pPr>
        <w:ind w:left="720" w:hanging="360"/>
      </w:pPr>
    </w:lvl>
    <w:lvl w:ilvl="1" w:tplc="76925B62" w:tentative="1">
      <w:start w:val="1"/>
      <w:numFmt w:val="bullet"/>
      <w:lvlText w:val="○"/>
      <w:lvlJc w:val="left"/>
      <w:pPr>
        <w:ind w:left="1440" w:hanging="360"/>
      </w:pPr>
    </w:lvl>
    <w:lvl w:ilvl="2" w:tplc="3D4256A4" w:tentative="1">
      <w:start w:val="1"/>
      <w:numFmt w:val="bullet"/>
      <w:lvlText w:val="■"/>
      <w:lvlJc w:val="left"/>
      <w:pPr>
        <w:ind w:left="2160" w:hanging="360"/>
      </w:pPr>
    </w:lvl>
    <w:lvl w:ilvl="3" w:tplc="22DC99FC" w:tentative="1">
      <w:start w:val="1"/>
      <w:numFmt w:val="bullet"/>
      <w:lvlText w:val="●"/>
      <w:lvlJc w:val="left"/>
      <w:pPr>
        <w:ind w:left="2880" w:hanging="360"/>
      </w:pPr>
    </w:lvl>
    <w:lvl w:ilvl="4" w:tplc="C5F6FF02" w:tentative="1">
      <w:start w:val="1"/>
      <w:numFmt w:val="bullet"/>
      <w:lvlText w:val="○"/>
      <w:lvlJc w:val="left"/>
      <w:pPr>
        <w:ind w:left="3600" w:hanging="360"/>
      </w:pPr>
    </w:lvl>
    <w:lvl w:ilvl="5" w:tplc="9B2439E4" w:tentative="1">
      <w:start w:val="1"/>
      <w:numFmt w:val="bullet"/>
      <w:lvlText w:val="■"/>
      <w:lvlJc w:val="left"/>
      <w:pPr>
        <w:ind w:left="4320" w:hanging="360"/>
      </w:pPr>
    </w:lvl>
    <w:lvl w:ilvl="6" w:tplc="64824002" w:tentative="1">
      <w:start w:val="1"/>
      <w:numFmt w:val="bullet"/>
      <w:lvlText w:val="●"/>
      <w:lvlJc w:val="left"/>
      <w:pPr>
        <w:ind w:left="5040" w:hanging="360"/>
      </w:pPr>
    </w:lvl>
    <w:lvl w:ilvl="7" w:tplc="17BE43CC" w:tentative="1">
      <w:start w:val="1"/>
      <w:numFmt w:val="bullet"/>
      <w:lvlText w:val="●"/>
      <w:lvlJc w:val="left"/>
      <w:pPr>
        <w:ind w:left="5760" w:hanging="360"/>
      </w:pPr>
    </w:lvl>
    <w:lvl w:ilvl="8" w:tplc="73645352" w:tentative="1">
      <w:start w:val="1"/>
      <w:numFmt w:val="bullet"/>
      <w:lvlText w:val="●"/>
      <w:lvlJc w:val="left"/>
      <w:pPr>
        <w:ind w:left="6480" w:hanging="360"/>
      </w:pPr>
    </w:lvl>
  </w:abstractNum>
  <w:abstractNum w:abstractNumId="1" w15:restartNumberingAfterBreak="0">
    <w:nsid w:val="617D40AE"/>
    <w:multiLevelType w:val="hybridMultilevel"/>
    <w:tmpl w:val="1614559A"/>
    <w:lvl w:ilvl="0" w:tplc="8F8EC07E">
      <w:start w:val="1"/>
      <w:numFmt w:val="bullet"/>
      <w:lvlText w:val="•"/>
      <w:lvlJc w:val="left"/>
      <w:pPr>
        <w:ind w:left="720" w:hanging="360"/>
      </w:pPr>
    </w:lvl>
    <w:lvl w:ilvl="1" w:tplc="4BEE5606">
      <w:numFmt w:val="decimal"/>
      <w:lvlText w:val=""/>
      <w:lvlJc w:val="left"/>
    </w:lvl>
    <w:lvl w:ilvl="2" w:tplc="AED6E15E">
      <w:numFmt w:val="decimal"/>
      <w:lvlText w:val=""/>
      <w:lvlJc w:val="left"/>
    </w:lvl>
    <w:lvl w:ilvl="3" w:tplc="59EE6318">
      <w:numFmt w:val="decimal"/>
      <w:lvlText w:val=""/>
      <w:lvlJc w:val="left"/>
    </w:lvl>
    <w:lvl w:ilvl="4" w:tplc="1AF8FFF6">
      <w:numFmt w:val="decimal"/>
      <w:lvlText w:val=""/>
      <w:lvlJc w:val="left"/>
    </w:lvl>
    <w:lvl w:ilvl="5" w:tplc="30162B5A">
      <w:numFmt w:val="decimal"/>
      <w:lvlText w:val=""/>
      <w:lvlJc w:val="left"/>
    </w:lvl>
    <w:lvl w:ilvl="6" w:tplc="A8880676">
      <w:numFmt w:val="decimal"/>
      <w:lvlText w:val=""/>
      <w:lvlJc w:val="left"/>
    </w:lvl>
    <w:lvl w:ilvl="7" w:tplc="33549DEC">
      <w:numFmt w:val="decimal"/>
      <w:lvlText w:val=""/>
      <w:lvlJc w:val="left"/>
    </w:lvl>
    <w:lvl w:ilvl="8" w:tplc="D5E2E69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10C"/>
    <w:rsid w:val="003F5293"/>
    <w:rsid w:val="00A04CE8"/>
    <w:rsid w:val="00EB51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2C478A-49C9-4A0C-B4C7-993F2437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240" w:after="200"/>
      <w:outlineLvl w:val="0"/>
    </w:pPr>
    <w:rPr>
      <w:b/>
      <w:bCs/>
      <w:color w:val="1F3864"/>
      <w:sz w:val="32"/>
      <w:szCs w:val="32"/>
    </w:rPr>
  </w:style>
  <w:style w:type="paragraph" w:styleId="Heading2">
    <w:name w:val="heading 2"/>
    <w:basedOn w:val="Normal"/>
    <w:next w:val="Normal"/>
    <w:qFormat/>
    <w:pPr>
      <w:keepNext/>
      <w:spacing w:before="240" w:after="120"/>
      <w:outlineLvl w:val="1"/>
    </w:pPr>
    <w:rPr>
      <w:b/>
      <w:bCs/>
      <w:color w:val="1F3864"/>
      <w:sz w:val="27"/>
      <w:szCs w:val="27"/>
    </w:rPr>
  </w:style>
  <w:style w:type="paragraph" w:styleId="Heading3">
    <w:name w:val="heading 3"/>
    <w:basedOn w:val="Normal"/>
    <w:next w:val="Normal"/>
    <w:qFormat/>
    <w:pPr>
      <w:keepNext/>
      <w:spacing w:before="200" w:after="100"/>
      <w:outlineLvl w:val="2"/>
    </w:pPr>
    <w:rPr>
      <w:b/>
      <w:bCs/>
      <w:i/>
      <w:iCs/>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04CE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VitLogo" Type="http://schemas.openxmlformats.org/officeDocument/2006/relationships/image" Target="media/vit_logo.png"/><Relationship Id="rIdHeat"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45</Pages>
  <Words>11642</Words>
  <Characters>66366</Characters>
  <Application>Microsoft Office Word</Application>
  <DocSecurity>0</DocSecurity>
  <Lines>553</Lines>
  <Paragraphs>155</Paragraphs>
  <ScaleCrop>false</ScaleCrop>
  <Company/>
  <LinksUpToDate>false</LinksUpToDate>
  <CharactersWithSpaces>77853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LMS Project Plan Report</dc:title>
  <dc:creator>ITSU2006R Group</dc:creator>
  <cp:lastModifiedBy>LENOVO</cp:lastModifiedBy>
  <cp:revision>2</cp:revision>
  <dcterms:created xsi:type="dcterms:W3CDTF">2026-10-21T06:12:00Z</dcterms:created>
  <dcterms:modified xsi:type="dcterms:W3CDTF">2026-10-22T06:36:00Z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6794374fcbc99e8be9e3932fc76a7d4a92bf836dae6c1959c47d163c3640c798</vt:lpwstr>
  </property>
</Properties>
</file>