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80"/>
      </w:pPr>
      <w:r>
        <w:rPr>
          <w:rFonts w:ascii="Calibri" w:hAnsi="Calibri"/>
          <w:b/>
          <w:color w:val="141F2D"/>
          <w:sz w:val="48"/>
        </w:rPr>
        <w:t>Internal Company Knowledge Assistant</w:t>
      </w:r>
    </w:p>
    <w:p>
      <w:pPr>
        <w:keepNext/>
        <w:spacing w:before="0" w:after="240" w:line="300" w:lineRule="auto"/>
      </w:pPr>
      <w:r>
        <w:rPr>
          <w:rFonts w:ascii="Calibri" w:hAnsi="Calibri"/>
          <w:b w:val="0"/>
          <w:i w:val="0"/>
          <w:color w:val="59636E"/>
          <w:sz w:val="24"/>
        </w:rPr>
        <w:t>Detailed project explanation for the FastAPI, Streamlit, LangChain, Azure OpenAI, AWS, Langfuse, and RAGAS MVP.</w:t>
      </w:r>
    </w:p>
    <w:p>
      <w:pPr>
        <w:pBdr>
          <w:bottom w:val="single" w:sz="8" w:space="3" w:color="2E74B5"/>
        </w:pBdr>
        <w:spacing w:after="240"/>
      </w:pPr>
    </w:p>
    <w:tbl>
      <w:tblPr>
        <w:tblW w:type="dxa" w:w="9360"/>
        <w:jc w:val="left"/>
        <w:tblLayout w:type="fixed"/>
        <w:tblLook w:firstColumn="1" w:firstRow="1" w:lastColumn="0" w:lastRow="0" w:noHBand="0" w:noVBand="1" w:val="04A0"/>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1700"/>
        <w:gridCol w:w="7660"/>
      </w:tblGrid>
      <w:tr>
        <w:tc>
          <w:tcPr>
            <w:tcW w:type="dxa" w:w="1700"/>
            <w:vAlign w:val="center"/>
            <w:tcMar>
              <w:top w:w="80" w:type="dxa"/>
              <w:start w:w="120" w:type="dxa"/>
              <w:bottom w:w="80" w:type="dxa"/>
              <w:end w:w="120" w:type="dxa"/>
            </w:tcMar>
            <w:shd w:fill="E8EEF5"/>
          </w:tcPr>
          <w:p>
            <w:pPr>
              <w:spacing w:after="0"/>
            </w:pPr>
            <w:r>
              <w:rPr>
                <w:rFonts w:ascii="Calibri" w:hAnsi="Calibri"/>
                <w:b/>
                <w:color w:val="1F4D78"/>
                <w:sz w:val="19"/>
              </w:rPr>
              <w:t>Purpose</w:t>
            </w:r>
          </w:p>
        </w:tc>
        <w:tc>
          <w:tcPr>
            <w:tcW w:type="dxa" w:w="7660"/>
            <w:vAlign w:val="center"/>
            <w:tcMar>
              <w:top w:w="80" w:type="dxa"/>
              <w:start w:w="120" w:type="dxa"/>
              <w:bottom w:w="80" w:type="dxa"/>
              <w:end w:w="120" w:type="dxa"/>
            </w:tcMar>
          </w:tcPr>
          <w:p>
            <w:pPr>
              <w:spacing w:after="0"/>
            </w:pPr>
            <w:r>
              <w:rPr>
                <w:rFonts w:ascii="Calibri" w:hAnsi="Calibri"/>
                <w:color w:val="141F2D"/>
                <w:sz w:val="19"/>
              </w:rPr>
              <w:t>Explain the implemented MVP architecture, code responsibilities, data flows, AWS services, evaluation strategy, and deployment path.</w:t>
            </w:r>
          </w:p>
        </w:tc>
      </w:tr>
      <w:tr>
        <w:tc>
          <w:tcPr>
            <w:tcW w:type="dxa" w:w="1700"/>
            <w:vAlign w:val="center"/>
            <w:tcMar>
              <w:top w:w="80" w:type="dxa"/>
              <w:start w:w="120" w:type="dxa"/>
              <w:bottom w:w="80" w:type="dxa"/>
              <w:end w:w="120" w:type="dxa"/>
            </w:tcMar>
            <w:shd w:fill="E8EEF5"/>
          </w:tcPr>
          <w:p>
            <w:pPr>
              <w:spacing w:after="0"/>
            </w:pPr>
            <w:r>
              <w:rPr>
                <w:rFonts w:ascii="Calibri" w:hAnsi="Calibri"/>
                <w:b/>
                <w:color w:val="1F4D78"/>
                <w:sz w:val="19"/>
              </w:rPr>
              <w:t>Audience</w:t>
            </w:r>
          </w:p>
        </w:tc>
        <w:tc>
          <w:tcPr>
            <w:tcW w:type="dxa" w:w="7660"/>
            <w:vAlign w:val="center"/>
            <w:tcMar>
              <w:top w:w="80" w:type="dxa"/>
              <w:start w:w="120" w:type="dxa"/>
              <w:bottom w:w="80" w:type="dxa"/>
              <w:end w:w="120" w:type="dxa"/>
            </w:tcMar>
          </w:tcPr>
          <w:p>
            <w:pPr>
              <w:spacing w:after="0"/>
            </w:pPr>
            <w:r>
              <w:rPr>
                <w:rFonts w:ascii="Calibri" w:hAnsi="Calibri"/>
                <w:color w:val="141F2D"/>
                <w:sz w:val="19"/>
              </w:rPr>
              <w:t>Engineers, ML/LLM practitioners, cloud reviewers, and project assessors who need to understand how the assistant works.</w:t>
            </w:r>
          </w:p>
        </w:tc>
      </w:tr>
      <w:tr>
        <w:tc>
          <w:tcPr>
            <w:tcW w:type="dxa" w:w="1700"/>
            <w:vAlign w:val="center"/>
            <w:tcMar>
              <w:top w:w="80" w:type="dxa"/>
              <w:start w:w="120" w:type="dxa"/>
              <w:bottom w:w="80" w:type="dxa"/>
              <w:end w:w="120" w:type="dxa"/>
            </w:tcMar>
            <w:shd w:fill="E8EEF5"/>
          </w:tcPr>
          <w:p>
            <w:pPr>
              <w:spacing w:after="0"/>
            </w:pPr>
            <w:r>
              <w:rPr>
                <w:rFonts w:ascii="Calibri" w:hAnsi="Calibri"/>
                <w:b/>
                <w:color w:val="1F4D78"/>
                <w:sz w:val="19"/>
              </w:rPr>
              <w:t>Project state</w:t>
            </w:r>
          </w:p>
        </w:tc>
        <w:tc>
          <w:tcPr>
            <w:tcW w:type="dxa" w:w="7660"/>
            <w:vAlign w:val="center"/>
            <w:tcMar>
              <w:top w:w="80" w:type="dxa"/>
              <w:start w:w="120" w:type="dxa"/>
              <w:bottom w:w="80" w:type="dxa"/>
              <w:end w:w="120" w:type="dxa"/>
            </w:tcMar>
          </w:tcPr>
          <w:p>
            <w:pPr>
              <w:spacing w:after="0"/>
            </w:pPr>
            <w:r>
              <w:rPr>
                <w:rFonts w:ascii="Calibri" w:hAnsi="Calibri"/>
                <w:color w:val="141F2D"/>
                <w:sz w:val="19"/>
              </w:rPr>
              <w:t>Greenfield scaffold implemented in this workspace with runnable backend/frontend containers and verification tests.</w:t>
            </w:r>
          </w:p>
        </w:tc>
      </w:tr>
      <w:tr>
        <w:tc>
          <w:tcPr>
            <w:tcW w:type="dxa" w:w="1700"/>
            <w:vAlign w:val="center"/>
            <w:tcMar>
              <w:top w:w="80" w:type="dxa"/>
              <w:start w:w="120" w:type="dxa"/>
              <w:bottom w:w="80" w:type="dxa"/>
              <w:end w:w="120" w:type="dxa"/>
            </w:tcMar>
            <w:shd w:fill="E8EEF5"/>
          </w:tcPr>
          <w:p>
            <w:pPr>
              <w:spacing w:after="0"/>
            </w:pPr>
            <w:r>
              <w:rPr>
                <w:rFonts w:ascii="Calibri" w:hAnsi="Calibri"/>
                <w:b/>
                <w:color w:val="1F4D78"/>
                <w:sz w:val="19"/>
              </w:rPr>
              <w:t>Primary outcome</w:t>
            </w:r>
          </w:p>
        </w:tc>
        <w:tc>
          <w:tcPr>
            <w:tcW w:type="dxa" w:w="7660"/>
            <w:vAlign w:val="center"/>
            <w:tcMar>
              <w:top w:w="80" w:type="dxa"/>
              <w:start w:w="120" w:type="dxa"/>
              <w:bottom w:w="80" w:type="dxa"/>
              <w:end w:w="120" w:type="dxa"/>
            </w:tcMar>
          </w:tcPr>
          <w:p>
            <w:pPr>
              <w:spacing w:after="0"/>
            </w:pPr>
            <w:r>
              <w:rPr>
                <w:rFonts w:ascii="Calibri" w:hAnsi="Calibri"/>
                <w:color w:val="141F2D"/>
                <w:sz w:val="19"/>
              </w:rPr>
              <w:t>A chat-based internal knowledge assistant that retrieves grounded company answers from S3-indexed documents and records observability/evaluation metadata.</w:t>
            </w:r>
          </w:p>
        </w:tc>
      </w:tr>
    </w:tbl>
    <w:p>
      <w:pPr>
        <w:spacing w:before="0" w:after="80" w:line="300" w:lineRule="auto"/>
      </w:pPr>
    </w:p>
    <w:p>
      <w:pPr>
        <w:pStyle w:val="Heading1"/>
        <w:keepNext/>
      </w:pPr>
      <w:r>
        <w:t>1. Executive Overview</w:t>
      </w:r>
    </w:p>
    <w:p>
      <w:pPr>
        <w:spacing w:before="0" w:after="120" w:line="300" w:lineRule="auto"/>
      </w:pPr>
      <w:r>
        <w:rPr>
          <w:rFonts w:ascii="Calibri" w:hAnsi="Calibri"/>
          <w:b w:val="0"/>
          <w:i w:val="0"/>
        </w:rPr>
        <w:t>The project is an internal company knowledge assistant. Users sign in through a simple login screen, ask questions in a Streamlit chat interface, and receive grounded answers from a FastAPI backend. The backend coordinates a LangChain agent, an Azure OpenAI chat model, a RAG retriever over S3-indexed documents, persistent chat history, Langfuse tracing, and evaluation tooling.</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360"/>
      </w:tblGrid>
      <w:tr>
        <w:tc>
          <w:tcPr>
            <w:tcW w:type="dxa" w:w="9360"/>
            <w:vAlign w:val="center"/>
            <w:tcMar>
              <w:top w:w="80" w:type="dxa"/>
              <w:start w:w="120" w:type="dxa"/>
              <w:bottom w:w="80" w:type="dxa"/>
              <w:end w:w="120" w:type="dxa"/>
            </w:tcMar>
            <w:shd w:fill="F4F6F9"/>
          </w:tcPr>
          <w:p>
            <w:pPr>
              <w:spacing w:after="60"/>
            </w:pPr>
            <w:r>
              <w:rPr>
                <w:rFonts w:ascii="Calibri" w:hAnsi="Calibri"/>
                <w:b/>
                <w:color w:val="1F4D78"/>
                <w:sz w:val="21"/>
              </w:rPr>
              <w:t>MVP definition</w:t>
            </w:r>
          </w:p>
          <w:p>
            <w:pPr>
              <w:spacing w:after="0" w:line="288" w:lineRule="auto"/>
            </w:pPr>
            <w:r>
              <w:rPr>
                <w:rFonts w:ascii="Calibri" w:hAnsi="Calibri"/>
                <w:color w:val="141F2D"/>
                <w:sz w:val="19"/>
              </w:rPr>
              <w:t>The MVP prioritizes a credible end-to-end architecture: secure secret loading from AWS Secrets Manager, document ingestion from S3, vector retrieval through OpenSearch Serverless, chat history persistence, transparent citations, token reporting, and repeatable eval/stress-test scripts.</w:t>
            </w:r>
          </w:p>
        </w:tc>
      </w:tr>
    </w:tbl>
    <w:p>
      <w:pPr>
        <w:spacing w:before="0" w:after="80" w:line="300" w:lineRule="auto"/>
      </w:pPr>
    </w:p>
    <w:p>
      <w:pPr>
        <w:pStyle w:val="ListBullet"/>
        <w:spacing w:after="80" w:line="300" w:lineRule="auto"/>
        <w:ind w:left="540" w:hanging="271"/>
      </w:pPr>
      <w:r>
        <w:rPr>
          <w:rFonts w:ascii="Calibri" w:hAnsi="Calibri"/>
          <w:color w:val="141F2D"/>
          <w:sz w:val="21"/>
        </w:rPr>
        <w:t>FastAPI exposes authentication, health, chat, session history, and document catalog endpoints.</w:t>
      </w:r>
    </w:p>
    <w:p>
      <w:pPr>
        <w:pStyle w:val="ListBullet"/>
        <w:spacing w:after="80" w:line="300" w:lineRule="auto"/>
        <w:ind w:left="540" w:hanging="271"/>
      </w:pPr>
      <w:r>
        <w:rPr>
          <w:rFonts w:ascii="Calibri" w:hAnsi="Calibri"/>
          <w:color w:val="141F2D"/>
          <w:sz w:val="21"/>
        </w:rPr>
        <w:t>Streamlit provides a chat-only user experience with login, previous sessions, response metadata, and citations.</w:t>
      </w:r>
    </w:p>
    <w:p>
      <w:pPr>
        <w:pStyle w:val="ListBullet"/>
        <w:spacing w:after="80" w:line="300" w:lineRule="auto"/>
        <w:ind w:left="540" w:hanging="271"/>
      </w:pPr>
      <w:r>
        <w:rPr>
          <w:rFonts w:ascii="Calibri" w:hAnsi="Calibri"/>
          <w:color w:val="141F2D"/>
          <w:sz w:val="21"/>
        </w:rPr>
        <w:t>LangChain provides the agent abstraction and Azure OpenAI wrappers for chat and embeddings.</w:t>
      </w:r>
    </w:p>
    <w:p>
      <w:pPr>
        <w:pStyle w:val="ListBullet"/>
        <w:spacing w:after="80" w:line="300" w:lineRule="auto"/>
        <w:ind w:left="540" w:hanging="271"/>
      </w:pPr>
      <w:r>
        <w:rPr>
          <w:rFonts w:ascii="Calibri" w:hAnsi="Calibri"/>
          <w:color w:val="141F2D"/>
          <w:sz w:val="21"/>
        </w:rPr>
        <w:t>AWS services provide object storage, container registry, serverless container hosting, secrets, logs, chat persistence, and vector search.</w:t>
      </w:r>
    </w:p>
    <w:p>
      <w:pPr>
        <w:pStyle w:val="ListBullet"/>
        <w:spacing w:after="80" w:line="300" w:lineRule="auto"/>
        <w:ind w:left="540" w:hanging="271"/>
      </w:pPr>
      <w:r>
        <w:rPr>
          <w:rFonts w:ascii="Calibri" w:hAnsi="Calibri"/>
          <w:color w:val="141F2D"/>
          <w:sz w:val="21"/>
        </w:rPr>
        <w:t>Langfuse and RAGAS support observability, prompt versioning, golden-data scoring, and system-level evaluation.</w:t>
      </w:r>
    </w:p>
    <w:p>
      <w:pPr>
        <w:pStyle w:val="Heading1"/>
        <w:keepNext/>
      </w:pPr>
      <w:r>
        <w:t>2. High-Level Architecture</w:t>
      </w:r>
    </w:p>
    <w:p>
      <w:pPr>
        <w:spacing w:before="0" w:after="120" w:line="300" w:lineRule="auto"/>
      </w:pPr>
      <w:r>
        <w:rPr>
          <w:rFonts w:ascii="Calibri" w:hAnsi="Calibri"/>
          <w:b w:val="0"/>
          <w:i w:val="0"/>
        </w:rPr>
        <w:t>The assistant is split into a frontend service and a backend service. The frontend is intentionally thin: it handles login state, chat rendering, and API calls. The backend owns all sensitive operations, including secret loading, authentication, RAG retrieval, agent execution, chat history persistence, and tracing.</w:t>
      </w:r>
    </w:p>
    <w:tbl>
      <w:tblPr>
        <w:tblW w:type="dxa" w:w="9360"/>
        <w:jc w:val="left"/>
        <w:tblLayout w:type="fixed"/>
        <w:tblLook w:firstColumn="1" w:firstRow="1" w:lastColumn="0" w:lastRow="0" w:noHBand="0" w:noVBand="1" w:val="04A0"/>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1700"/>
        <w:gridCol w:w="4100"/>
        <w:gridCol w:w="3560"/>
      </w:tblGrid>
      <w:tr>
        <w:tc>
          <w:tcPr>
            <w:tcW w:type="dxa" w:w="1700"/>
            <w:vAlign w:val="center"/>
            <w:tcMar>
              <w:top w:w="80" w:type="dxa"/>
              <w:start w:w="120" w:type="dxa"/>
              <w:bottom w:w="80" w:type="dxa"/>
              <w:end w:w="120" w:type="dxa"/>
            </w:tcMar>
            <w:shd w:fill="E8EEF5"/>
          </w:tcPr>
          <w:p>
            <w:pPr>
              <w:spacing w:after="0"/>
            </w:pPr>
            <w:r>
              <w:rPr>
                <w:rFonts w:ascii="Calibri" w:hAnsi="Calibri"/>
                <w:b/>
                <w:color w:val="1F4D78"/>
                <w:sz w:val="18"/>
              </w:rPr>
              <w:t>Layer</w:t>
            </w:r>
          </w:p>
        </w:tc>
        <w:tc>
          <w:tcPr>
            <w:tcW w:type="dxa" w:w="4100"/>
            <w:vAlign w:val="center"/>
            <w:tcMar>
              <w:top w:w="80" w:type="dxa"/>
              <w:start w:w="120" w:type="dxa"/>
              <w:bottom w:w="80" w:type="dxa"/>
              <w:end w:w="120" w:type="dxa"/>
            </w:tcMar>
            <w:shd w:fill="E8EEF5"/>
          </w:tcPr>
          <w:p>
            <w:pPr>
              <w:spacing w:after="0"/>
            </w:pPr>
            <w:r>
              <w:rPr>
                <w:rFonts w:ascii="Calibri" w:hAnsi="Calibri"/>
                <w:b/>
                <w:color w:val="1F4D78"/>
                <w:sz w:val="18"/>
              </w:rPr>
              <w:t>Responsibility</w:t>
            </w:r>
          </w:p>
        </w:tc>
        <w:tc>
          <w:tcPr>
            <w:tcW w:type="dxa" w:w="3560"/>
            <w:vAlign w:val="center"/>
            <w:tcMar>
              <w:top w:w="80" w:type="dxa"/>
              <w:start w:w="120" w:type="dxa"/>
              <w:bottom w:w="80" w:type="dxa"/>
              <w:end w:w="120" w:type="dxa"/>
            </w:tcMar>
            <w:shd w:fill="E8EEF5"/>
          </w:tcPr>
          <w:p>
            <w:pPr>
              <w:spacing w:after="0"/>
            </w:pPr>
            <w:r>
              <w:rPr>
                <w:rFonts w:ascii="Calibri" w:hAnsi="Calibri"/>
                <w:b/>
                <w:color w:val="1F4D78"/>
                <w:sz w:val="18"/>
              </w:rPr>
              <w:t>Main Services / Files</w:t>
            </w:r>
          </w:p>
        </w:tc>
      </w:tr>
      <w:tr>
        <w:tc>
          <w:tcPr>
            <w:tcW w:type="dxa" w:w="1700"/>
            <w:vAlign w:val="center"/>
            <w:tcMar>
              <w:top w:w="80" w:type="dxa"/>
              <w:start w:w="120" w:type="dxa"/>
              <w:bottom w:w="80" w:type="dxa"/>
              <w:end w:w="120" w:type="dxa"/>
            </w:tcMar>
          </w:tcPr>
          <w:p>
            <w:pPr>
              <w:spacing w:after="0" w:line="276" w:lineRule="auto"/>
            </w:pPr>
            <w:r>
              <w:rPr>
                <w:rFonts w:ascii="Calibri" w:hAnsi="Calibri"/>
                <w:color w:val="141F2D"/>
                <w:sz w:val="18"/>
              </w:rPr>
              <w:t>User interface</w:t>
            </w:r>
          </w:p>
        </w:tc>
        <w:tc>
          <w:tcPr>
            <w:tcW w:type="dxa" w:w="4100"/>
            <w:vAlign w:val="center"/>
            <w:tcMar>
              <w:top w:w="80" w:type="dxa"/>
              <w:start w:w="120" w:type="dxa"/>
              <w:bottom w:w="80" w:type="dxa"/>
              <w:end w:w="120" w:type="dxa"/>
            </w:tcMar>
          </w:tcPr>
          <w:p>
            <w:pPr>
              <w:spacing w:after="0" w:line="276" w:lineRule="auto"/>
            </w:pPr>
            <w:r>
              <w:rPr>
                <w:rFonts w:ascii="Calibri" w:hAnsi="Calibri"/>
                <w:color w:val="141F2D"/>
                <w:sz w:val="18"/>
              </w:rPr>
              <w:t>Login, chat input, response display, session list, metadata panel.</w:t>
            </w:r>
          </w:p>
        </w:tc>
        <w:tc>
          <w:tcPr>
            <w:tcW w:type="dxa" w:w="3560"/>
            <w:vAlign w:val="center"/>
            <w:tcMar>
              <w:top w:w="80" w:type="dxa"/>
              <w:start w:w="120" w:type="dxa"/>
              <w:bottom w:w="80" w:type="dxa"/>
              <w:end w:w="120" w:type="dxa"/>
            </w:tcMar>
          </w:tcPr>
          <w:p>
            <w:pPr>
              <w:spacing w:after="0" w:line="276" w:lineRule="auto"/>
            </w:pPr>
            <w:r>
              <w:rPr>
                <w:rFonts w:ascii="Calibri" w:hAnsi="Calibri"/>
                <w:color w:val="141F2D"/>
                <w:sz w:val="18"/>
              </w:rPr>
              <w:t>Streamlit; frontend/streamlit_app.py</w:t>
            </w:r>
          </w:p>
        </w:tc>
      </w:tr>
      <w:tr>
        <w:tc>
          <w:tcPr>
            <w:tcW w:type="dxa" w:w="1700"/>
            <w:vAlign w:val="center"/>
            <w:tcMar>
              <w:top w:w="80" w:type="dxa"/>
              <w:start w:w="120" w:type="dxa"/>
              <w:bottom w:w="80" w:type="dxa"/>
              <w:end w:w="120" w:type="dxa"/>
            </w:tcMar>
          </w:tcPr>
          <w:p>
            <w:pPr>
              <w:spacing w:after="0" w:line="276" w:lineRule="auto"/>
            </w:pPr>
            <w:r>
              <w:rPr>
                <w:rFonts w:ascii="Calibri" w:hAnsi="Calibri"/>
                <w:color w:val="141F2D"/>
                <w:sz w:val="18"/>
              </w:rPr>
              <w:t>API layer</w:t>
            </w:r>
          </w:p>
        </w:tc>
        <w:tc>
          <w:tcPr>
            <w:tcW w:type="dxa" w:w="4100"/>
            <w:vAlign w:val="center"/>
            <w:tcMar>
              <w:top w:w="80" w:type="dxa"/>
              <w:start w:w="120" w:type="dxa"/>
              <w:bottom w:w="80" w:type="dxa"/>
              <w:end w:w="120" w:type="dxa"/>
            </w:tcMar>
          </w:tcPr>
          <w:p>
            <w:pPr>
              <w:spacing w:after="0" w:line="276" w:lineRule="auto"/>
            </w:pPr>
            <w:r>
              <w:rPr>
                <w:rFonts w:ascii="Calibri" w:hAnsi="Calibri"/>
                <w:color w:val="141F2D"/>
                <w:sz w:val="18"/>
              </w:rPr>
              <w:t>Validates tokens, exposes chat/session/document endpoints, centralizes service wiring.</w:t>
            </w:r>
          </w:p>
        </w:tc>
        <w:tc>
          <w:tcPr>
            <w:tcW w:type="dxa" w:w="3560"/>
            <w:vAlign w:val="center"/>
            <w:tcMar>
              <w:top w:w="80" w:type="dxa"/>
              <w:start w:w="120" w:type="dxa"/>
              <w:bottom w:w="80" w:type="dxa"/>
              <w:end w:w="120" w:type="dxa"/>
            </w:tcMar>
          </w:tcPr>
          <w:p>
            <w:pPr>
              <w:spacing w:after="0" w:line="276" w:lineRule="auto"/>
            </w:pPr>
            <w:r>
              <w:rPr>
                <w:rFonts w:ascii="Calibri" w:hAnsi="Calibri"/>
                <w:color w:val="141F2D"/>
                <w:sz w:val="18"/>
              </w:rPr>
              <w:t>FastAPI; backend/app/main.py</w:t>
            </w:r>
          </w:p>
        </w:tc>
      </w:tr>
      <w:tr>
        <w:tc>
          <w:tcPr>
            <w:tcW w:type="dxa" w:w="1700"/>
            <w:vAlign w:val="center"/>
            <w:tcMar>
              <w:top w:w="80" w:type="dxa"/>
              <w:start w:w="120" w:type="dxa"/>
              <w:bottom w:w="80" w:type="dxa"/>
              <w:end w:w="120" w:type="dxa"/>
            </w:tcMar>
          </w:tcPr>
          <w:p>
            <w:pPr>
              <w:spacing w:after="0" w:line="276" w:lineRule="auto"/>
            </w:pPr>
            <w:r>
              <w:rPr>
                <w:rFonts w:ascii="Calibri" w:hAnsi="Calibri"/>
                <w:color w:val="141F2D"/>
                <w:sz w:val="18"/>
              </w:rPr>
              <w:t>Agent layer</w:t>
            </w:r>
          </w:p>
        </w:tc>
        <w:tc>
          <w:tcPr>
            <w:tcW w:type="dxa" w:w="4100"/>
            <w:vAlign w:val="center"/>
            <w:tcMar>
              <w:top w:w="80" w:type="dxa"/>
              <w:start w:w="120" w:type="dxa"/>
              <w:bottom w:w="80" w:type="dxa"/>
              <w:end w:w="120" w:type="dxa"/>
            </w:tcMar>
          </w:tcPr>
          <w:p>
            <w:pPr>
              <w:spacing w:after="0" w:line="276" w:lineRule="auto"/>
            </w:pPr>
            <w:r>
              <w:rPr>
                <w:rFonts w:ascii="Calibri" w:hAnsi="Calibri"/>
                <w:color w:val="141F2D"/>
                <w:sz w:val="18"/>
              </w:rPr>
              <w:t>Builds context from tools and chat history, calls Azure OpenAI via LangChain.</w:t>
            </w:r>
          </w:p>
        </w:tc>
        <w:tc>
          <w:tcPr>
            <w:tcW w:type="dxa" w:w="3560"/>
            <w:vAlign w:val="center"/>
            <w:tcMar>
              <w:top w:w="80" w:type="dxa"/>
              <w:start w:w="120" w:type="dxa"/>
              <w:bottom w:w="80" w:type="dxa"/>
              <w:end w:w="120" w:type="dxa"/>
            </w:tcMar>
          </w:tcPr>
          <w:p>
            <w:pPr>
              <w:spacing w:after="0" w:line="276" w:lineRule="auto"/>
            </w:pPr>
            <w:r>
              <w:rPr>
                <w:rFonts w:ascii="Calibri" w:hAnsi="Calibri"/>
                <w:color w:val="141F2D"/>
                <w:sz w:val="18"/>
              </w:rPr>
              <w:t>backend/app/agent.py</w:t>
            </w:r>
          </w:p>
        </w:tc>
      </w:tr>
      <w:tr>
        <w:tc>
          <w:tcPr>
            <w:tcW w:type="dxa" w:w="1700"/>
            <w:vAlign w:val="center"/>
            <w:tcMar>
              <w:top w:w="80" w:type="dxa"/>
              <w:start w:w="120" w:type="dxa"/>
              <w:bottom w:w="80" w:type="dxa"/>
              <w:end w:w="120" w:type="dxa"/>
            </w:tcMar>
          </w:tcPr>
          <w:p>
            <w:pPr>
              <w:spacing w:after="0" w:line="276" w:lineRule="auto"/>
            </w:pPr>
            <w:r>
              <w:rPr>
                <w:rFonts w:ascii="Calibri" w:hAnsi="Calibri"/>
                <w:color w:val="141F2D"/>
                <w:sz w:val="18"/>
              </w:rPr>
              <w:t>Knowledge layer</w:t>
            </w:r>
          </w:p>
        </w:tc>
        <w:tc>
          <w:tcPr>
            <w:tcW w:type="dxa" w:w="4100"/>
            <w:vAlign w:val="center"/>
            <w:tcMar>
              <w:top w:w="80" w:type="dxa"/>
              <w:start w:w="120" w:type="dxa"/>
              <w:bottom w:w="80" w:type="dxa"/>
              <w:end w:w="120" w:type="dxa"/>
            </w:tcMar>
          </w:tcPr>
          <w:p>
            <w:pPr>
              <w:spacing w:after="0" w:line="276" w:lineRule="auto"/>
            </w:pPr>
            <w:r>
              <w:rPr>
                <w:rFonts w:ascii="Calibri" w:hAnsi="Calibri"/>
                <w:color w:val="141F2D"/>
                <w:sz w:val="18"/>
              </w:rPr>
              <w:t>Reads S3 manifest, searches vectors, looks up CSV rows.</w:t>
            </w:r>
          </w:p>
        </w:tc>
        <w:tc>
          <w:tcPr>
            <w:tcW w:type="dxa" w:w="3560"/>
            <w:vAlign w:val="center"/>
            <w:tcMar>
              <w:top w:w="80" w:type="dxa"/>
              <w:start w:w="120" w:type="dxa"/>
              <w:bottom w:w="80" w:type="dxa"/>
              <w:end w:w="120" w:type="dxa"/>
            </w:tcMar>
          </w:tcPr>
          <w:p>
            <w:pPr>
              <w:spacing w:after="0" w:line="276" w:lineRule="auto"/>
            </w:pPr>
            <w:r>
              <w:rPr>
                <w:rFonts w:ascii="Calibri" w:hAnsi="Calibri"/>
                <w:color w:val="141F2D"/>
                <w:sz w:val="18"/>
              </w:rPr>
              <w:t>S3, OpenSearch Serverless; storage.py, retrieval.py</w:t>
            </w:r>
          </w:p>
        </w:tc>
      </w:tr>
      <w:tr>
        <w:tc>
          <w:tcPr>
            <w:tcW w:type="dxa" w:w="1700"/>
            <w:vAlign w:val="center"/>
            <w:tcMar>
              <w:top w:w="80" w:type="dxa"/>
              <w:start w:w="120" w:type="dxa"/>
              <w:bottom w:w="80" w:type="dxa"/>
              <w:end w:w="120" w:type="dxa"/>
            </w:tcMar>
          </w:tcPr>
          <w:p>
            <w:pPr>
              <w:spacing w:after="0" w:line="276" w:lineRule="auto"/>
            </w:pPr>
            <w:r>
              <w:rPr>
                <w:rFonts w:ascii="Calibri" w:hAnsi="Calibri"/>
                <w:color w:val="141F2D"/>
                <w:sz w:val="18"/>
              </w:rPr>
              <w:t>State layer</w:t>
            </w:r>
          </w:p>
        </w:tc>
        <w:tc>
          <w:tcPr>
            <w:tcW w:type="dxa" w:w="4100"/>
            <w:vAlign w:val="center"/>
            <w:tcMar>
              <w:top w:w="80" w:type="dxa"/>
              <w:start w:w="120" w:type="dxa"/>
              <w:bottom w:w="80" w:type="dxa"/>
              <w:end w:w="120" w:type="dxa"/>
            </w:tcMar>
          </w:tcPr>
          <w:p>
            <w:pPr>
              <w:spacing w:after="0" w:line="276" w:lineRule="auto"/>
            </w:pPr>
            <w:r>
              <w:rPr>
                <w:rFonts w:ascii="Calibri" w:hAnsi="Calibri"/>
                <w:color w:val="141F2D"/>
                <w:sz w:val="18"/>
              </w:rPr>
              <w:t>Stores sessions and messages for persistent, contextual conversations.</w:t>
            </w:r>
          </w:p>
        </w:tc>
        <w:tc>
          <w:tcPr>
            <w:tcW w:type="dxa" w:w="3560"/>
            <w:vAlign w:val="center"/>
            <w:tcMar>
              <w:top w:w="80" w:type="dxa"/>
              <w:start w:w="120" w:type="dxa"/>
              <w:bottom w:w="80" w:type="dxa"/>
              <w:end w:w="120" w:type="dxa"/>
            </w:tcMar>
          </w:tcPr>
          <w:p>
            <w:pPr>
              <w:spacing w:after="0" w:line="276" w:lineRule="auto"/>
            </w:pPr>
            <w:r>
              <w:rPr>
                <w:rFonts w:ascii="Calibri" w:hAnsi="Calibri"/>
                <w:color w:val="141F2D"/>
                <w:sz w:val="18"/>
              </w:rPr>
              <w:t>DynamoDB; history.py</w:t>
            </w:r>
          </w:p>
        </w:tc>
      </w:tr>
      <w:tr>
        <w:tc>
          <w:tcPr>
            <w:tcW w:type="dxa" w:w="1700"/>
            <w:vAlign w:val="center"/>
            <w:tcMar>
              <w:top w:w="80" w:type="dxa"/>
              <w:start w:w="120" w:type="dxa"/>
              <w:bottom w:w="80" w:type="dxa"/>
              <w:end w:w="120" w:type="dxa"/>
            </w:tcMar>
          </w:tcPr>
          <w:p>
            <w:pPr>
              <w:spacing w:after="0" w:line="276" w:lineRule="auto"/>
            </w:pPr>
            <w:r>
              <w:rPr>
                <w:rFonts w:ascii="Calibri" w:hAnsi="Calibri"/>
                <w:color w:val="141F2D"/>
                <w:sz w:val="18"/>
              </w:rPr>
              <w:t>Observability/evals</w:t>
            </w:r>
          </w:p>
        </w:tc>
        <w:tc>
          <w:tcPr>
            <w:tcW w:type="dxa" w:w="4100"/>
            <w:vAlign w:val="center"/>
            <w:tcMar>
              <w:top w:w="80" w:type="dxa"/>
              <w:start w:w="120" w:type="dxa"/>
              <w:bottom w:w="80" w:type="dxa"/>
              <w:end w:w="120" w:type="dxa"/>
            </w:tcMar>
          </w:tcPr>
          <w:p>
            <w:pPr>
              <w:spacing w:after="0" w:line="276" w:lineRule="auto"/>
            </w:pPr>
            <w:r>
              <w:rPr>
                <w:rFonts w:ascii="Calibri" w:hAnsi="Calibri"/>
                <w:color w:val="141F2D"/>
                <w:sz w:val="18"/>
              </w:rPr>
              <w:t>Prompt versioning, traces, token metadata, RAGAS reports, stress reports.</w:t>
            </w:r>
          </w:p>
        </w:tc>
        <w:tc>
          <w:tcPr>
            <w:tcW w:type="dxa" w:w="3560"/>
            <w:vAlign w:val="center"/>
            <w:tcMar>
              <w:top w:w="80" w:type="dxa"/>
              <w:start w:w="120" w:type="dxa"/>
              <w:bottom w:w="80" w:type="dxa"/>
              <w:end w:w="120" w:type="dxa"/>
            </w:tcMar>
          </w:tcPr>
          <w:p>
            <w:pPr>
              <w:spacing w:after="0" w:line="276" w:lineRule="auto"/>
            </w:pPr>
            <w:r>
              <w:rPr>
                <w:rFonts w:ascii="Calibri" w:hAnsi="Calibri"/>
                <w:color w:val="141F2D"/>
                <w:sz w:val="18"/>
              </w:rPr>
              <w:t>Langfuse, RAGAS; observability.py, evals/</w:t>
            </w:r>
          </w:p>
        </w:tc>
      </w:tr>
    </w:tbl>
    <w:p>
      <w:pPr>
        <w:spacing w:before="0" w:after="80" w:line="300" w:lineRule="auto"/>
      </w:pPr>
    </w:p>
    <w:p>
      <w:pPr>
        <w:spacing w:before="0" w:after="60" w:line="300" w:lineRule="auto"/>
      </w:pPr>
      <w:r>
        <w:rPr>
          <w:rFonts w:ascii="Calibri" w:hAnsi="Calibri"/>
          <w:b/>
          <w:i w:val="0"/>
          <w:color w:val="1F4D78"/>
        </w:rPr>
        <w:t>Runtime architecture:</w:t>
      </w:r>
    </w:p>
    <w:p>
      <w:pPr>
        <w:spacing w:before="0" w:after="120" w:line="300" w:lineRule="auto"/>
      </w:pPr>
      <w:r>
        <w:rPr>
          <w:rFonts w:ascii="Calibri" w:hAnsi="Calibri"/>
          <w:b w:val="0"/>
          <w:i w:val="0"/>
          <w:sz w:val="21"/>
        </w:rPr>
        <w:t>User -&gt; ALB -&gt; Streamlit ECS service -&gt; FastAPI ECS service -&gt; Login/Secrets Manager, DynamoDB chat history, LangChain agent, OpenSearch RAG, S3 document catalog, Azure OpenAI, and Langfuse.</w:t>
      </w:r>
    </w:p>
    <w:p>
      <w:pPr>
        <w:pStyle w:val="Heading1"/>
        <w:keepNext/>
      </w:pPr>
      <w:r>
        <w:t>3. Backend Explanation</w:t>
      </w:r>
    </w:p>
    <w:p>
      <w:pPr>
        <w:spacing w:before="0" w:after="120" w:line="300" w:lineRule="auto"/>
      </w:pPr>
      <w:r>
        <w:rPr>
          <w:rFonts w:ascii="Calibri" w:hAnsi="Calibri"/>
          <w:b w:val="0"/>
          <w:i w:val="0"/>
        </w:rPr>
        <w:t>The backend is the system of record for security, orchestration, and traceable answer generation. It keeps credentials out of the browser and uses dependency-style service factories so the application can switch between memory-backed local development and AWS-backed production services.</w:t>
      </w:r>
    </w:p>
    <w:tbl>
      <w:tblPr>
        <w:tblW w:type="dxa" w:w="9360"/>
        <w:jc w:val="left"/>
        <w:tblLayout w:type="fixed"/>
        <w:tblLook w:firstColumn="1" w:firstRow="1" w:lastColumn="0" w:lastRow="0" w:noHBand="0" w:noVBand="1" w:val="04A0"/>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1700"/>
        <w:gridCol w:w="7660"/>
      </w:tblGrid>
      <w:tr>
        <w:tc>
          <w:tcPr>
            <w:tcW w:type="dxa" w:w="1700"/>
            <w:vAlign w:val="center"/>
            <w:tcMar>
              <w:top w:w="80" w:type="dxa"/>
              <w:start w:w="120" w:type="dxa"/>
              <w:bottom w:w="80" w:type="dxa"/>
              <w:end w:w="120" w:type="dxa"/>
            </w:tcMar>
            <w:shd w:fill="E8EEF5"/>
          </w:tcPr>
          <w:p>
            <w:pPr>
              <w:spacing w:after="0"/>
            </w:pPr>
            <w:r>
              <w:rPr>
                <w:rFonts w:ascii="Calibri" w:hAnsi="Calibri"/>
                <w:b/>
                <w:color w:val="1F4D78"/>
                <w:sz w:val="19"/>
              </w:rPr>
              <w:t>Configuration</w:t>
            </w:r>
          </w:p>
        </w:tc>
        <w:tc>
          <w:tcPr>
            <w:tcW w:type="dxa" w:w="7660"/>
            <w:vAlign w:val="center"/>
            <w:tcMar>
              <w:top w:w="80" w:type="dxa"/>
              <w:start w:w="120" w:type="dxa"/>
              <w:bottom w:w="80" w:type="dxa"/>
              <w:end w:w="120" w:type="dxa"/>
            </w:tcMar>
          </w:tcPr>
          <w:p>
            <w:pPr>
              <w:spacing w:after="0"/>
            </w:pPr>
            <w:r>
              <w:rPr>
                <w:rFonts w:ascii="Calibri" w:hAnsi="Calibri"/>
                <w:color w:val="141F2D"/>
                <w:sz w:val="19"/>
              </w:rPr>
              <w:t>backend/app/config.py reads only non-secret environment values, such as region, secret names, S3 bucket, OpenSearch endpoint, and DynamoDB table.</w:t>
            </w:r>
          </w:p>
        </w:tc>
      </w:tr>
      <w:tr>
        <w:tc>
          <w:tcPr>
            <w:tcW w:type="dxa" w:w="1700"/>
            <w:vAlign w:val="center"/>
            <w:tcMar>
              <w:top w:w="80" w:type="dxa"/>
              <w:start w:w="120" w:type="dxa"/>
              <w:bottom w:w="80" w:type="dxa"/>
              <w:end w:w="120" w:type="dxa"/>
            </w:tcMar>
            <w:shd w:fill="E8EEF5"/>
          </w:tcPr>
          <w:p>
            <w:pPr>
              <w:spacing w:after="0"/>
            </w:pPr>
            <w:r>
              <w:rPr>
                <w:rFonts w:ascii="Calibri" w:hAnsi="Calibri"/>
                <w:b/>
                <w:color w:val="1F4D78"/>
                <w:sz w:val="19"/>
              </w:rPr>
              <w:t>Secrets</w:t>
            </w:r>
          </w:p>
        </w:tc>
        <w:tc>
          <w:tcPr>
            <w:tcW w:type="dxa" w:w="7660"/>
            <w:vAlign w:val="center"/>
            <w:tcMar>
              <w:top w:w="80" w:type="dxa"/>
              <w:start w:w="120" w:type="dxa"/>
              <w:bottom w:w="80" w:type="dxa"/>
              <w:end w:w="120" w:type="dxa"/>
            </w:tcMar>
          </w:tcPr>
          <w:p>
            <w:pPr>
              <w:spacing w:after="0"/>
            </w:pPr>
            <w:r>
              <w:rPr>
                <w:rFonts w:ascii="Calibri" w:hAnsi="Calibri"/>
                <w:color w:val="141F2D"/>
                <w:sz w:val="19"/>
              </w:rPr>
              <w:t>backend/app/secrets.py loads JSON secrets from AWS Secrets Manager. Secret values are not read from .env files or committed config.</w:t>
            </w:r>
          </w:p>
        </w:tc>
      </w:tr>
      <w:tr>
        <w:tc>
          <w:tcPr>
            <w:tcW w:type="dxa" w:w="1700"/>
            <w:vAlign w:val="center"/>
            <w:tcMar>
              <w:top w:w="80" w:type="dxa"/>
              <w:start w:w="120" w:type="dxa"/>
              <w:bottom w:w="80" w:type="dxa"/>
              <w:end w:w="120" w:type="dxa"/>
            </w:tcMar>
            <w:shd w:fill="E8EEF5"/>
          </w:tcPr>
          <w:p>
            <w:pPr>
              <w:spacing w:after="0"/>
            </w:pPr>
            <w:r>
              <w:rPr>
                <w:rFonts w:ascii="Calibri" w:hAnsi="Calibri"/>
                <w:b/>
                <w:color w:val="1F4D78"/>
                <w:sz w:val="19"/>
              </w:rPr>
              <w:t>Authentication</w:t>
            </w:r>
          </w:p>
        </w:tc>
        <w:tc>
          <w:tcPr>
            <w:tcW w:type="dxa" w:w="7660"/>
            <w:vAlign w:val="center"/>
            <w:tcMar>
              <w:top w:w="80" w:type="dxa"/>
              <w:start w:w="120" w:type="dxa"/>
              <w:bottom w:w="80" w:type="dxa"/>
              <w:end w:w="120" w:type="dxa"/>
            </w:tcMar>
          </w:tcPr>
          <w:p>
            <w:pPr>
              <w:spacing w:after="0"/>
            </w:pPr>
            <w:r>
              <w:rPr>
                <w:rFonts w:ascii="Calibri" w:hAnsi="Calibri"/>
                <w:color w:val="141F2D"/>
                <w:sz w:val="19"/>
              </w:rPr>
              <w:t>backend/app/auth.py verifies PBKDF2 password hashes and issues signed HMAC JWT-style bearer tokens.</w:t>
            </w:r>
          </w:p>
        </w:tc>
      </w:tr>
      <w:tr>
        <w:tc>
          <w:tcPr>
            <w:tcW w:type="dxa" w:w="1700"/>
            <w:vAlign w:val="center"/>
            <w:tcMar>
              <w:top w:w="80" w:type="dxa"/>
              <w:start w:w="120" w:type="dxa"/>
              <w:bottom w:w="80" w:type="dxa"/>
              <w:end w:w="120" w:type="dxa"/>
            </w:tcMar>
            <w:shd w:fill="E8EEF5"/>
          </w:tcPr>
          <w:p>
            <w:pPr>
              <w:spacing w:after="0"/>
            </w:pPr>
            <w:r>
              <w:rPr>
                <w:rFonts w:ascii="Calibri" w:hAnsi="Calibri"/>
                <w:b/>
                <w:color w:val="1F4D78"/>
                <w:sz w:val="19"/>
              </w:rPr>
              <w:t>Chat API</w:t>
            </w:r>
          </w:p>
        </w:tc>
        <w:tc>
          <w:tcPr>
            <w:tcW w:type="dxa" w:w="7660"/>
            <w:vAlign w:val="center"/>
            <w:tcMar>
              <w:top w:w="80" w:type="dxa"/>
              <w:start w:w="120" w:type="dxa"/>
              <w:bottom w:w="80" w:type="dxa"/>
              <w:end w:w="120" w:type="dxa"/>
            </w:tcMar>
          </w:tcPr>
          <w:p>
            <w:pPr>
              <w:spacing w:after="0"/>
            </w:pPr>
            <w:r>
              <w:rPr>
                <w:rFonts w:ascii="Calibri" w:hAnsi="Calibri"/>
                <w:color w:val="141F2D"/>
                <w:sz w:val="19"/>
              </w:rPr>
              <w:t>backend/app/main.py exposes /auth/login, /chat, /chat/sessions, /chat/sessions/{id}, /documents, and /health.</w:t>
            </w:r>
          </w:p>
        </w:tc>
      </w:tr>
      <w:tr>
        <w:tc>
          <w:tcPr>
            <w:tcW w:type="dxa" w:w="1700"/>
            <w:vAlign w:val="center"/>
            <w:tcMar>
              <w:top w:w="80" w:type="dxa"/>
              <w:start w:w="120" w:type="dxa"/>
              <w:bottom w:w="80" w:type="dxa"/>
              <w:end w:w="120" w:type="dxa"/>
            </w:tcMar>
            <w:shd w:fill="E8EEF5"/>
          </w:tcPr>
          <w:p>
            <w:pPr>
              <w:spacing w:after="0"/>
            </w:pPr>
            <w:r>
              <w:rPr>
                <w:rFonts w:ascii="Calibri" w:hAnsi="Calibri"/>
                <w:b/>
                <w:color w:val="1F4D78"/>
                <w:sz w:val="19"/>
              </w:rPr>
              <w:t>Agent</w:t>
            </w:r>
          </w:p>
        </w:tc>
        <w:tc>
          <w:tcPr>
            <w:tcW w:type="dxa" w:w="7660"/>
            <w:vAlign w:val="center"/>
            <w:tcMar>
              <w:top w:w="80" w:type="dxa"/>
              <w:start w:w="120" w:type="dxa"/>
              <w:bottom w:w="80" w:type="dxa"/>
              <w:end w:w="120" w:type="dxa"/>
            </w:tcMar>
          </w:tcPr>
          <w:p>
            <w:pPr>
              <w:spacing w:after="0"/>
            </w:pPr>
            <w:r>
              <w:rPr>
                <w:rFonts w:ascii="Calibri" w:hAnsi="Calibri"/>
                <w:color w:val="141F2D"/>
                <w:sz w:val="19"/>
              </w:rPr>
              <w:t>backend/app/agent.py loads prior history, runs tools, builds context, calls Azure OpenAI through LangChain, and returns traceable metadata.</w:t>
            </w:r>
          </w:p>
        </w:tc>
      </w:tr>
      <w:tr>
        <w:tc>
          <w:tcPr>
            <w:tcW w:type="dxa" w:w="1700"/>
            <w:vAlign w:val="center"/>
            <w:tcMar>
              <w:top w:w="80" w:type="dxa"/>
              <w:start w:w="120" w:type="dxa"/>
              <w:bottom w:w="80" w:type="dxa"/>
              <w:end w:w="120" w:type="dxa"/>
            </w:tcMar>
            <w:shd w:fill="E8EEF5"/>
          </w:tcPr>
          <w:p>
            <w:pPr>
              <w:spacing w:after="0"/>
            </w:pPr>
            <w:r>
              <w:rPr>
                <w:rFonts w:ascii="Calibri" w:hAnsi="Calibri"/>
                <w:b/>
                <w:color w:val="1F4D78"/>
                <w:sz w:val="19"/>
              </w:rPr>
              <w:t>Retries</w:t>
            </w:r>
          </w:p>
        </w:tc>
        <w:tc>
          <w:tcPr>
            <w:tcW w:type="dxa" w:w="7660"/>
            <w:vAlign w:val="center"/>
            <w:tcMar>
              <w:top w:w="80" w:type="dxa"/>
              <w:start w:w="120" w:type="dxa"/>
              <w:bottom w:w="80" w:type="dxa"/>
              <w:end w:w="120" w:type="dxa"/>
            </w:tcMar>
          </w:tcPr>
          <w:p>
            <w:pPr>
              <w:spacing w:after="0"/>
            </w:pPr>
            <w:r>
              <w:rPr>
                <w:rFonts w:ascii="Calibri" w:hAnsi="Calibri"/>
                <w:color w:val="141F2D"/>
                <w:sz w:val="19"/>
              </w:rPr>
              <w:t>backend/app/retries.py wraps remote-facing paths with exponential backoff to reduce transient AWS/API failures.</w:t>
            </w:r>
          </w:p>
        </w:tc>
      </w:tr>
    </w:tbl>
    <w:p>
      <w:pPr>
        <w:spacing w:before="0" w:after="80" w:line="300" w:lineRule="auto"/>
      </w:pPr>
    </w:p>
    <w:p>
      <w:pPr>
        <w:pStyle w:val="Heading1"/>
        <w:keepNext/>
      </w:pPr>
      <w:r>
        <w:t>4. Frontend Explanation</w:t>
      </w:r>
    </w:p>
    <w:p>
      <w:pPr>
        <w:spacing w:before="0" w:after="120" w:line="300" w:lineRule="auto"/>
      </w:pPr>
      <w:r>
        <w:rPr>
          <w:rFonts w:ascii="Calibri" w:hAnsi="Calibri"/>
          <w:b w:val="0"/>
          <w:i w:val="0"/>
        </w:rPr>
        <w:t>The frontend is a Streamlit application optimized for a chat workflow. Users first see a login form. After successful authentication, the UI switches to a chat page, shows previous sessions in the sidebar, and renders assistant responses with response details.</w:t>
      </w:r>
    </w:p>
    <w:p>
      <w:pPr>
        <w:pStyle w:val="ListBullet"/>
        <w:spacing w:after="80" w:line="300" w:lineRule="auto"/>
        <w:ind w:left="540" w:hanging="271"/>
      </w:pPr>
      <w:r>
        <w:rPr>
          <w:rFonts w:ascii="Calibri" w:hAnsi="Calibri"/>
          <w:color w:val="141F2D"/>
          <w:sz w:val="21"/>
        </w:rPr>
        <w:t>The access token is held in Streamlit session state and sent as an Authorization bearer token.</w:t>
      </w:r>
    </w:p>
    <w:p>
      <w:pPr>
        <w:pStyle w:val="ListBullet"/>
        <w:spacing w:after="80" w:line="300" w:lineRule="auto"/>
        <w:ind w:left="540" w:hanging="271"/>
      </w:pPr>
      <w:r>
        <w:rPr>
          <w:rFonts w:ascii="Calibri" w:hAnsi="Calibri"/>
          <w:color w:val="141F2D"/>
          <w:sz w:val="21"/>
        </w:rPr>
        <w:t>The chat input calls POST /chat with the current query and optional session_id.</w:t>
      </w:r>
    </w:p>
    <w:p>
      <w:pPr>
        <w:pStyle w:val="ListBullet"/>
        <w:spacing w:after="80" w:line="300" w:lineRule="auto"/>
        <w:ind w:left="540" w:hanging="271"/>
      </w:pPr>
      <w:r>
        <w:rPr>
          <w:rFonts w:ascii="Calibri" w:hAnsi="Calibri"/>
          <w:color w:val="141F2D"/>
          <w:sz w:val="21"/>
        </w:rPr>
        <w:t>The sidebar can start a new chat, sign out, or reload older conversations.</w:t>
      </w:r>
    </w:p>
    <w:p>
      <w:pPr>
        <w:pStyle w:val="ListBullet"/>
        <w:spacing w:after="80" w:line="300" w:lineRule="auto"/>
        <w:ind w:left="540" w:hanging="271"/>
      </w:pPr>
      <w:r>
        <w:rPr>
          <w:rFonts w:ascii="Calibri" w:hAnsi="Calibri"/>
          <w:color w:val="141F2D"/>
          <w:sz w:val="21"/>
        </w:rPr>
        <w:t>Each assistant response can display sources, tools used, input/output tokens, latency, and Langfuse trace ID.</w:t>
      </w:r>
    </w:p>
    <w:p>
      <w:pPr>
        <w:pStyle w:val="Heading1"/>
        <w:keepNext/>
      </w:pPr>
      <w:r>
        <w:t>5. Agentic AI Design</w:t>
      </w:r>
    </w:p>
    <w:p>
      <w:pPr>
        <w:spacing w:before="0" w:after="120" w:line="300" w:lineRule="auto"/>
      </w:pPr>
      <w:r>
        <w:rPr>
          <w:rFonts w:ascii="Calibri" w:hAnsi="Calibri"/>
          <w:b w:val="0"/>
          <w:i w:val="0"/>
        </w:rPr>
        <w:t>The assistant uses an agentic pattern rather than a single prompt-only chain. The backend registers tools that expose different kinds of company knowledge, then the agent composes those tool results with the current query and recent chat history.</w:t>
      </w:r>
    </w:p>
    <w:tbl>
      <w:tblPr>
        <w:tblW w:type="dxa" w:w="9360"/>
        <w:jc w:val="left"/>
        <w:tblLayout w:type="fixed"/>
        <w:tblLook w:firstColumn="1" w:firstRow="1" w:lastColumn="0" w:lastRow="0" w:noHBand="0" w:noVBand="1" w:val="04A0"/>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1900"/>
        <w:gridCol w:w="3650"/>
        <w:gridCol w:w="3810"/>
      </w:tblGrid>
      <w:tr>
        <w:tc>
          <w:tcPr>
            <w:tcW w:type="dxa" w:w="1900"/>
            <w:vAlign w:val="center"/>
            <w:tcMar>
              <w:top w:w="80" w:type="dxa"/>
              <w:start w:w="120" w:type="dxa"/>
              <w:bottom w:w="80" w:type="dxa"/>
              <w:end w:w="120" w:type="dxa"/>
            </w:tcMar>
            <w:shd w:fill="E8EEF5"/>
          </w:tcPr>
          <w:p>
            <w:pPr>
              <w:spacing w:after="0"/>
            </w:pPr>
            <w:r>
              <w:rPr>
                <w:rFonts w:ascii="Calibri" w:hAnsi="Calibri"/>
                <w:b/>
                <w:color w:val="1F4D78"/>
                <w:sz w:val="18"/>
              </w:rPr>
              <w:t>Tool</w:t>
            </w:r>
          </w:p>
        </w:tc>
        <w:tc>
          <w:tcPr>
            <w:tcW w:type="dxa" w:w="3650"/>
            <w:vAlign w:val="center"/>
            <w:tcMar>
              <w:top w:w="80" w:type="dxa"/>
              <w:start w:w="120" w:type="dxa"/>
              <w:bottom w:w="80" w:type="dxa"/>
              <w:end w:w="120" w:type="dxa"/>
            </w:tcMar>
            <w:shd w:fill="E8EEF5"/>
          </w:tcPr>
          <w:p>
            <w:pPr>
              <w:spacing w:after="0"/>
            </w:pPr>
            <w:r>
              <w:rPr>
                <w:rFonts w:ascii="Calibri" w:hAnsi="Calibri"/>
                <w:b/>
                <w:color w:val="1F4D78"/>
                <w:sz w:val="18"/>
              </w:rPr>
              <w:t>Purpose</w:t>
            </w:r>
          </w:p>
        </w:tc>
        <w:tc>
          <w:tcPr>
            <w:tcW w:type="dxa" w:w="3810"/>
            <w:vAlign w:val="center"/>
            <w:tcMar>
              <w:top w:w="80" w:type="dxa"/>
              <w:start w:w="120" w:type="dxa"/>
              <w:bottom w:w="80" w:type="dxa"/>
              <w:end w:w="120" w:type="dxa"/>
            </w:tcMar>
            <w:shd w:fill="E8EEF5"/>
          </w:tcPr>
          <w:p>
            <w:pPr>
              <w:spacing w:after="0"/>
            </w:pPr>
            <w:r>
              <w:rPr>
                <w:rFonts w:ascii="Calibri" w:hAnsi="Calibri"/>
                <w:b/>
                <w:color w:val="1F4D78"/>
                <w:sz w:val="18"/>
              </w:rPr>
              <w:t>When it helps</w:t>
            </w:r>
          </w:p>
        </w:tc>
      </w:tr>
      <w:tr>
        <w:tc>
          <w:tcPr>
            <w:tcW w:type="dxa" w:w="1900"/>
            <w:vAlign w:val="center"/>
            <w:tcMar>
              <w:top w:w="80" w:type="dxa"/>
              <w:start w:w="120" w:type="dxa"/>
              <w:bottom w:w="80" w:type="dxa"/>
              <w:end w:w="120" w:type="dxa"/>
            </w:tcMar>
          </w:tcPr>
          <w:p>
            <w:pPr>
              <w:spacing w:after="0" w:line="276" w:lineRule="auto"/>
            </w:pPr>
            <w:r>
              <w:rPr>
                <w:rFonts w:ascii="Calibri" w:hAnsi="Calibri"/>
                <w:color w:val="141F2D"/>
                <w:sz w:val="18"/>
              </w:rPr>
              <w:t>rag_search</w:t>
            </w:r>
          </w:p>
        </w:tc>
        <w:tc>
          <w:tcPr>
            <w:tcW w:type="dxa" w:w="3650"/>
            <w:vAlign w:val="center"/>
            <w:tcMar>
              <w:top w:w="80" w:type="dxa"/>
              <w:start w:w="120" w:type="dxa"/>
              <w:bottom w:w="80" w:type="dxa"/>
              <w:end w:w="120" w:type="dxa"/>
            </w:tcMar>
          </w:tcPr>
          <w:p>
            <w:pPr>
              <w:spacing w:after="0" w:line="276" w:lineRule="auto"/>
            </w:pPr>
            <w:r>
              <w:rPr>
                <w:rFonts w:ascii="Calibri" w:hAnsi="Calibri"/>
                <w:color w:val="141F2D"/>
                <w:sz w:val="18"/>
              </w:rPr>
              <w:t>Semantic search over indexed document chunks with citation metadata.</w:t>
            </w:r>
          </w:p>
        </w:tc>
        <w:tc>
          <w:tcPr>
            <w:tcW w:type="dxa" w:w="3810"/>
            <w:vAlign w:val="center"/>
            <w:tcMar>
              <w:top w:w="80" w:type="dxa"/>
              <w:start w:w="120" w:type="dxa"/>
              <w:bottom w:w="80" w:type="dxa"/>
              <w:end w:w="120" w:type="dxa"/>
            </w:tcMar>
          </w:tcPr>
          <w:p>
            <w:pPr>
              <w:spacing w:after="0" w:line="276" w:lineRule="auto"/>
            </w:pPr>
            <w:r>
              <w:rPr>
                <w:rFonts w:ascii="Calibri" w:hAnsi="Calibri"/>
                <w:color w:val="141F2D"/>
                <w:sz w:val="18"/>
              </w:rPr>
              <w:t>Policy, process, FAQ, handbook, or procedural questions.</w:t>
            </w:r>
          </w:p>
        </w:tc>
      </w:tr>
      <w:tr>
        <w:tc>
          <w:tcPr>
            <w:tcW w:type="dxa" w:w="1900"/>
            <w:vAlign w:val="center"/>
            <w:tcMar>
              <w:top w:w="80" w:type="dxa"/>
              <w:start w:w="120" w:type="dxa"/>
              <w:bottom w:w="80" w:type="dxa"/>
              <w:end w:w="120" w:type="dxa"/>
            </w:tcMar>
          </w:tcPr>
          <w:p>
            <w:pPr>
              <w:spacing w:after="0" w:line="276" w:lineRule="auto"/>
            </w:pPr>
            <w:r>
              <w:rPr>
                <w:rFonts w:ascii="Calibri" w:hAnsi="Calibri"/>
                <w:color w:val="141F2D"/>
                <w:sz w:val="18"/>
              </w:rPr>
              <w:t>document_catalog</w:t>
            </w:r>
          </w:p>
        </w:tc>
        <w:tc>
          <w:tcPr>
            <w:tcW w:type="dxa" w:w="3650"/>
            <w:vAlign w:val="center"/>
            <w:tcMar>
              <w:top w:w="80" w:type="dxa"/>
              <w:start w:w="120" w:type="dxa"/>
              <w:bottom w:w="80" w:type="dxa"/>
              <w:end w:w="120" w:type="dxa"/>
            </w:tcMar>
          </w:tcPr>
          <w:p>
            <w:pPr>
              <w:spacing w:after="0" w:line="276" w:lineRule="auto"/>
            </w:pPr>
            <w:r>
              <w:rPr>
                <w:rFonts w:ascii="Calibri" w:hAnsi="Calibri"/>
                <w:color w:val="141F2D"/>
                <w:sz w:val="18"/>
              </w:rPr>
              <w:t>Lists and filters available indexed documents from the S3 manifest.</w:t>
            </w:r>
          </w:p>
        </w:tc>
        <w:tc>
          <w:tcPr>
            <w:tcW w:type="dxa" w:w="3810"/>
            <w:vAlign w:val="center"/>
            <w:tcMar>
              <w:top w:w="80" w:type="dxa"/>
              <w:start w:w="120" w:type="dxa"/>
              <w:bottom w:w="80" w:type="dxa"/>
              <w:end w:w="120" w:type="dxa"/>
            </w:tcMar>
          </w:tcPr>
          <w:p>
            <w:pPr>
              <w:spacing w:after="0" w:line="276" w:lineRule="auto"/>
            </w:pPr>
            <w:r>
              <w:rPr>
                <w:rFonts w:ascii="Calibri" w:hAnsi="Calibri"/>
                <w:color w:val="141F2D"/>
                <w:sz w:val="18"/>
              </w:rPr>
              <w:t>Questions about what knowledge exists, document ownership, type, or department.</w:t>
            </w:r>
          </w:p>
        </w:tc>
      </w:tr>
      <w:tr>
        <w:tc>
          <w:tcPr>
            <w:tcW w:type="dxa" w:w="1900"/>
            <w:vAlign w:val="center"/>
            <w:tcMar>
              <w:top w:w="80" w:type="dxa"/>
              <w:start w:w="120" w:type="dxa"/>
              <w:bottom w:w="80" w:type="dxa"/>
              <w:end w:w="120" w:type="dxa"/>
            </w:tcMar>
          </w:tcPr>
          <w:p>
            <w:pPr>
              <w:spacing w:after="0" w:line="276" w:lineRule="auto"/>
            </w:pPr>
            <w:r>
              <w:rPr>
                <w:rFonts w:ascii="Calibri" w:hAnsi="Calibri"/>
                <w:color w:val="141F2D"/>
                <w:sz w:val="18"/>
              </w:rPr>
              <w:t>table_lookup</w:t>
            </w:r>
          </w:p>
        </w:tc>
        <w:tc>
          <w:tcPr>
            <w:tcW w:type="dxa" w:w="3650"/>
            <w:vAlign w:val="center"/>
            <w:tcMar>
              <w:top w:w="80" w:type="dxa"/>
              <w:start w:w="120" w:type="dxa"/>
              <w:bottom w:w="80" w:type="dxa"/>
              <w:end w:w="120" w:type="dxa"/>
            </w:tcMar>
          </w:tcPr>
          <w:p>
            <w:pPr>
              <w:spacing w:after="0" w:line="276" w:lineRule="auto"/>
            </w:pPr>
            <w:r>
              <w:rPr>
                <w:rFonts w:ascii="Calibri" w:hAnsi="Calibri"/>
                <w:color w:val="141F2D"/>
                <w:sz w:val="18"/>
              </w:rPr>
              <w:t>Finds exact values from CSV-style sources in S3.</w:t>
            </w:r>
          </w:p>
        </w:tc>
        <w:tc>
          <w:tcPr>
            <w:tcW w:type="dxa" w:w="3810"/>
            <w:vAlign w:val="center"/>
            <w:tcMar>
              <w:top w:w="80" w:type="dxa"/>
              <w:start w:w="120" w:type="dxa"/>
              <w:bottom w:w="80" w:type="dxa"/>
              <w:end w:w="120" w:type="dxa"/>
            </w:tcMar>
          </w:tcPr>
          <w:p>
            <w:pPr>
              <w:spacing w:after="0" w:line="276" w:lineRule="auto"/>
            </w:pPr>
            <w:r>
              <w:rPr>
                <w:rFonts w:ascii="Calibri" w:hAnsi="Calibri"/>
                <w:color w:val="141F2D"/>
                <w:sz w:val="18"/>
              </w:rPr>
              <w:t>Structured records such as contacts, escalation rows, owners, codes, or tabular policy values.</w:t>
            </w:r>
          </w:p>
        </w:tc>
      </w:tr>
    </w:tbl>
    <w:p>
      <w:pPr>
        <w:spacing w:before="0" w:after="80" w:line="300" w:lineRule="auto"/>
      </w:pP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360"/>
      </w:tblGrid>
      <w:tr>
        <w:tc>
          <w:tcPr>
            <w:tcW w:type="dxa" w:w="9360"/>
            <w:vAlign w:val="center"/>
            <w:tcMar>
              <w:top w:w="80" w:type="dxa"/>
              <w:start w:w="120" w:type="dxa"/>
              <w:bottom w:w="80" w:type="dxa"/>
              <w:end w:w="120" w:type="dxa"/>
            </w:tcMar>
            <w:shd w:fill="F4F6F9"/>
          </w:tcPr>
          <w:p>
            <w:pPr>
              <w:spacing w:after="60"/>
            </w:pPr>
            <w:r>
              <w:rPr>
                <w:rFonts w:ascii="Calibri" w:hAnsi="Calibri"/>
                <w:b/>
                <w:color w:val="1F4D78"/>
                <w:sz w:val="21"/>
              </w:rPr>
              <w:t>Why three tools matter</w:t>
            </w:r>
          </w:p>
          <w:p>
            <w:pPr>
              <w:spacing w:after="0" w:line="288" w:lineRule="auto"/>
            </w:pPr>
            <w:r>
              <w:rPr>
                <w:rFonts w:ascii="Calibri" w:hAnsi="Calibri"/>
                <w:color w:val="141F2D"/>
                <w:sz w:val="19"/>
              </w:rPr>
              <w:t>RAG alone is useful, but not enough for a convincing agentic assistant. The catalog tool gives document awareness, while the table lookup tool improves exact-answer behavior for structured knowledge.</w:t>
            </w:r>
          </w:p>
        </w:tc>
      </w:tr>
    </w:tbl>
    <w:p>
      <w:pPr>
        <w:spacing w:before="0" w:after="80" w:line="300" w:lineRule="auto"/>
      </w:pPr>
    </w:p>
    <w:p>
      <w:pPr>
        <w:pStyle w:val="Heading1"/>
        <w:keepNext/>
      </w:pPr>
      <w:r>
        <w:t>6. RAG And Ingestion Flow</w:t>
      </w:r>
    </w:p>
    <w:p>
      <w:pPr>
        <w:spacing w:before="0" w:after="120" w:line="300" w:lineRule="auto"/>
      </w:pPr>
      <w:r>
        <w:rPr>
          <w:rFonts w:ascii="Calibri" w:hAnsi="Calibri"/>
          <w:b w:val="0"/>
          <w:i w:val="0"/>
        </w:rPr>
        <w:t>Documents are stored in S3 under a raw prefix. The ingestion job loads supported files, parses text, chunks content, generates embeddings with Azure OpenAI, indexes chunks into OpenSearch Serverless, and writes a document manifest back to S3.</w:t>
      </w:r>
    </w:p>
    <w:p>
      <w:pPr>
        <w:pStyle w:val="ListNumber"/>
        <w:spacing w:after="80" w:line="300" w:lineRule="auto"/>
        <w:ind w:left="540" w:hanging="271"/>
      </w:pPr>
      <w:r>
        <w:rPr>
          <w:rFonts w:ascii="Calibri" w:hAnsi="Calibri"/>
          <w:color w:val="141F2D"/>
          <w:sz w:val="21"/>
        </w:rPr>
        <w:t>Supported input formats: PDF, markdown, plain text, and CSV.</w:t>
      </w:r>
    </w:p>
    <w:p>
      <w:pPr>
        <w:pStyle w:val="ListNumber"/>
        <w:spacing w:after="80" w:line="300" w:lineRule="auto"/>
        <w:ind w:left="540" w:hanging="271"/>
      </w:pPr>
      <w:r>
        <w:rPr>
          <w:rFonts w:ascii="Calibri" w:hAnsi="Calibri"/>
          <w:color w:val="141F2D"/>
          <w:sz w:val="21"/>
        </w:rPr>
        <w:t>Chunking uses LangChain text splitters when available, with a deterministic fallback splitter.</w:t>
      </w:r>
    </w:p>
    <w:p>
      <w:pPr>
        <w:pStyle w:val="ListNumber"/>
        <w:spacing w:after="80" w:line="300" w:lineRule="auto"/>
        <w:ind w:left="540" w:hanging="271"/>
      </w:pPr>
      <w:r>
        <w:rPr>
          <w:rFonts w:ascii="Calibri" w:hAnsi="Calibri"/>
          <w:color w:val="141F2D"/>
          <w:sz w:val="21"/>
        </w:rPr>
        <w:t>Each chunk has a stable ID based on document key, chunk index, and checksum.</w:t>
      </w:r>
    </w:p>
    <w:p>
      <w:pPr>
        <w:pStyle w:val="ListNumber"/>
        <w:spacing w:after="80" w:line="300" w:lineRule="auto"/>
        <w:ind w:left="540" w:hanging="271"/>
      </w:pPr>
      <w:r>
        <w:rPr>
          <w:rFonts w:ascii="Calibri" w:hAnsi="Calibri"/>
          <w:color w:val="141F2D"/>
          <w:sz w:val="21"/>
        </w:rPr>
        <w:t>The S3 manifest powers the document catalog tool and the /documents endpoint.</w:t>
      </w:r>
    </w:p>
    <w:p>
      <w:pPr>
        <w:pStyle w:val="ListNumber"/>
        <w:spacing w:after="80" w:line="300" w:lineRule="auto"/>
        <w:ind w:left="540" w:hanging="271"/>
      </w:pPr>
      <w:r>
        <w:rPr>
          <w:rFonts w:ascii="Calibri" w:hAnsi="Calibri"/>
          <w:color w:val="141F2D"/>
          <w:sz w:val="21"/>
        </w:rPr>
        <w:t>The OpenSearch index stores text, title, URI, content type, chunk index, checksum, metadata, and optional embedding vector.</w:t>
      </w:r>
    </w:p>
    <w:p>
      <w:pPr>
        <w:pStyle w:val="Heading1"/>
        <w:keepNext/>
      </w:pPr>
      <w:r>
        <w:t>7. Chat History And Context</w:t>
      </w:r>
    </w:p>
    <w:p>
      <w:pPr>
        <w:spacing w:before="0" w:after="120" w:line="300" w:lineRule="auto"/>
      </w:pPr>
      <w:r>
        <w:rPr>
          <w:rFonts w:ascii="Calibri" w:hAnsi="Calibri"/>
          <w:b w:val="0"/>
          <w:i w:val="0"/>
        </w:rPr>
        <w:t>Persistent chat history is central to follow-up questions. The backend stores both user and assistant messages. On every chat turn, it loads prior messages for the same user and session, builds a bounded context window, and passes that conversation history into the agent.</w:t>
      </w:r>
    </w:p>
    <w:tbl>
      <w:tblPr>
        <w:tblW w:type="dxa" w:w="9360"/>
        <w:jc w:val="left"/>
        <w:tblLayout w:type="fixed"/>
        <w:tblLook w:firstColumn="1" w:firstRow="1" w:lastColumn="0" w:lastRow="0" w:noHBand="0" w:noVBand="1" w:val="04A0"/>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1700"/>
        <w:gridCol w:w="7660"/>
      </w:tblGrid>
      <w:tr>
        <w:tc>
          <w:tcPr>
            <w:tcW w:type="dxa" w:w="1700"/>
            <w:vAlign w:val="center"/>
            <w:tcMar>
              <w:top w:w="80" w:type="dxa"/>
              <w:start w:w="120" w:type="dxa"/>
              <w:bottom w:w="80" w:type="dxa"/>
              <w:end w:w="120" w:type="dxa"/>
            </w:tcMar>
            <w:shd w:fill="E8EEF5"/>
          </w:tcPr>
          <w:p>
            <w:pPr>
              <w:spacing w:after="0"/>
            </w:pPr>
            <w:r>
              <w:rPr>
                <w:rFonts w:ascii="Calibri" w:hAnsi="Calibri"/>
                <w:b/>
                <w:color w:val="1F4D78"/>
                <w:sz w:val="19"/>
              </w:rPr>
              <w:t>Local mode</w:t>
            </w:r>
          </w:p>
        </w:tc>
        <w:tc>
          <w:tcPr>
            <w:tcW w:type="dxa" w:w="7660"/>
            <w:vAlign w:val="center"/>
            <w:tcMar>
              <w:top w:w="80" w:type="dxa"/>
              <w:start w:w="120" w:type="dxa"/>
              <w:bottom w:w="80" w:type="dxa"/>
              <w:end w:w="120" w:type="dxa"/>
            </w:tcMar>
          </w:tcPr>
          <w:p>
            <w:pPr>
              <w:spacing w:after="0"/>
            </w:pPr>
            <w:r>
              <w:rPr>
                <w:rFonts w:ascii="Calibri" w:hAnsi="Calibri"/>
                <w:color w:val="141F2D"/>
                <w:sz w:val="19"/>
              </w:rPr>
              <w:t>Uses an in-memory repository for fast development and unit testing.</w:t>
            </w:r>
          </w:p>
        </w:tc>
      </w:tr>
      <w:tr>
        <w:tc>
          <w:tcPr>
            <w:tcW w:type="dxa" w:w="1700"/>
            <w:vAlign w:val="center"/>
            <w:tcMar>
              <w:top w:w="80" w:type="dxa"/>
              <w:start w:w="120" w:type="dxa"/>
              <w:bottom w:w="80" w:type="dxa"/>
              <w:end w:w="120" w:type="dxa"/>
            </w:tcMar>
            <w:shd w:fill="E8EEF5"/>
          </w:tcPr>
          <w:p>
            <w:pPr>
              <w:spacing w:after="0"/>
            </w:pPr>
            <w:r>
              <w:rPr>
                <w:rFonts w:ascii="Calibri" w:hAnsi="Calibri"/>
                <w:b/>
                <w:color w:val="1F4D78"/>
                <w:sz w:val="19"/>
              </w:rPr>
              <w:t>Production mode</w:t>
            </w:r>
          </w:p>
        </w:tc>
        <w:tc>
          <w:tcPr>
            <w:tcW w:type="dxa" w:w="7660"/>
            <w:vAlign w:val="center"/>
            <w:tcMar>
              <w:top w:w="80" w:type="dxa"/>
              <w:start w:w="120" w:type="dxa"/>
              <w:bottom w:w="80" w:type="dxa"/>
              <w:end w:w="120" w:type="dxa"/>
            </w:tcMar>
          </w:tcPr>
          <w:p>
            <w:pPr>
              <w:spacing w:after="0"/>
            </w:pPr>
            <w:r>
              <w:rPr>
                <w:rFonts w:ascii="Calibri" w:hAnsi="Calibri"/>
                <w:color w:val="141F2D"/>
                <w:sz w:val="19"/>
              </w:rPr>
              <w:t>Uses DynamoDB with user_id as the partition key and sort_key values for session summaries and messages.</w:t>
            </w:r>
          </w:p>
        </w:tc>
      </w:tr>
      <w:tr>
        <w:tc>
          <w:tcPr>
            <w:tcW w:type="dxa" w:w="1700"/>
            <w:vAlign w:val="center"/>
            <w:tcMar>
              <w:top w:w="80" w:type="dxa"/>
              <w:start w:w="120" w:type="dxa"/>
              <w:bottom w:w="80" w:type="dxa"/>
              <w:end w:w="120" w:type="dxa"/>
            </w:tcMar>
            <w:shd w:fill="E8EEF5"/>
          </w:tcPr>
          <w:p>
            <w:pPr>
              <w:spacing w:after="0"/>
            </w:pPr>
            <w:r>
              <w:rPr>
                <w:rFonts w:ascii="Calibri" w:hAnsi="Calibri"/>
                <w:b/>
                <w:color w:val="1F4D78"/>
                <w:sz w:val="19"/>
              </w:rPr>
              <w:t>Context control</w:t>
            </w:r>
          </w:p>
        </w:tc>
        <w:tc>
          <w:tcPr>
            <w:tcW w:type="dxa" w:w="7660"/>
            <w:vAlign w:val="center"/>
            <w:tcMar>
              <w:top w:w="80" w:type="dxa"/>
              <w:start w:w="120" w:type="dxa"/>
              <w:bottom w:w="80" w:type="dxa"/>
              <w:end w:w="120" w:type="dxa"/>
            </w:tcMar>
          </w:tcPr>
          <w:p>
            <w:pPr>
              <w:spacing w:after="0"/>
            </w:pPr>
            <w:r>
              <w:rPr>
                <w:rFonts w:ascii="Calibri" w:hAnsi="Calibri"/>
                <w:color w:val="141F2D"/>
                <w:sz w:val="19"/>
              </w:rPr>
              <w:t>MAX_HISTORY_CHARS limits the amount of prior conversation injected into the prompt.</w:t>
            </w:r>
          </w:p>
        </w:tc>
      </w:tr>
      <w:tr>
        <w:tc>
          <w:tcPr>
            <w:tcW w:type="dxa" w:w="1700"/>
            <w:vAlign w:val="center"/>
            <w:tcMar>
              <w:top w:w="80" w:type="dxa"/>
              <w:start w:w="120" w:type="dxa"/>
              <w:bottom w:w="80" w:type="dxa"/>
              <w:end w:w="120" w:type="dxa"/>
            </w:tcMar>
            <w:shd w:fill="E8EEF5"/>
          </w:tcPr>
          <w:p>
            <w:pPr>
              <w:spacing w:after="0"/>
            </w:pPr>
            <w:r>
              <w:rPr>
                <w:rFonts w:ascii="Calibri" w:hAnsi="Calibri"/>
                <w:b/>
                <w:color w:val="1F4D78"/>
                <w:sz w:val="19"/>
              </w:rPr>
              <w:t>Long histories</w:t>
            </w:r>
          </w:p>
        </w:tc>
        <w:tc>
          <w:tcPr>
            <w:tcW w:type="dxa" w:w="7660"/>
            <w:vAlign w:val="center"/>
            <w:tcMar>
              <w:top w:w="80" w:type="dxa"/>
              <w:start w:w="120" w:type="dxa"/>
              <w:bottom w:w="80" w:type="dxa"/>
              <w:end w:w="120" w:type="dxa"/>
            </w:tcMar>
          </w:tcPr>
          <w:p>
            <w:pPr>
              <w:spacing w:after="0"/>
            </w:pPr>
            <w:r>
              <w:rPr>
                <w:rFonts w:ascii="Calibri" w:hAnsi="Calibri"/>
                <w:color w:val="141F2D"/>
                <w:sz w:val="19"/>
              </w:rPr>
              <w:t>Older turns are omitted with a summary marker once the history window becomes too large.</w:t>
            </w:r>
          </w:p>
        </w:tc>
      </w:tr>
    </w:tbl>
    <w:p>
      <w:pPr>
        <w:spacing w:before="0" w:after="80" w:line="300" w:lineRule="auto"/>
      </w:pPr>
    </w:p>
    <w:p>
      <w:pPr>
        <w:pStyle w:val="Heading1"/>
        <w:keepNext/>
      </w:pPr>
      <w:r>
        <w:t>8. Secrets And Security</w:t>
      </w:r>
    </w:p>
    <w:p>
      <w:pPr>
        <w:spacing w:before="0" w:after="120" w:line="300" w:lineRule="auto"/>
      </w:pPr>
      <w:r>
        <w:rPr>
          <w:rFonts w:ascii="Calibri" w:hAnsi="Calibri"/>
          <w:b w:val="0"/>
          <w:i w:val="0"/>
        </w:rPr>
        <w:t>All secret values are expected to live in AWS Secrets Manager. Environment variables contain secret names and non-sensitive runtime configuration only. ECS task roles should receive least-privilege access to only the exact secret ARNs and AWS resources the service needs.</w:t>
      </w:r>
    </w:p>
    <w:tbl>
      <w:tblPr>
        <w:tblW w:type="dxa" w:w="9360"/>
        <w:jc w:val="left"/>
        <w:tblLayout w:type="fixed"/>
        <w:tblLook w:firstColumn="1" w:firstRow="1" w:lastColumn="0" w:lastRow="0" w:noHBand="0" w:noVBand="1" w:val="04A0"/>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2650"/>
        <w:gridCol w:w="4200"/>
        <w:gridCol w:w="2510"/>
      </w:tblGrid>
      <w:tr>
        <w:tc>
          <w:tcPr>
            <w:tcW w:type="dxa" w:w="2650"/>
            <w:vAlign w:val="center"/>
            <w:tcMar>
              <w:top w:w="80" w:type="dxa"/>
              <w:start w:w="120" w:type="dxa"/>
              <w:bottom w:w="80" w:type="dxa"/>
              <w:end w:w="120" w:type="dxa"/>
            </w:tcMar>
            <w:shd w:fill="E8EEF5"/>
          </w:tcPr>
          <w:p>
            <w:pPr>
              <w:spacing w:after="0"/>
            </w:pPr>
            <w:r>
              <w:rPr>
                <w:rFonts w:ascii="Calibri" w:hAnsi="Calibri"/>
                <w:b/>
                <w:color w:val="1F4D78"/>
                <w:sz w:val="18"/>
              </w:rPr>
              <w:t>Secret</w:t>
            </w:r>
          </w:p>
        </w:tc>
        <w:tc>
          <w:tcPr>
            <w:tcW w:type="dxa" w:w="4200"/>
            <w:vAlign w:val="center"/>
            <w:tcMar>
              <w:top w:w="80" w:type="dxa"/>
              <w:start w:w="120" w:type="dxa"/>
              <w:bottom w:w="80" w:type="dxa"/>
              <w:end w:w="120" w:type="dxa"/>
            </w:tcMar>
            <w:shd w:fill="E8EEF5"/>
          </w:tcPr>
          <w:p>
            <w:pPr>
              <w:spacing w:after="0"/>
            </w:pPr>
            <w:r>
              <w:rPr>
                <w:rFonts w:ascii="Calibri" w:hAnsi="Calibri"/>
                <w:b/>
                <w:color w:val="1F4D78"/>
                <w:sz w:val="18"/>
              </w:rPr>
              <w:t>Contains</w:t>
            </w:r>
          </w:p>
        </w:tc>
        <w:tc>
          <w:tcPr>
            <w:tcW w:type="dxa" w:w="2510"/>
            <w:vAlign w:val="center"/>
            <w:tcMar>
              <w:top w:w="80" w:type="dxa"/>
              <w:start w:w="120" w:type="dxa"/>
              <w:bottom w:w="80" w:type="dxa"/>
              <w:end w:w="120" w:type="dxa"/>
            </w:tcMar>
            <w:shd w:fill="E8EEF5"/>
          </w:tcPr>
          <w:p>
            <w:pPr>
              <w:spacing w:after="0"/>
            </w:pPr>
            <w:r>
              <w:rPr>
                <w:rFonts w:ascii="Calibri" w:hAnsi="Calibri"/>
                <w:b/>
                <w:color w:val="1F4D78"/>
                <w:sz w:val="18"/>
              </w:rPr>
              <w:t>Used by</w:t>
            </w:r>
          </w:p>
        </w:tc>
      </w:tr>
      <w:tr>
        <w:tc>
          <w:tcPr>
            <w:tcW w:type="dxa" w:w="2650"/>
            <w:vAlign w:val="center"/>
            <w:tcMar>
              <w:top w:w="80" w:type="dxa"/>
              <w:start w:w="120" w:type="dxa"/>
              <w:bottom w:w="80" w:type="dxa"/>
              <w:end w:w="120" w:type="dxa"/>
            </w:tcMar>
          </w:tcPr>
          <w:p>
            <w:pPr>
              <w:spacing w:after="0" w:line="276" w:lineRule="auto"/>
            </w:pPr>
            <w:r>
              <w:rPr>
                <w:rFonts w:ascii="Calibri" w:hAnsi="Calibri"/>
                <w:color w:val="141F2D"/>
                <w:sz w:val="18"/>
              </w:rPr>
              <w:t>/company-assistant/{stage}/app</w:t>
            </w:r>
          </w:p>
        </w:tc>
        <w:tc>
          <w:tcPr>
            <w:tcW w:type="dxa" w:w="4200"/>
            <w:vAlign w:val="center"/>
            <w:tcMar>
              <w:top w:w="80" w:type="dxa"/>
              <w:start w:w="120" w:type="dxa"/>
              <w:bottom w:w="80" w:type="dxa"/>
              <w:end w:w="120" w:type="dxa"/>
            </w:tcMar>
          </w:tcPr>
          <w:p>
            <w:pPr>
              <w:spacing w:after="0" w:line="276" w:lineRule="auto"/>
            </w:pPr>
            <w:r>
              <w:rPr>
                <w:rFonts w:ascii="Calibri" w:hAnsi="Calibri"/>
                <w:color w:val="141F2D"/>
                <w:sz w:val="18"/>
              </w:rPr>
              <w:t>session_secret and auth_users password-hash map.</w:t>
            </w:r>
          </w:p>
        </w:tc>
        <w:tc>
          <w:tcPr>
            <w:tcW w:type="dxa" w:w="2510"/>
            <w:vAlign w:val="center"/>
            <w:tcMar>
              <w:top w:w="80" w:type="dxa"/>
              <w:start w:w="120" w:type="dxa"/>
              <w:bottom w:w="80" w:type="dxa"/>
              <w:end w:w="120" w:type="dxa"/>
            </w:tcMar>
          </w:tcPr>
          <w:p>
            <w:pPr>
              <w:spacing w:after="0" w:line="276" w:lineRule="auto"/>
            </w:pPr>
            <w:r>
              <w:rPr>
                <w:rFonts w:ascii="Calibri" w:hAnsi="Calibri"/>
                <w:color w:val="141F2D"/>
                <w:sz w:val="18"/>
              </w:rPr>
              <w:t>FastAPI authentication service.</w:t>
            </w:r>
          </w:p>
        </w:tc>
      </w:tr>
      <w:tr>
        <w:tc>
          <w:tcPr>
            <w:tcW w:type="dxa" w:w="2650"/>
            <w:vAlign w:val="center"/>
            <w:tcMar>
              <w:top w:w="80" w:type="dxa"/>
              <w:start w:w="120" w:type="dxa"/>
              <w:bottom w:w="80" w:type="dxa"/>
              <w:end w:w="120" w:type="dxa"/>
            </w:tcMar>
          </w:tcPr>
          <w:p>
            <w:pPr>
              <w:spacing w:after="0" w:line="276" w:lineRule="auto"/>
            </w:pPr>
            <w:r>
              <w:rPr>
                <w:rFonts w:ascii="Calibri" w:hAnsi="Calibri"/>
                <w:color w:val="141F2D"/>
                <w:sz w:val="18"/>
              </w:rPr>
              <w:t>/company-assistant/{stage}/azure-openai</w:t>
            </w:r>
          </w:p>
        </w:tc>
        <w:tc>
          <w:tcPr>
            <w:tcW w:type="dxa" w:w="4200"/>
            <w:vAlign w:val="center"/>
            <w:tcMar>
              <w:top w:w="80" w:type="dxa"/>
              <w:start w:w="120" w:type="dxa"/>
              <w:bottom w:w="80" w:type="dxa"/>
              <w:end w:w="120" w:type="dxa"/>
            </w:tcMar>
          </w:tcPr>
          <w:p>
            <w:pPr>
              <w:spacing w:after="0" w:line="276" w:lineRule="auto"/>
            </w:pPr>
            <w:r>
              <w:rPr>
                <w:rFonts w:ascii="Calibri" w:hAnsi="Calibri"/>
                <w:color w:val="141F2D"/>
                <w:sz w:val="18"/>
              </w:rPr>
              <w:t>endpoint, api_key, api_version, chat deployment, embedding deployment.</w:t>
            </w:r>
          </w:p>
        </w:tc>
        <w:tc>
          <w:tcPr>
            <w:tcW w:type="dxa" w:w="2510"/>
            <w:vAlign w:val="center"/>
            <w:tcMar>
              <w:top w:w="80" w:type="dxa"/>
              <w:start w:w="120" w:type="dxa"/>
              <w:bottom w:w="80" w:type="dxa"/>
              <w:end w:w="120" w:type="dxa"/>
            </w:tcMar>
          </w:tcPr>
          <w:p>
            <w:pPr>
              <w:spacing w:after="0" w:line="276" w:lineRule="auto"/>
            </w:pPr>
            <w:r>
              <w:rPr>
                <w:rFonts w:ascii="Calibri" w:hAnsi="Calibri"/>
                <w:color w:val="141F2D"/>
                <w:sz w:val="18"/>
              </w:rPr>
              <w:t>LangChain chat model and embedding model.</w:t>
            </w:r>
          </w:p>
        </w:tc>
      </w:tr>
      <w:tr>
        <w:tc>
          <w:tcPr>
            <w:tcW w:type="dxa" w:w="2650"/>
            <w:vAlign w:val="center"/>
            <w:tcMar>
              <w:top w:w="80" w:type="dxa"/>
              <w:start w:w="120" w:type="dxa"/>
              <w:bottom w:w="80" w:type="dxa"/>
              <w:end w:w="120" w:type="dxa"/>
            </w:tcMar>
          </w:tcPr>
          <w:p>
            <w:pPr>
              <w:spacing w:after="0" w:line="276" w:lineRule="auto"/>
            </w:pPr>
            <w:r>
              <w:rPr>
                <w:rFonts w:ascii="Calibri" w:hAnsi="Calibri"/>
                <w:color w:val="141F2D"/>
                <w:sz w:val="18"/>
              </w:rPr>
              <w:t>/company-assistant/{stage}/langfuse</w:t>
            </w:r>
          </w:p>
        </w:tc>
        <w:tc>
          <w:tcPr>
            <w:tcW w:type="dxa" w:w="4200"/>
            <w:vAlign w:val="center"/>
            <w:tcMar>
              <w:top w:w="80" w:type="dxa"/>
              <w:start w:w="120" w:type="dxa"/>
              <w:bottom w:w="80" w:type="dxa"/>
              <w:end w:w="120" w:type="dxa"/>
            </w:tcMar>
          </w:tcPr>
          <w:p>
            <w:pPr>
              <w:spacing w:after="0" w:line="276" w:lineRule="auto"/>
            </w:pPr>
            <w:r>
              <w:rPr>
                <w:rFonts w:ascii="Calibri" w:hAnsi="Calibri"/>
                <w:color w:val="141F2D"/>
                <w:sz w:val="18"/>
              </w:rPr>
              <w:t>public key, secret key, base URL.</w:t>
            </w:r>
          </w:p>
        </w:tc>
        <w:tc>
          <w:tcPr>
            <w:tcW w:type="dxa" w:w="2510"/>
            <w:vAlign w:val="center"/>
            <w:tcMar>
              <w:top w:w="80" w:type="dxa"/>
              <w:start w:w="120" w:type="dxa"/>
              <w:bottom w:w="80" w:type="dxa"/>
              <w:end w:w="120" w:type="dxa"/>
            </w:tcMar>
          </w:tcPr>
          <w:p>
            <w:pPr>
              <w:spacing w:after="0" w:line="276" w:lineRule="auto"/>
            </w:pPr>
            <w:r>
              <w:rPr>
                <w:rFonts w:ascii="Calibri" w:hAnsi="Calibri"/>
                <w:color w:val="141F2D"/>
                <w:sz w:val="18"/>
              </w:rPr>
              <w:t>Langfuse tracing and prompt management.</w:t>
            </w:r>
          </w:p>
        </w:tc>
      </w:tr>
    </w:tbl>
    <w:p>
      <w:pPr>
        <w:spacing w:before="0" w:after="80" w:line="300" w:lineRule="auto"/>
      </w:pP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360"/>
      </w:tblGrid>
      <w:tr>
        <w:tc>
          <w:tcPr>
            <w:tcW w:type="dxa" w:w="9360"/>
            <w:vAlign w:val="center"/>
            <w:tcMar>
              <w:top w:w="80" w:type="dxa"/>
              <w:start w:w="120" w:type="dxa"/>
              <w:bottom w:w="80" w:type="dxa"/>
              <w:end w:w="120" w:type="dxa"/>
            </w:tcMar>
            <w:shd w:fill="F4F6F9"/>
          </w:tcPr>
          <w:p>
            <w:pPr>
              <w:spacing w:after="60"/>
            </w:pPr>
            <w:r>
              <w:rPr>
                <w:rFonts w:ascii="Calibri" w:hAnsi="Calibri"/>
                <w:b/>
                <w:color w:val="1F4D78"/>
                <w:sz w:val="21"/>
              </w:rPr>
              <w:t>Security posture</w:t>
            </w:r>
          </w:p>
          <w:p>
            <w:pPr>
              <w:spacing w:after="0" w:line="288" w:lineRule="auto"/>
            </w:pPr>
            <w:r>
              <w:rPr>
                <w:rFonts w:ascii="Calibri" w:hAnsi="Calibri"/>
                <w:color w:val="141F2D"/>
                <w:sz w:val="19"/>
              </w:rPr>
              <w:t>The implemented login is intentionally simple for the MVP. For production hardening, the natural next step is Cognito, SSO/SAML, or an internal identity provider while keeping the same backend authorization pattern.</w:t>
            </w:r>
          </w:p>
        </w:tc>
      </w:tr>
    </w:tbl>
    <w:p>
      <w:pPr>
        <w:spacing w:before="0" w:after="80" w:line="300" w:lineRule="auto"/>
      </w:pPr>
    </w:p>
    <w:p>
      <w:pPr>
        <w:pStyle w:val="Heading1"/>
        <w:keepNext/>
      </w:pPr>
      <w:r>
        <w:t>9. Observability, Prompt Versioning, And Evals</w:t>
      </w:r>
    </w:p>
    <w:p>
      <w:pPr>
        <w:spacing w:before="0" w:after="120" w:line="300" w:lineRule="auto"/>
      </w:pPr>
      <w:r>
        <w:rPr>
          <w:rFonts w:ascii="Calibri" w:hAnsi="Calibri"/>
          <w:b w:val="0"/>
          <w:i w:val="0"/>
        </w:rPr>
        <w:t>The project separates ordinary logging from LLM observability. CloudWatch captures container logs, while Langfuse captures traces, prompt versions, tool calls, latency, token usage, and failures for answer generation. RAGAS and stress testing provide system-level feedback.</w:t>
      </w:r>
    </w:p>
    <w:tbl>
      <w:tblPr>
        <w:tblW w:type="dxa" w:w="9360"/>
        <w:jc w:val="left"/>
        <w:tblLayout w:type="fixed"/>
        <w:tblLook w:firstColumn="1" w:firstRow="1" w:lastColumn="0" w:lastRow="0" w:noHBand="0" w:noVBand="1" w:val="04A0"/>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1700"/>
        <w:gridCol w:w="7660"/>
      </w:tblGrid>
      <w:tr>
        <w:tc>
          <w:tcPr>
            <w:tcW w:type="dxa" w:w="1700"/>
            <w:vAlign w:val="center"/>
            <w:tcMar>
              <w:top w:w="80" w:type="dxa"/>
              <w:start w:w="120" w:type="dxa"/>
              <w:bottom w:w="80" w:type="dxa"/>
              <w:end w:w="120" w:type="dxa"/>
            </w:tcMar>
            <w:shd w:fill="E8EEF5"/>
          </w:tcPr>
          <w:p>
            <w:pPr>
              <w:spacing w:after="0"/>
            </w:pPr>
            <w:r>
              <w:rPr>
                <w:rFonts w:ascii="Calibri" w:hAnsi="Calibri"/>
                <w:b/>
                <w:color w:val="1F4D78"/>
                <w:sz w:val="19"/>
              </w:rPr>
              <w:t>Langfuse tracing</w:t>
            </w:r>
          </w:p>
        </w:tc>
        <w:tc>
          <w:tcPr>
            <w:tcW w:type="dxa" w:w="7660"/>
            <w:vAlign w:val="center"/>
            <w:tcMar>
              <w:top w:w="80" w:type="dxa"/>
              <w:start w:w="120" w:type="dxa"/>
              <w:bottom w:w="80" w:type="dxa"/>
              <w:end w:w="120" w:type="dxa"/>
            </w:tcMar>
          </w:tcPr>
          <w:p>
            <w:pPr>
              <w:spacing w:after="0"/>
            </w:pPr>
            <w:r>
              <w:rPr>
                <w:rFonts w:ascii="Calibri" w:hAnsi="Calibri"/>
                <w:color w:val="141F2D"/>
                <w:sz w:val="19"/>
              </w:rPr>
              <w:t>Records model calls, retrieval/tool behavior, token usage, latency, and trace IDs that are returned to the UI.</w:t>
            </w:r>
          </w:p>
        </w:tc>
      </w:tr>
      <w:tr>
        <w:tc>
          <w:tcPr>
            <w:tcW w:type="dxa" w:w="1700"/>
            <w:vAlign w:val="center"/>
            <w:tcMar>
              <w:top w:w="80" w:type="dxa"/>
              <w:start w:w="120" w:type="dxa"/>
              <w:bottom w:w="80" w:type="dxa"/>
              <w:end w:w="120" w:type="dxa"/>
            </w:tcMar>
            <w:shd w:fill="E8EEF5"/>
          </w:tcPr>
          <w:p>
            <w:pPr>
              <w:spacing w:after="0"/>
            </w:pPr>
            <w:r>
              <w:rPr>
                <w:rFonts w:ascii="Calibri" w:hAnsi="Calibri"/>
                <w:b/>
                <w:color w:val="1F4D78"/>
                <w:sz w:val="19"/>
              </w:rPr>
              <w:t>Prompt versioning</w:t>
            </w:r>
          </w:p>
        </w:tc>
        <w:tc>
          <w:tcPr>
            <w:tcW w:type="dxa" w:w="7660"/>
            <w:vAlign w:val="center"/>
            <w:tcMar>
              <w:top w:w="80" w:type="dxa"/>
              <w:start w:w="120" w:type="dxa"/>
              <w:bottom w:w="80" w:type="dxa"/>
              <w:end w:w="120" w:type="dxa"/>
            </w:tcMar>
          </w:tcPr>
          <w:p>
            <w:pPr>
              <w:spacing w:after="0"/>
            </w:pPr>
            <w:r>
              <w:rPr>
                <w:rFonts w:ascii="Calibri" w:hAnsi="Calibri"/>
                <w:color w:val="141F2D"/>
                <w:sz w:val="19"/>
              </w:rPr>
              <w:t>The system prompt can be loaded from Langfuse by prompt label, with a safe default prompt in code.</w:t>
            </w:r>
          </w:p>
        </w:tc>
      </w:tr>
      <w:tr>
        <w:tc>
          <w:tcPr>
            <w:tcW w:type="dxa" w:w="1700"/>
            <w:vAlign w:val="center"/>
            <w:tcMar>
              <w:top w:w="80" w:type="dxa"/>
              <w:start w:w="120" w:type="dxa"/>
              <w:bottom w:w="80" w:type="dxa"/>
              <w:end w:w="120" w:type="dxa"/>
            </w:tcMar>
            <w:shd w:fill="E8EEF5"/>
          </w:tcPr>
          <w:p>
            <w:pPr>
              <w:spacing w:after="0"/>
            </w:pPr>
            <w:r>
              <w:rPr>
                <w:rFonts w:ascii="Calibri" w:hAnsi="Calibri"/>
                <w:b/>
                <w:color w:val="1F4D78"/>
                <w:sz w:val="19"/>
              </w:rPr>
              <w:t>Golden-data eval</w:t>
            </w:r>
          </w:p>
        </w:tc>
        <w:tc>
          <w:tcPr>
            <w:tcW w:type="dxa" w:w="7660"/>
            <w:vAlign w:val="center"/>
            <w:tcMar>
              <w:top w:w="80" w:type="dxa"/>
              <w:start w:w="120" w:type="dxa"/>
              <w:bottom w:w="80" w:type="dxa"/>
              <w:end w:w="120" w:type="dxa"/>
            </w:tcMar>
          </w:tcPr>
          <w:p>
            <w:pPr>
              <w:spacing w:after="0"/>
            </w:pPr>
            <w:r>
              <w:rPr>
                <w:rFonts w:ascii="Calibri" w:hAnsi="Calibri"/>
                <w:color w:val="141F2D"/>
                <w:sz w:val="19"/>
              </w:rPr>
              <w:t>evals/golden_dataset.csv defines question, expected answer, expected source, and tags.</w:t>
            </w:r>
          </w:p>
        </w:tc>
      </w:tr>
      <w:tr>
        <w:tc>
          <w:tcPr>
            <w:tcW w:type="dxa" w:w="1700"/>
            <w:vAlign w:val="center"/>
            <w:tcMar>
              <w:top w:w="80" w:type="dxa"/>
              <w:start w:w="120" w:type="dxa"/>
              <w:bottom w:w="80" w:type="dxa"/>
              <w:end w:w="120" w:type="dxa"/>
            </w:tcMar>
            <w:shd w:fill="E8EEF5"/>
          </w:tcPr>
          <w:p>
            <w:pPr>
              <w:spacing w:after="0"/>
            </w:pPr>
            <w:r>
              <w:rPr>
                <w:rFonts w:ascii="Calibri" w:hAnsi="Calibri"/>
                <w:b/>
                <w:color w:val="1F4D78"/>
                <w:sz w:val="19"/>
              </w:rPr>
              <w:t>RAGAS</w:t>
            </w:r>
          </w:p>
        </w:tc>
        <w:tc>
          <w:tcPr>
            <w:tcW w:type="dxa" w:w="7660"/>
            <w:vAlign w:val="center"/>
            <w:tcMar>
              <w:top w:w="80" w:type="dxa"/>
              <w:start w:w="120" w:type="dxa"/>
              <w:bottom w:w="80" w:type="dxa"/>
              <w:end w:w="120" w:type="dxa"/>
            </w:tcMar>
          </w:tcPr>
          <w:p>
            <w:pPr>
              <w:spacing w:after="0"/>
            </w:pPr>
            <w:r>
              <w:rPr>
                <w:rFonts w:ascii="Calibri" w:hAnsi="Calibri"/>
                <w:color w:val="141F2D"/>
                <w:sz w:val="19"/>
              </w:rPr>
              <w:t>evals/run_ragas_eval.py can compute faithfulness, answer relevancy, context precision, and context recall when RAGAS dependencies and model access are configured.</w:t>
            </w:r>
          </w:p>
        </w:tc>
      </w:tr>
      <w:tr>
        <w:tc>
          <w:tcPr>
            <w:tcW w:type="dxa" w:w="1700"/>
            <w:vAlign w:val="center"/>
            <w:tcMar>
              <w:top w:w="80" w:type="dxa"/>
              <w:start w:w="120" w:type="dxa"/>
              <w:bottom w:w="80" w:type="dxa"/>
              <w:end w:w="120" w:type="dxa"/>
            </w:tcMar>
            <w:shd w:fill="E8EEF5"/>
          </w:tcPr>
          <w:p>
            <w:pPr>
              <w:spacing w:after="0"/>
            </w:pPr>
            <w:r>
              <w:rPr>
                <w:rFonts w:ascii="Calibri" w:hAnsi="Calibri"/>
                <w:b/>
                <w:color w:val="1F4D78"/>
                <w:sz w:val="19"/>
              </w:rPr>
              <w:t>Stress testing</w:t>
            </w:r>
          </w:p>
        </w:tc>
        <w:tc>
          <w:tcPr>
            <w:tcW w:type="dxa" w:w="7660"/>
            <w:vAlign w:val="center"/>
            <w:tcMar>
              <w:top w:w="80" w:type="dxa"/>
              <w:start w:w="120" w:type="dxa"/>
              <w:bottom w:w="80" w:type="dxa"/>
              <w:end w:w="120" w:type="dxa"/>
            </w:tcMar>
          </w:tcPr>
          <w:p>
            <w:pPr>
              <w:spacing w:after="0"/>
            </w:pPr>
            <w:r>
              <w:rPr>
                <w:rFonts w:ascii="Calibri" w:hAnsi="Calibri"/>
                <w:color w:val="141F2D"/>
                <w:sz w:val="19"/>
              </w:rPr>
              <w:t>evals/stress_test.py generates 100 paraphrased queries and reports consistency, source overlap, latency, and failures.</w:t>
            </w:r>
          </w:p>
        </w:tc>
      </w:tr>
    </w:tbl>
    <w:p>
      <w:pPr>
        <w:spacing w:before="0" w:after="80" w:line="300" w:lineRule="auto"/>
      </w:pPr>
    </w:p>
    <w:p>
      <w:pPr>
        <w:pStyle w:val="Heading1"/>
        <w:keepNext/>
      </w:pPr>
      <w:r>
        <w:t>10. AWS Deployment Explanation</w:t>
      </w:r>
    </w:p>
    <w:p>
      <w:pPr>
        <w:spacing w:before="0" w:after="120" w:line="300" w:lineRule="auto"/>
      </w:pPr>
      <w:r>
        <w:rPr>
          <w:rFonts w:ascii="Calibri" w:hAnsi="Calibri"/>
          <w:b w:val="0"/>
          <w:i w:val="0"/>
        </w:rPr>
        <w:t>The deployment target is AWS ECS Fargate. Backend and frontend images are built separately, pushed to ECR, and deployed as services. An Application Load Balancer exposes the user-facing Streamlit service and can route API traffic internally or through a protected backend listener.</w:t>
      </w:r>
    </w:p>
    <w:tbl>
      <w:tblPr>
        <w:tblW w:type="dxa" w:w="9360"/>
        <w:jc w:val="left"/>
        <w:tblLayout w:type="fixed"/>
        <w:tblLook w:firstColumn="1" w:firstRow="1" w:lastColumn="0" w:lastRow="0" w:noHBand="0" w:noVBand="1" w:val="04A0"/>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1800"/>
        <w:gridCol w:w="3900"/>
        <w:gridCol w:w="3660"/>
      </w:tblGrid>
      <w:tr>
        <w:tc>
          <w:tcPr>
            <w:tcW w:type="dxa" w:w="1800"/>
            <w:vAlign w:val="center"/>
            <w:tcMar>
              <w:top w:w="80" w:type="dxa"/>
              <w:start w:w="120" w:type="dxa"/>
              <w:bottom w:w="80" w:type="dxa"/>
              <w:end w:w="120" w:type="dxa"/>
            </w:tcMar>
            <w:shd w:fill="E8EEF5"/>
          </w:tcPr>
          <w:p>
            <w:pPr>
              <w:spacing w:after="0"/>
            </w:pPr>
            <w:r>
              <w:rPr>
                <w:rFonts w:ascii="Calibri" w:hAnsi="Calibri"/>
                <w:b/>
                <w:color w:val="1F4D78"/>
                <w:sz w:val="18"/>
              </w:rPr>
              <w:t>AWS service</w:t>
            </w:r>
          </w:p>
        </w:tc>
        <w:tc>
          <w:tcPr>
            <w:tcW w:type="dxa" w:w="3900"/>
            <w:vAlign w:val="center"/>
            <w:tcMar>
              <w:top w:w="80" w:type="dxa"/>
              <w:start w:w="120" w:type="dxa"/>
              <w:bottom w:w="80" w:type="dxa"/>
              <w:end w:w="120" w:type="dxa"/>
            </w:tcMar>
            <w:shd w:fill="E8EEF5"/>
          </w:tcPr>
          <w:p>
            <w:pPr>
              <w:spacing w:after="0"/>
            </w:pPr>
            <w:r>
              <w:rPr>
                <w:rFonts w:ascii="Calibri" w:hAnsi="Calibri"/>
                <w:b/>
                <w:color w:val="1F4D78"/>
                <w:sz w:val="18"/>
              </w:rPr>
              <w:t>Role in the project</w:t>
            </w:r>
          </w:p>
        </w:tc>
        <w:tc>
          <w:tcPr>
            <w:tcW w:type="dxa" w:w="3660"/>
            <w:vAlign w:val="center"/>
            <w:tcMar>
              <w:top w:w="80" w:type="dxa"/>
              <w:start w:w="120" w:type="dxa"/>
              <w:bottom w:w="80" w:type="dxa"/>
              <w:end w:w="120" w:type="dxa"/>
            </w:tcMar>
            <w:shd w:fill="E8EEF5"/>
          </w:tcPr>
          <w:p>
            <w:pPr>
              <w:spacing w:after="0"/>
            </w:pPr>
            <w:r>
              <w:rPr>
                <w:rFonts w:ascii="Calibri" w:hAnsi="Calibri"/>
                <w:b/>
                <w:color w:val="1F4D78"/>
                <w:sz w:val="18"/>
              </w:rPr>
              <w:t>Important configuration</w:t>
            </w:r>
          </w:p>
        </w:tc>
      </w:tr>
      <w:tr>
        <w:tc>
          <w:tcPr>
            <w:tcW w:type="dxa" w:w="1800"/>
            <w:vAlign w:val="center"/>
            <w:tcMar>
              <w:top w:w="80" w:type="dxa"/>
              <w:start w:w="120" w:type="dxa"/>
              <w:bottom w:w="80" w:type="dxa"/>
              <w:end w:w="120" w:type="dxa"/>
            </w:tcMar>
          </w:tcPr>
          <w:p>
            <w:pPr>
              <w:spacing w:after="0" w:line="276" w:lineRule="auto"/>
            </w:pPr>
            <w:r>
              <w:rPr>
                <w:rFonts w:ascii="Calibri" w:hAnsi="Calibri"/>
                <w:color w:val="141F2D"/>
                <w:sz w:val="18"/>
              </w:rPr>
              <w:t>S3</w:t>
            </w:r>
          </w:p>
        </w:tc>
        <w:tc>
          <w:tcPr>
            <w:tcW w:type="dxa" w:w="3900"/>
            <w:vAlign w:val="center"/>
            <w:tcMar>
              <w:top w:w="80" w:type="dxa"/>
              <w:start w:w="120" w:type="dxa"/>
              <w:bottom w:w="80" w:type="dxa"/>
              <w:end w:w="120" w:type="dxa"/>
            </w:tcMar>
          </w:tcPr>
          <w:p>
            <w:pPr>
              <w:spacing w:after="0" w:line="276" w:lineRule="auto"/>
            </w:pPr>
            <w:r>
              <w:rPr>
                <w:rFonts w:ascii="Calibri" w:hAnsi="Calibri"/>
                <w:color w:val="141F2D"/>
                <w:sz w:val="18"/>
              </w:rPr>
              <w:t>Stores raw company documents and the ingestion manifest.</w:t>
            </w:r>
          </w:p>
        </w:tc>
        <w:tc>
          <w:tcPr>
            <w:tcW w:type="dxa" w:w="3660"/>
            <w:vAlign w:val="center"/>
            <w:tcMar>
              <w:top w:w="80" w:type="dxa"/>
              <w:start w:w="120" w:type="dxa"/>
              <w:bottom w:w="80" w:type="dxa"/>
              <w:end w:w="120" w:type="dxa"/>
            </w:tcMar>
          </w:tcPr>
          <w:p>
            <w:pPr>
              <w:spacing w:after="0" w:line="276" w:lineRule="auto"/>
            </w:pPr>
            <w:r>
              <w:rPr>
                <w:rFonts w:ascii="Calibri" w:hAnsi="Calibri"/>
                <w:color w:val="141F2D"/>
                <w:sz w:val="18"/>
              </w:rPr>
              <w:t>Bucket policy, raw prefix, manifest key, encryption.</w:t>
            </w:r>
          </w:p>
        </w:tc>
      </w:tr>
      <w:tr>
        <w:tc>
          <w:tcPr>
            <w:tcW w:type="dxa" w:w="1800"/>
            <w:vAlign w:val="center"/>
            <w:tcMar>
              <w:top w:w="80" w:type="dxa"/>
              <w:start w:w="120" w:type="dxa"/>
              <w:bottom w:w="80" w:type="dxa"/>
              <w:end w:w="120" w:type="dxa"/>
            </w:tcMar>
          </w:tcPr>
          <w:p>
            <w:pPr>
              <w:spacing w:after="0" w:line="276" w:lineRule="auto"/>
            </w:pPr>
            <w:r>
              <w:rPr>
                <w:rFonts w:ascii="Calibri" w:hAnsi="Calibri"/>
                <w:color w:val="141F2D"/>
                <w:sz w:val="18"/>
              </w:rPr>
              <w:t>ECR</w:t>
            </w:r>
          </w:p>
        </w:tc>
        <w:tc>
          <w:tcPr>
            <w:tcW w:type="dxa" w:w="3900"/>
            <w:vAlign w:val="center"/>
            <w:tcMar>
              <w:top w:w="80" w:type="dxa"/>
              <w:start w:w="120" w:type="dxa"/>
              <w:bottom w:w="80" w:type="dxa"/>
              <w:end w:w="120" w:type="dxa"/>
            </w:tcMar>
          </w:tcPr>
          <w:p>
            <w:pPr>
              <w:spacing w:after="0" w:line="276" w:lineRule="auto"/>
            </w:pPr>
            <w:r>
              <w:rPr>
                <w:rFonts w:ascii="Calibri" w:hAnsi="Calibri"/>
                <w:color w:val="141F2D"/>
                <w:sz w:val="18"/>
              </w:rPr>
              <w:t>Stores backend and frontend Docker images.</w:t>
            </w:r>
          </w:p>
        </w:tc>
        <w:tc>
          <w:tcPr>
            <w:tcW w:type="dxa" w:w="3660"/>
            <w:vAlign w:val="center"/>
            <w:tcMar>
              <w:top w:w="80" w:type="dxa"/>
              <w:start w:w="120" w:type="dxa"/>
              <w:bottom w:w="80" w:type="dxa"/>
              <w:end w:w="120" w:type="dxa"/>
            </w:tcMar>
          </w:tcPr>
          <w:p>
            <w:pPr>
              <w:spacing w:after="0" w:line="276" w:lineRule="auto"/>
            </w:pPr>
            <w:r>
              <w:rPr>
                <w:rFonts w:ascii="Calibri" w:hAnsi="Calibri"/>
                <w:color w:val="141F2D"/>
                <w:sz w:val="18"/>
              </w:rPr>
              <w:t>Separate repositories and immutable tags for releases.</w:t>
            </w:r>
          </w:p>
        </w:tc>
      </w:tr>
      <w:tr>
        <w:tc>
          <w:tcPr>
            <w:tcW w:type="dxa" w:w="1800"/>
            <w:vAlign w:val="center"/>
            <w:tcMar>
              <w:top w:w="80" w:type="dxa"/>
              <w:start w:w="120" w:type="dxa"/>
              <w:bottom w:w="80" w:type="dxa"/>
              <w:end w:w="120" w:type="dxa"/>
            </w:tcMar>
          </w:tcPr>
          <w:p>
            <w:pPr>
              <w:spacing w:after="0" w:line="276" w:lineRule="auto"/>
            </w:pPr>
            <w:r>
              <w:rPr>
                <w:rFonts w:ascii="Calibri" w:hAnsi="Calibri"/>
                <w:color w:val="141F2D"/>
                <w:sz w:val="18"/>
              </w:rPr>
              <w:t>ECS Fargate</w:t>
            </w:r>
          </w:p>
        </w:tc>
        <w:tc>
          <w:tcPr>
            <w:tcW w:type="dxa" w:w="3900"/>
            <w:vAlign w:val="center"/>
            <w:tcMar>
              <w:top w:w="80" w:type="dxa"/>
              <w:start w:w="120" w:type="dxa"/>
              <w:bottom w:w="80" w:type="dxa"/>
              <w:end w:w="120" w:type="dxa"/>
            </w:tcMar>
          </w:tcPr>
          <w:p>
            <w:pPr>
              <w:spacing w:after="0" w:line="276" w:lineRule="auto"/>
            </w:pPr>
            <w:r>
              <w:rPr>
                <w:rFonts w:ascii="Calibri" w:hAnsi="Calibri"/>
                <w:color w:val="141F2D"/>
                <w:sz w:val="18"/>
              </w:rPr>
              <w:t>Runs FastAPI and Streamlit containers.</w:t>
            </w:r>
          </w:p>
        </w:tc>
        <w:tc>
          <w:tcPr>
            <w:tcW w:type="dxa" w:w="3660"/>
            <w:vAlign w:val="center"/>
            <w:tcMar>
              <w:top w:w="80" w:type="dxa"/>
              <w:start w:w="120" w:type="dxa"/>
              <w:bottom w:w="80" w:type="dxa"/>
              <w:end w:w="120" w:type="dxa"/>
            </w:tcMar>
          </w:tcPr>
          <w:p>
            <w:pPr>
              <w:spacing w:after="0" w:line="276" w:lineRule="auto"/>
            </w:pPr>
            <w:r>
              <w:rPr>
                <w:rFonts w:ascii="Calibri" w:hAnsi="Calibri"/>
                <w:color w:val="141F2D"/>
                <w:sz w:val="18"/>
              </w:rPr>
              <w:t>Task roles, service networking, CPU/memory, health checks.</w:t>
            </w:r>
          </w:p>
        </w:tc>
      </w:tr>
      <w:tr>
        <w:tc>
          <w:tcPr>
            <w:tcW w:type="dxa" w:w="1800"/>
            <w:vAlign w:val="center"/>
            <w:tcMar>
              <w:top w:w="80" w:type="dxa"/>
              <w:start w:w="120" w:type="dxa"/>
              <w:bottom w:w="80" w:type="dxa"/>
              <w:end w:w="120" w:type="dxa"/>
            </w:tcMar>
          </w:tcPr>
          <w:p>
            <w:pPr>
              <w:spacing w:after="0" w:line="276" w:lineRule="auto"/>
            </w:pPr>
            <w:r>
              <w:rPr>
                <w:rFonts w:ascii="Calibri" w:hAnsi="Calibri"/>
                <w:color w:val="141F2D"/>
                <w:sz w:val="18"/>
              </w:rPr>
              <w:t>ALB</w:t>
            </w:r>
          </w:p>
        </w:tc>
        <w:tc>
          <w:tcPr>
            <w:tcW w:type="dxa" w:w="3900"/>
            <w:vAlign w:val="center"/>
            <w:tcMar>
              <w:top w:w="80" w:type="dxa"/>
              <w:start w:w="120" w:type="dxa"/>
              <w:bottom w:w="80" w:type="dxa"/>
              <w:end w:w="120" w:type="dxa"/>
            </w:tcMar>
          </w:tcPr>
          <w:p>
            <w:pPr>
              <w:spacing w:after="0" w:line="276" w:lineRule="auto"/>
            </w:pPr>
            <w:r>
              <w:rPr>
                <w:rFonts w:ascii="Calibri" w:hAnsi="Calibri"/>
                <w:color w:val="141F2D"/>
                <w:sz w:val="18"/>
              </w:rPr>
              <w:t>Provides browser access to the app.</w:t>
            </w:r>
          </w:p>
        </w:tc>
        <w:tc>
          <w:tcPr>
            <w:tcW w:type="dxa" w:w="3660"/>
            <w:vAlign w:val="center"/>
            <w:tcMar>
              <w:top w:w="80" w:type="dxa"/>
              <w:start w:w="120" w:type="dxa"/>
              <w:bottom w:w="80" w:type="dxa"/>
              <w:end w:w="120" w:type="dxa"/>
            </w:tcMar>
          </w:tcPr>
          <w:p>
            <w:pPr>
              <w:spacing w:after="0" w:line="276" w:lineRule="auto"/>
            </w:pPr>
            <w:r>
              <w:rPr>
                <w:rFonts w:ascii="Calibri" w:hAnsi="Calibri"/>
                <w:color w:val="141F2D"/>
                <w:sz w:val="18"/>
              </w:rPr>
              <w:t>HTTPS listener, security groups, optional IP/VPN restriction.</w:t>
            </w:r>
          </w:p>
        </w:tc>
      </w:tr>
      <w:tr>
        <w:tc>
          <w:tcPr>
            <w:tcW w:type="dxa" w:w="1800"/>
            <w:vAlign w:val="center"/>
            <w:tcMar>
              <w:top w:w="80" w:type="dxa"/>
              <w:start w:w="120" w:type="dxa"/>
              <w:bottom w:w="80" w:type="dxa"/>
              <w:end w:w="120" w:type="dxa"/>
            </w:tcMar>
          </w:tcPr>
          <w:p>
            <w:pPr>
              <w:spacing w:after="0" w:line="276" w:lineRule="auto"/>
            </w:pPr>
            <w:r>
              <w:rPr>
                <w:rFonts w:ascii="Calibri" w:hAnsi="Calibri"/>
                <w:color w:val="141F2D"/>
                <w:sz w:val="18"/>
              </w:rPr>
              <w:t>Secrets Manager</w:t>
            </w:r>
          </w:p>
        </w:tc>
        <w:tc>
          <w:tcPr>
            <w:tcW w:type="dxa" w:w="3900"/>
            <w:vAlign w:val="center"/>
            <w:tcMar>
              <w:top w:w="80" w:type="dxa"/>
              <w:start w:w="120" w:type="dxa"/>
              <w:bottom w:w="80" w:type="dxa"/>
              <w:end w:w="120" w:type="dxa"/>
            </w:tcMar>
          </w:tcPr>
          <w:p>
            <w:pPr>
              <w:spacing w:after="0" w:line="276" w:lineRule="auto"/>
            </w:pPr>
            <w:r>
              <w:rPr>
                <w:rFonts w:ascii="Calibri" w:hAnsi="Calibri"/>
                <w:color w:val="141F2D"/>
                <w:sz w:val="18"/>
              </w:rPr>
              <w:t>Stores all secret values.</w:t>
            </w:r>
          </w:p>
        </w:tc>
        <w:tc>
          <w:tcPr>
            <w:tcW w:type="dxa" w:w="3660"/>
            <w:vAlign w:val="center"/>
            <w:tcMar>
              <w:top w:w="80" w:type="dxa"/>
              <w:start w:w="120" w:type="dxa"/>
              <w:bottom w:w="80" w:type="dxa"/>
              <w:end w:w="120" w:type="dxa"/>
            </w:tcMar>
          </w:tcPr>
          <w:p>
            <w:pPr>
              <w:spacing w:after="0" w:line="276" w:lineRule="auto"/>
            </w:pPr>
            <w:r>
              <w:rPr>
                <w:rFonts w:ascii="Calibri" w:hAnsi="Calibri"/>
                <w:color w:val="141F2D"/>
                <w:sz w:val="18"/>
              </w:rPr>
              <w:t>Least-privilege GetSecretValue permissions.</w:t>
            </w:r>
          </w:p>
        </w:tc>
      </w:tr>
      <w:tr>
        <w:tc>
          <w:tcPr>
            <w:tcW w:type="dxa" w:w="1800"/>
            <w:vAlign w:val="center"/>
            <w:tcMar>
              <w:top w:w="80" w:type="dxa"/>
              <w:start w:w="120" w:type="dxa"/>
              <w:bottom w:w="80" w:type="dxa"/>
              <w:end w:w="120" w:type="dxa"/>
            </w:tcMar>
          </w:tcPr>
          <w:p>
            <w:pPr>
              <w:spacing w:after="0" w:line="276" w:lineRule="auto"/>
            </w:pPr>
            <w:r>
              <w:rPr>
                <w:rFonts w:ascii="Calibri" w:hAnsi="Calibri"/>
                <w:color w:val="141F2D"/>
                <w:sz w:val="18"/>
              </w:rPr>
              <w:t>DynamoDB</w:t>
            </w:r>
          </w:p>
        </w:tc>
        <w:tc>
          <w:tcPr>
            <w:tcW w:type="dxa" w:w="3900"/>
            <w:vAlign w:val="center"/>
            <w:tcMar>
              <w:top w:w="80" w:type="dxa"/>
              <w:start w:w="120" w:type="dxa"/>
              <w:bottom w:w="80" w:type="dxa"/>
              <w:end w:w="120" w:type="dxa"/>
            </w:tcMar>
          </w:tcPr>
          <w:p>
            <w:pPr>
              <w:spacing w:after="0" w:line="276" w:lineRule="auto"/>
            </w:pPr>
            <w:r>
              <w:rPr>
                <w:rFonts w:ascii="Calibri" w:hAnsi="Calibri"/>
                <w:color w:val="141F2D"/>
                <w:sz w:val="18"/>
              </w:rPr>
              <w:t>Persists chat sessions and messages.</w:t>
            </w:r>
          </w:p>
        </w:tc>
        <w:tc>
          <w:tcPr>
            <w:tcW w:type="dxa" w:w="3660"/>
            <w:vAlign w:val="center"/>
            <w:tcMar>
              <w:top w:w="80" w:type="dxa"/>
              <w:start w:w="120" w:type="dxa"/>
              <w:bottom w:w="80" w:type="dxa"/>
              <w:end w:w="120" w:type="dxa"/>
            </w:tcMar>
          </w:tcPr>
          <w:p>
            <w:pPr>
              <w:spacing w:after="0" w:line="276" w:lineRule="auto"/>
            </w:pPr>
            <w:r>
              <w:rPr>
                <w:rFonts w:ascii="Calibri" w:hAnsi="Calibri"/>
                <w:color w:val="141F2D"/>
                <w:sz w:val="18"/>
              </w:rPr>
              <w:t>PAY_PER_REQUEST table with user_id/sort_key keys.</w:t>
            </w:r>
          </w:p>
        </w:tc>
      </w:tr>
      <w:tr>
        <w:tc>
          <w:tcPr>
            <w:tcW w:type="dxa" w:w="1800"/>
            <w:vAlign w:val="center"/>
            <w:tcMar>
              <w:top w:w="80" w:type="dxa"/>
              <w:start w:w="120" w:type="dxa"/>
              <w:bottom w:w="80" w:type="dxa"/>
              <w:end w:w="120" w:type="dxa"/>
            </w:tcMar>
          </w:tcPr>
          <w:p>
            <w:pPr>
              <w:spacing w:after="0" w:line="276" w:lineRule="auto"/>
            </w:pPr>
            <w:r>
              <w:rPr>
                <w:rFonts w:ascii="Calibri" w:hAnsi="Calibri"/>
                <w:color w:val="141F2D"/>
                <w:sz w:val="18"/>
              </w:rPr>
              <w:t>OpenSearch Serverless</w:t>
            </w:r>
          </w:p>
        </w:tc>
        <w:tc>
          <w:tcPr>
            <w:tcW w:type="dxa" w:w="3900"/>
            <w:vAlign w:val="center"/>
            <w:tcMar>
              <w:top w:w="80" w:type="dxa"/>
              <w:start w:w="120" w:type="dxa"/>
              <w:bottom w:w="80" w:type="dxa"/>
              <w:end w:w="120" w:type="dxa"/>
            </w:tcMar>
          </w:tcPr>
          <w:p>
            <w:pPr>
              <w:spacing w:after="0" w:line="276" w:lineRule="auto"/>
            </w:pPr>
            <w:r>
              <w:rPr>
                <w:rFonts w:ascii="Calibri" w:hAnsi="Calibri"/>
                <w:color w:val="141F2D"/>
                <w:sz w:val="18"/>
              </w:rPr>
              <w:t>Stores vector index for RAG search.</w:t>
            </w:r>
          </w:p>
        </w:tc>
        <w:tc>
          <w:tcPr>
            <w:tcW w:type="dxa" w:w="3660"/>
            <w:vAlign w:val="center"/>
            <w:tcMar>
              <w:top w:w="80" w:type="dxa"/>
              <w:start w:w="120" w:type="dxa"/>
              <w:bottom w:w="80" w:type="dxa"/>
              <w:end w:w="120" w:type="dxa"/>
            </w:tcMar>
          </w:tcPr>
          <w:p>
            <w:pPr>
              <w:spacing w:after="0" w:line="276" w:lineRule="auto"/>
            </w:pPr>
            <w:r>
              <w:rPr>
                <w:rFonts w:ascii="Calibri" w:hAnsi="Calibri"/>
                <w:color w:val="141F2D"/>
                <w:sz w:val="18"/>
              </w:rPr>
              <w:t>AOSS permissions, vector mapping, collection endpoint.</w:t>
            </w:r>
          </w:p>
        </w:tc>
      </w:tr>
      <w:tr>
        <w:tc>
          <w:tcPr>
            <w:tcW w:type="dxa" w:w="1800"/>
            <w:vAlign w:val="center"/>
            <w:tcMar>
              <w:top w:w="80" w:type="dxa"/>
              <w:start w:w="120" w:type="dxa"/>
              <w:bottom w:w="80" w:type="dxa"/>
              <w:end w:w="120" w:type="dxa"/>
            </w:tcMar>
          </w:tcPr>
          <w:p>
            <w:pPr>
              <w:spacing w:after="0" w:line="276" w:lineRule="auto"/>
            </w:pPr>
            <w:r>
              <w:rPr>
                <w:rFonts w:ascii="Calibri" w:hAnsi="Calibri"/>
                <w:color w:val="141F2D"/>
                <w:sz w:val="18"/>
              </w:rPr>
              <w:t>CloudWatch</w:t>
            </w:r>
          </w:p>
        </w:tc>
        <w:tc>
          <w:tcPr>
            <w:tcW w:type="dxa" w:w="3900"/>
            <w:vAlign w:val="center"/>
            <w:tcMar>
              <w:top w:w="80" w:type="dxa"/>
              <w:start w:w="120" w:type="dxa"/>
              <w:bottom w:w="80" w:type="dxa"/>
              <w:end w:w="120" w:type="dxa"/>
            </w:tcMar>
          </w:tcPr>
          <w:p>
            <w:pPr>
              <w:spacing w:after="0" w:line="276" w:lineRule="auto"/>
            </w:pPr>
            <w:r>
              <w:rPr>
                <w:rFonts w:ascii="Calibri" w:hAnsi="Calibri"/>
                <w:color w:val="141F2D"/>
                <w:sz w:val="18"/>
              </w:rPr>
              <w:t>Captures ECS task logs.</w:t>
            </w:r>
          </w:p>
        </w:tc>
        <w:tc>
          <w:tcPr>
            <w:tcW w:type="dxa" w:w="3660"/>
            <w:vAlign w:val="center"/>
            <w:tcMar>
              <w:top w:w="80" w:type="dxa"/>
              <w:start w:w="120" w:type="dxa"/>
              <w:bottom w:w="80" w:type="dxa"/>
              <w:end w:w="120" w:type="dxa"/>
            </w:tcMar>
          </w:tcPr>
          <w:p>
            <w:pPr>
              <w:spacing w:after="0" w:line="276" w:lineRule="auto"/>
            </w:pPr>
            <w:r>
              <w:rPr>
                <w:rFonts w:ascii="Calibri" w:hAnsi="Calibri"/>
                <w:color w:val="141F2D"/>
                <w:sz w:val="18"/>
              </w:rPr>
              <w:t>Backend and frontend log groups.</w:t>
            </w:r>
          </w:p>
        </w:tc>
      </w:tr>
    </w:tbl>
    <w:p>
      <w:pPr>
        <w:spacing w:before="0" w:after="80" w:line="300" w:lineRule="auto"/>
      </w:pPr>
    </w:p>
    <w:p>
      <w:pPr>
        <w:pStyle w:val="Heading1"/>
        <w:keepNext/>
      </w:pPr>
      <w:r>
        <w:t>11. Repository Map</w:t>
      </w:r>
    </w:p>
    <w:tbl>
      <w:tblPr>
        <w:tblW w:type="dxa" w:w="9360"/>
        <w:jc w:val="left"/>
        <w:tblLayout w:type="fixed"/>
        <w:tblLook w:firstColumn="1" w:firstRow="1" w:lastColumn="0" w:lastRow="0" w:noHBand="0" w:noVBand="1" w:val="04A0"/>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2850"/>
        <w:gridCol w:w="6510"/>
      </w:tblGrid>
      <w:tr>
        <w:tc>
          <w:tcPr>
            <w:tcW w:type="dxa" w:w="2850"/>
            <w:vAlign w:val="center"/>
            <w:tcMar>
              <w:top w:w="80" w:type="dxa"/>
              <w:start w:w="120" w:type="dxa"/>
              <w:bottom w:w="80" w:type="dxa"/>
              <w:end w:w="120" w:type="dxa"/>
            </w:tcMar>
            <w:shd w:fill="E8EEF5"/>
          </w:tcPr>
          <w:p>
            <w:pPr>
              <w:spacing w:after="0"/>
            </w:pPr>
            <w:r>
              <w:rPr>
                <w:rFonts w:ascii="Calibri" w:hAnsi="Calibri"/>
                <w:b/>
                <w:color w:val="1F4D78"/>
                <w:sz w:val="18"/>
              </w:rPr>
              <w:t>Path</w:t>
            </w:r>
          </w:p>
        </w:tc>
        <w:tc>
          <w:tcPr>
            <w:tcW w:type="dxa" w:w="6510"/>
            <w:vAlign w:val="center"/>
            <w:tcMar>
              <w:top w:w="80" w:type="dxa"/>
              <w:start w:w="120" w:type="dxa"/>
              <w:bottom w:w="80" w:type="dxa"/>
              <w:end w:w="120" w:type="dxa"/>
            </w:tcMar>
            <w:shd w:fill="E8EEF5"/>
          </w:tcPr>
          <w:p>
            <w:pPr>
              <w:spacing w:after="0"/>
            </w:pPr>
            <w:r>
              <w:rPr>
                <w:rFonts w:ascii="Calibri" w:hAnsi="Calibri"/>
                <w:b/>
                <w:color w:val="1F4D78"/>
                <w:sz w:val="18"/>
              </w:rPr>
              <w:t>Explanation</w:t>
            </w:r>
          </w:p>
        </w:tc>
      </w:tr>
      <w:tr>
        <w:tc>
          <w:tcPr>
            <w:tcW w:type="dxa" w:w="2850"/>
            <w:vAlign w:val="center"/>
            <w:tcMar>
              <w:top w:w="80" w:type="dxa"/>
              <w:start w:w="120" w:type="dxa"/>
              <w:bottom w:w="80" w:type="dxa"/>
              <w:end w:w="120" w:type="dxa"/>
            </w:tcMar>
          </w:tcPr>
          <w:p>
            <w:pPr>
              <w:spacing w:after="0" w:line="276" w:lineRule="auto"/>
            </w:pPr>
            <w:r>
              <w:rPr>
                <w:rFonts w:ascii="Calibri" w:hAnsi="Calibri"/>
                <w:color w:val="141F2D"/>
                <w:sz w:val="18"/>
              </w:rPr>
              <w:t>backend/app/main.py</w:t>
            </w:r>
          </w:p>
        </w:tc>
        <w:tc>
          <w:tcPr>
            <w:tcW w:type="dxa" w:w="6510"/>
            <w:vAlign w:val="center"/>
            <w:tcMar>
              <w:top w:w="80" w:type="dxa"/>
              <w:start w:w="120" w:type="dxa"/>
              <w:bottom w:w="80" w:type="dxa"/>
              <w:end w:w="120" w:type="dxa"/>
            </w:tcMar>
          </w:tcPr>
          <w:p>
            <w:pPr>
              <w:spacing w:after="0" w:line="276" w:lineRule="auto"/>
            </w:pPr>
            <w:r>
              <w:rPr>
                <w:rFonts w:ascii="Calibri" w:hAnsi="Calibri"/>
                <w:color w:val="141F2D"/>
                <w:sz w:val="18"/>
              </w:rPr>
              <w:t>FastAPI entrypoint, dependency wiring, auth enforcement, and API route definitions.</w:t>
            </w:r>
          </w:p>
        </w:tc>
      </w:tr>
      <w:tr>
        <w:tc>
          <w:tcPr>
            <w:tcW w:type="dxa" w:w="2850"/>
            <w:vAlign w:val="center"/>
            <w:tcMar>
              <w:top w:w="80" w:type="dxa"/>
              <w:start w:w="120" w:type="dxa"/>
              <w:bottom w:w="80" w:type="dxa"/>
              <w:end w:w="120" w:type="dxa"/>
            </w:tcMar>
          </w:tcPr>
          <w:p>
            <w:pPr>
              <w:spacing w:after="0" w:line="276" w:lineRule="auto"/>
            </w:pPr>
            <w:r>
              <w:rPr>
                <w:rFonts w:ascii="Calibri" w:hAnsi="Calibri"/>
                <w:color w:val="141F2D"/>
                <w:sz w:val="18"/>
              </w:rPr>
              <w:t>backend/app/agent.py</w:t>
            </w:r>
          </w:p>
        </w:tc>
        <w:tc>
          <w:tcPr>
            <w:tcW w:type="dxa" w:w="6510"/>
            <w:vAlign w:val="center"/>
            <w:tcMar>
              <w:top w:w="80" w:type="dxa"/>
              <w:start w:w="120" w:type="dxa"/>
              <w:bottom w:w="80" w:type="dxa"/>
              <w:end w:w="120" w:type="dxa"/>
            </w:tcMar>
          </w:tcPr>
          <w:p>
            <w:pPr>
              <w:spacing w:after="0" w:line="276" w:lineRule="auto"/>
            </w:pPr>
            <w:r>
              <w:rPr>
                <w:rFonts w:ascii="Calibri" w:hAnsi="Calibri"/>
                <w:color w:val="141F2D"/>
                <w:sz w:val="18"/>
              </w:rPr>
              <w:t>Agent orchestration, context assembly, Azure OpenAI call, token estimates, and response metadata.</w:t>
            </w:r>
          </w:p>
        </w:tc>
      </w:tr>
      <w:tr>
        <w:tc>
          <w:tcPr>
            <w:tcW w:type="dxa" w:w="2850"/>
            <w:vAlign w:val="center"/>
            <w:tcMar>
              <w:top w:w="80" w:type="dxa"/>
              <w:start w:w="120" w:type="dxa"/>
              <w:bottom w:w="80" w:type="dxa"/>
              <w:end w:w="120" w:type="dxa"/>
            </w:tcMar>
          </w:tcPr>
          <w:p>
            <w:pPr>
              <w:spacing w:after="0" w:line="276" w:lineRule="auto"/>
            </w:pPr>
            <w:r>
              <w:rPr>
                <w:rFonts w:ascii="Calibri" w:hAnsi="Calibri"/>
                <w:color w:val="141F2D"/>
                <w:sz w:val="18"/>
              </w:rPr>
              <w:t>backend/app/ingest.py</w:t>
            </w:r>
          </w:p>
        </w:tc>
        <w:tc>
          <w:tcPr>
            <w:tcW w:type="dxa" w:w="6510"/>
            <w:vAlign w:val="center"/>
            <w:tcMar>
              <w:top w:w="80" w:type="dxa"/>
              <w:start w:w="120" w:type="dxa"/>
              <w:bottom w:w="80" w:type="dxa"/>
              <w:end w:w="120" w:type="dxa"/>
            </w:tcMar>
          </w:tcPr>
          <w:p>
            <w:pPr>
              <w:spacing w:after="0" w:line="276" w:lineRule="auto"/>
            </w:pPr>
            <w:r>
              <w:rPr>
                <w:rFonts w:ascii="Calibri" w:hAnsi="Calibri"/>
                <w:color w:val="141F2D"/>
                <w:sz w:val="18"/>
              </w:rPr>
              <w:t>S3 document parsing, chunking, embedding, OpenSearch indexing, and manifest writing.</w:t>
            </w:r>
          </w:p>
        </w:tc>
      </w:tr>
      <w:tr>
        <w:tc>
          <w:tcPr>
            <w:tcW w:type="dxa" w:w="2850"/>
            <w:vAlign w:val="center"/>
            <w:tcMar>
              <w:top w:w="80" w:type="dxa"/>
              <w:start w:w="120" w:type="dxa"/>
              <w:bottom w:w="80" w:type="dxa"/>
              <w:end w:w="120" w:type="dxa"/>
            </w:tcMar>
          </w:tcPr>
          <w:p>
            <w:pPr>
              <w:spacing w:after="0" w:line="276" w:lineRule="auto"/>
            </w:pPr>
            <w:r>
              <w:rPr>
                <w:rFonts w:ascii="Calibri" w:hAnsi="Calibri"/>
                <w:color w:val="141F2D"/>
                <w:sz w:val="18"/>
              </w:rPr>
              <w:t>frontend/streamlit_app.py</w:t>
            </w:r>
          </w:p>
        </w:tc>
        <w:tc>
          <w:tcPr>
            <w:tcW w:type="dxa" w:w="6510"/>
            <w:vAlign w:val="center"/>
            <w:tcMar>
              <w:top w:w="80" w:type="dxa"/>
              <w:start w:w="120" w:type="dxa"/>
              <w:bottom w:w="80" w:type="dxa"/>
              <w:end w:w="120" w:type="dxa"/>
            </w:tcMar>
          </w:tcPr>
          <w:p>
            <w:pPr>
              <w:spacing w:after="0" w:line="276" w:lineRule="auto"/>
            </w:pPr>
            <w:r>
              <w:rPr>
                <w:rFonts w:ascii="Calibri" w:hAnsi="Calibri"/>
                <w:color w:val="141F2D"/>
                <w:sz w:val="18"/>
              </w:rPr>
              <w:t>Login and chat interface, session sidebar, response details panel.</w:t>
            </w:r>
          </w:p>
        </w:tc>
      </w:tr>
      <w:tr>
        <w:tc>
          <w:tcPr>
            <w:tcW w:type="dxa" w:w="2850"/>
            <w:vAlign w:val="center"/>
            <w:tcMar>
              <w:top w:w="80" w:type="dxa"/>
              <w:start w:w="120" w:type="dxa"/>
              <w:bottom w:w="80" w:type="dxa"/>
              <w:end w:w="120" w:type="dxa"/>
            </w:tcMar>
          </w:tcPr>
          <w:p>
            <w:pPr>
              <w:spacing w:after="0" w:line="276" w:lineRule="auto"/>
            </w:pPr>
            <w:r>
              <w:rPr>
                <w:rFonts w:ascii="Calibri" w:hAnsi="Calibri"/>
                <w:color w:val="141F2D"/>
                <w:sz w:val="18"/>
              </w:rPr>
              <w:t>evals/</w:t>
            </w:r>
          </w:p>
        </w:tc>
        <w:tc>
          <w:tcPr>
            <w:tcW w:type="dxa" w:w="6510"/>
            <w:vAlign w:val="center"/>
            <w:tcMar>
              <w:top w:w="80" w:type="dxa"/>
              <w:start w:w="120" w:type="dxa"/>
              <w:bottom w:w="80" w:type="dxa"/>
              <w:end w:w="120" w:type="dxa"/>
            </w:tcMar>
          </w:tcPr>
          <w:p>
            <w:pPr>
              <w:spacing w:after="0" w:line="276" w:lineRule="auto"/>
            </w:pPr>
            <w:r>
              <w:rPr>
                <w:rFonts w:ascii="Calibri" w:hAnsi="Calibri"/>
                <w:color w:val="141F2D"/>
                <w:sz w:val="18"/>
              </w:rPr>
              <w:t>Golden-data dataset, RAGAS runner, and 100-query stress-test runner.</w:t>
            </w:r>
          </w:p>
        </w:tc>
      </w:tr>
      <w:tr>
        <w:tc>
          <w:tcPr>
            <w:tcW w:type="dxa" w:w="2850"/>
            <w:vAlign w:val="center"/>
            <w:tcMar>
              <w:top w:w="80" w:type="dxa"/>
              <w:start w:w="120" w:type="dxa"/>
              <w:bottom w:w="80" w:type="dxa"/>
              <w:end w:w="120" w:type="dxa"/>
            </w:tcMar>
          </w:tcPr>
          <w:p>
            <w:pPr>
              <w:spacing w:after="0" w:line="276" w:lineRule="auto"/>
            </w:pPr>
            <w:r>
              <w:rPr>
                <w:rFonts w:ascii="Calibri" w:hAnsi="Calibri"/>
                <w:color w:val="141F2D"/>
                <w:sz w:val="18"/>
              </w:rPr>
              <w:t>infra/</w:t>
            </w:r>
          </w:p>
        </w:tc>
        <w:tc>
          <w:tcPr>
            <w:tcW w:type="dxa" w:w="6510"/>
            <w:vAlign w:val="center"/>
            <w:tcMar>
              <w:top w:w="80" w:type="dxa"/>
              <w:start w:w="120" w:type="dxa"/>
              <w:bottom w:w="80" w:type="dxa"/>
              <w:end w:w="120" w:type="dxa"/>
            </w:tcMar>
          </w:tcPr>
          <w:p>
            <w:pPr>
              <w:spacing w:after="0" w:line="276" w:lineRule="auto"/>
            </w:pPr>
            <w:r>
              <w:rPr>
                <w:rFonts w:ascii="Calibri" w:hAnsi="Calibri"/>
                <w:color w:val="141F2D"/>
                <w:sz w:val="18"/>
              </w:rPr>
              <w:t>ECS task definitions, IAM policy, DynamoDB schema, and OpenSearch index mapping.</w:t>
            </w:r>
          </w:p>
        </w:tc>
      </w:tr>
      <w:tr>
        <w:tc>
          <w:tcPr>
            <w:tcW w:type="dxa" w:w="2850"/>
            <w:vAlign w:val="center"/>
            <w:tcMar>
              <w:top w:w="80" w:type="dxa"/>
              <w:start w:w="120" w:type="dxa"/>
              <w:bottom w:w="80" w:type="dxa"/>
              <w:end w:w="120" w:type="dxa"/>
            </w:tcMar>
          </w:tcPr>
          <w:p>
            <w:pPr>
              <w:spacing w:after="0" w:line="276" w:lineRule="auto"/>
            </w:pPr>
            <w:r>
              <w:rPr>
                <w:rFonts w:ascii="Calibri" w:hAnsi="Calibri"/>
                <w:color w:val="141F2D"/>
                <w:sz w:val="18"/>
              </w:rPr>
              <w:t>tests/</w:t>
            </w:r>
          </w:p>
        </w:tc>
        <w:tc>
          <w:tcPr>
            <w:tcW w:type="dxa" w:w="6510"/>
            <w:vAlign w:val="center"/>
            <w:tcMar>
              <w:top w:w="80" w:type="dxa"/>
              <w:start w:w="120" w:type="dxa"/>
              <w:bottom w:w="80" w:type="dxa"/>
              <w:end w:w="120" w:type="dxa"/>
            </w:tcMar>
          </w:tcPr>
          <w:p>
            <w:pPr>
              <w:spacing w:after="0" w:line="276" w:lineRule="auto"/>
            </w:pPr>
            <w:r>
              <w:rPr>
                <w:rFonts w:ascii="Calibri" w:hAnsi="Calibri"/>
                <w:color w:val="141F2D"/>
                <w:sz w:val="18"/>
              </w:rPr>
              <w:t>Unit tests for auth, chat history, and agent/tool contract.</w:t>
            </w:r>
          </w:p>
        </w:tc>
      </w:tr>
    </w:tbl>
    <w:p>
      <w:pPr>
        <w:spacing w:before="0" w:after="80" w:line="300" w:lineRule="auto"/>
      </w:pPr>
    </w:p>
    <w:p>
      <w:pPr>
        <w:pStyle w:val="Heading1"/>
        <w:keepNext/>
      </w:pPr>
      <w:r>
        <w:t>12. How A Query Is Answered</w:t>
      </w:r>
    </w:p>
    <w:p>
      <w:pPr>
        <w:pStyle w:val="ListNumber"/>
        <w:spacing w:after="80" w:line="300" w:lineRule="auto"/>
        <w:ind w:left="540" w:hanging="271"/>
      </w:pPr>
      <w:r>
        <w:rPr>
          <w:rFonts w:ascii="Calibri" w:hAnsi="Calibri"/>
          <w:color w:val="141F2D"/>
          <w:sz w:val="21"/>
        </w:rPr>
        <w:t>The user signs in through Streamlit, which calls POST /auth/login.</w:t>
      </w:r>
    </w:p>
    <w:p>
      <w:pPr>
        <w:pStyle w:val="ListNumber"/>
        <w:spacing w:after="80" w:line="300" w:lineRule="auto"/>
        <w:ind w:left="540" w:hanging="271"/>
      </w:pPr>
      <w:r>
        <w:rPr>
          <w:rFonts w:ascii="Calibri" w:hAnsi="Calibri"/>
          <w:color w:val="141F2D"/>
          <w:sz w:val="21"/>
        </w:rPr>
        <w:t>FastAPI validates the username/password against password hashes loaded from AWS Secrets Manager.</w:t>
      </w:r>
    </w:p>
    <w:p>
      <w:pPr>
        <w:pStyle w:val="ListNumber"/>
        <w:spacing w:after="80" w:line="300" w:lineRule="auto"/>
        <w:ind w:left="540" w:hanging="271"/>
      </w:pPr>
      <w:r>
        <w:rPr>
          <w:rFonts w:ascii="Calibri" w:hAnsi="Calibri"/>
          <w:color w:val="141F2D"/>
          <w:sz w:val="21"/>
        </w:rPr>
        <w:t>The user submits a chat question through Streamlit.</w:t>
      </w:r>
    </w:p>
    <w:p>
      <w:pPr>
        <w:pStyle w:val="ListNumber"/>
        <w:spacing w:after="80" w:line="300" w:lineRule="auto"/>
        <w:ind w:left="540" w:hanging="271"/>
      </w:pPr>
      <w:r>
        <w:rPr>
          <w:rFonts w:ascii="Calibri" w:hAnsi="Calibri"/>
          <w:color w:val="141F2D"/>
          <w:sz w:val="21"/>
        </w:rPr>
        <w:t>FastAPI validates the bearer token and identifies the user.</w:t>
      </w:r>
    </w:p>
    <w:p>
      <w:pPr>
        <w:pStyle w:val="ListNumber"/>
        <w:spacing w:after="80" w:line="300" w:lineRule="auto"/>
        <w:ind w:left="540" w:hanging="271"/>
      </w:pPr>
      <w:r>
        <w:rPr>
          <w:rFonts w:ascii="Calibri" w:hAnsi="Calibri"/>
          <w:color w:val="141F2D"/>
          <w:sz w:val="21"/>
        </w:rPr>
        <w:t>The backend loads previous messages for the session from memory or DynamoDB.</w:t>
      </w:r>
    </w:p>
    <w:p>
      <w:pPr>
        <w:pStyle w:val="ListNumber"/>
        <w:spacing w:after="80" w:line="300" w:lineRule="auto"/>
        <w:ind w:left="540" w:hanging="271"/>
      </w:pPr>
      <w:r>
        <w:rPr>
          <w:rFonts w:ascii="Calibri" w:hAnsi="Calibri"/>
          <w:color w:val="141F2D"/>
          <w:sz w:val="21"/>
        </w:rPr>
        <w:t>The agent runs RAG search, document catalog lookup, and CSV/table lookup.</w:t>
      </w:r>
    </w:p>
    <w:p>
      <w:pPr>
        <w:pStyle w:val="ListNumber"/>
        <w:spacing w:after="80" w:line="300" w:lineRule="auto"/>
        <w:ind w:left="540" w:hanging="271"/>
      </w:pPr>
      <w:r>
        <w:rPr>
          <w:rFonts w:ascii="Calibri" w:hAnsi="Calibri"/>
          <w:color w:val="141F2D"/>
          <w:sz w:val="21"/>
        </w:rPr>
        <w:t>The agent builds a prompt containing system instructions, chat history, tool context, and the user query.</w:t>
      </w:r>
    </w:p>
    <w:p>
      <w:pPr>
        <w:pStyle w:val="ListNumber"/>
        <w:spacing w:after="80" w:line="300" w:lineRule="auto"/>
        <w:ind w:left="540" w:hanging="271"/>
      </w:pPr>
      <w:r>
        <w:rPr>
          <w:rFonts w:ascii="Calibri" w:hAnsi="Calibri"/>
          <w:color w:val="141F2D"/>
          <w:sz w:val="21"/>
        </w:rPr>
        <w:t>Azure OpenAI generates the answer through the LangChain wrapper.</w:t>
      </w:r>
    </w:p>
    <w:p>
      <w:pPr>
        <w:pStyle w:val="ListNumber"/>
        <w:spacing w:after="80" w:line="300" w:lineRule="auto"/>
        <w:ind w:left="540" w:hanging="271"/>
      </w:pPr>
      <w:r>
        <w:rPr>
          <w:rFonts w:ascii="Calibri" w:hAnsi="Calibri"/>
          <w:color w:val="141F2D"/>
          <w:sz w:val="21"/>
        </w:rPr>
        <w:t>The backend stores the user and assistant messages, including sources, tools, token counts, latency, and trace ID.</w:t>
      </w:r>
    </w:p>
    <w:p>
      <w:pPr>
        <w:pStyle w:val="ListNumber"/>
        <w:spacing w:after="80" w:line="300" w:lineRule="auto"/>
        <w:ind w:left="540" w:hanging="271"/>
      </w:pPr>
      <w:r>
        <w:rPr>
          <w:rFonts w:ascii="Calibri" w:hAnsi="Calibri"/>
          <w:color w:val="141F2D"/>
          <w:sz w:val="21"/>
        </w:rPr>
        <w:t>Streamlit displays the answer and lets the user inspect response metadata.</w:t>
      </w:r>
    </w:p>
    <w:p>
      <w:pPr>
        <w:pStyle w:val="Heading1"/>
        <w:keepNext/>
      </w:pPr>
      <w:r>
        <w:t>13. Verification Completed</w:t>
      </w:r>
    </w:p>
    <w:p>
      <w:pPr>
        <w:spacing w:before="0" w:after="120" w:line="300" w:lineRule="auto"/>
      </w:pPr>
      <w:r>
        <w:rPr>
          <w:rFonts w:ascii="Calibri" w:hAnsi="Calibri"/>
          <w:b w:val="0"/>
          <w:i w:val="0"/>
        </w:rPr>
        <w:t>The implemented scaffold was verified without live cloud credentials. These checks prove the local code structure, core behavior, and deployment templates are internally consistent.</w:t>
      </w:r>
    </w:p>
    <w:tbl>
      <w:tblPr>
        <w:tblW w:type="dxa" w:w="9360"/>
        <w:jc w:val="left"/>
        <w:tblLayout w:type="fixed"/>
        <w:tblLook w:firstColumn="1" w:firstRow="1" w:lastColumn="0" w:lastRow="0" w:noHBand="0" w:noVBand="1" w:val="04A0"/>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1700"/>
        <w:gridCol w:w="7660"/>
      </w:tblGrid>
      <w:tr>
        <w:tc>
          <w:tcPr>
            <w:tcW w:type="dxa" w:w="1700"/>
            <w:vAlign w:val="center"/>
            <w:tcMar>
              <w:top w:w="80" w:type="dxa"/>
              <w:start w:w="120" w:type="dxa"/>
              <w:bottom w:w="80" w:type="dxa"/>
              <w:end w:w="120" w:type="dxa"/>
            </w:tcMar>
            <w:shd w:fill="E8EEF5"/>
          </w:tcPr>
          <w:p>
            <w:pPr>
              <w:spacing w:after="0"/>
            </w:pPr>
            <w:r>
              <w:rPr>
                <w:rFonts w:ascii="Calibri" w:hAnsi="Calibri"/>
                <w:b/>
                <w:color w:val="1F4D78"/>
                <w:sz w:val="19"/>
              </w:rPr>
              <w:t>Python syntax</w:t>
            </w:r>
          </w:p>
        </w:tc>
        <w:tc>
          <w:tcPr>
            <w:tcW w:type="dxa" w:w="7660"/>
            <w:vAlign w:val="center"/>
            <w:tcMar>
              <w:top w:w="80" w:type="dxa"/>
              <w:start w:w="120" w:type="dxa"/>
              <w:bottom w:w="80" w:type="dxa"/>
              <w:end w:w="120" w:type="dxa"/>
            </w:tcMar>
          </w:tcPr>
          <w:p>
            <w:pPr>
              <w:spacing w:after="0"/>
            </w:pPr>
            <w:r>
              <w:rPr>
                <w:rFonts w:ascii="Calibri" w:hAnsi="Calibri"/>
                <w:color w:val="141F2D"/>
                <w:sz w:val="19"/>
              </w:rPr>
              <w:t>compileall passed for backend, frontend, eval scripts, and tests.</w:t>
            </w:r>
          </w:p>
        </w:tc>
      </w:tr>
      <w:tr>
        <w:tc>
          <w:tcPr>
            <w:tcW w:type="dxa" w:w="1700"/>
            <w:vAlign w:val="center"/>
            <w:tcMar>
              <w:top w:w="80" w:type="dxa"/>
              <w:start w:w="120" w:type="dxa"/>
              <w:bottom w:w="80" w:type="dxa"/>
              <w:end w:w="120" w:type="dxa"/>
            </w:tcMar>
            <w:shd w:fill="E8EEF5"/>
          </w:tcPr>
          <w:p>
            <w:pPr>
              <w:spacing w:after="0"/>
            </w:pPr>
            <w:r>
              <w:rPr>
                <w:rFonts w:ascii="Calibri" w:hAnsi="Calibri"/>
                <w:b/>
                <w:color w:val="1F4D78"/>
                <w:sz w:val="19"/>
              </w:rPr>
              <w:t>Unit tests</w:t>
            </w:r>
          </w:p>
        </w:tc>
        <w:tc>
          <w:tcPr>
            <w:tcW w:type="dxa" w:w="7660"/>
            <w:vAlign w:val="center"/>
            <w:tcMar>
              <w:top w:w="80" w:type="dxa"/>
              <w:start w:w="120" w:type="dxa"/>
              <w:bottom w:w="80" w:type="dxa"/>
              <w:end w:w="120" w:type="dxa"/>
            </w:tcMar>
          </w:tcPr>
          <w:p>
            <w:pPr>
              <w:spacing w:after="0"/>
            </w:pPr>
            <w:r>
              <w:rPr>
                <w:rFonts w:ascii="Calibri" w:hAnsi="Calibri"/>
                <w:color w:val="141F2D"/>
                <w:sz w:val="19"/>
              </w:rPr>
              <w:t>6 tests passed: authentication, token validation, password hashing, history persistence, bounded context, and agent tool contract.</w:t>
            </w:r>
          </w:p>
        </w:tc>
      </w:tr>
      <w:tr>
        <w:tc>
          <w:tcPr>
            <w:tcW w:type="dxa" w:w="1700"/>
            <w:vAlign w:val="center"/>
            <w:tcMar>
              <w:top w:w="80" w:type="dxa"/>
              <w:start w:w="120" w:type="dxa"/>
              <w:bottom w:w="80" w:type="dxa"/>
              <w:end w:w="120" w:type="dxa"/>
            </w:tcMar>
            <w:shd w:fill="E8EEF5"/>
          </w:tcPr>
          <w:p>
            <w:pPr>
              <w:spacing w:after="0"/>
            </w:pPr>
            <w:r>
              <w:rPr>
                <w:rFonts w:ascii="Calibri" w:hAnsi="Calibri"/>
                <w:b/>
                <w:color w:val="1F4D78"/>
                <w:sz w:val="19"/>
              </w:rPr>
              <w:t>Docker Compose</w:t>
            </w:r>
          </w:p>
        </w:tc>
        <w:tc>
          <w:tcPr>
            <w:tcW w:type="dxa" w:w="7660"/>
            <w:vAlign w:val="center"/>
            <w:tcMar>
              <w:top w:w="80" w:type="dxa"/>
              <w:start w:w="120" w:type="dxa"/>
              <w:bottom w:w="80" w:type="dxa"/>
              <w:end w:w="120" w:type="dxa"/>
            </w:tcMar>
          </w:tcPr>
          <w:p>
            <w:pPr>
              <w:spacing w:after="0"/>
            </w:pPr>
            <w:r>
              <w:rPr>
                <w:rFonts w:ascii="Calibri" w:hAnsi="Calibri"/>
                <w:color w:val="141F2D"/>
                <w:sz w:val="19"/>
              </w:rPr>
              <w:t>docker compose config produced a valid service configuration.</w:t>
            </w:r>
          </w:p>
        </w:tc>
      </w:tr>
      <w:tr>
        <w:tc>
          <w:tcPr>
            <w:tcW w:type="dxa" w:w="1700"/>
            <w:vAlign w:val="center"/>
            <w:tcMar>
              <w:top w:w="80" w:type="dxa"/>
              <w:start w:w="120" w:type="dxa"/>
              <w:bottom w:w="80" w:type="dxa"/>
              <w:end w:w="120" w:type="dxa"/>
            </w:tcMar>
            <w:shd w:fill="E8EEF5"/>
          </w:tcPr>
          <w:p>
            <w:pPr>
              <w:spacing w:after="0"/>
            </w:pPr>
            <w:r>
              <w:rPr>
                <w:rFonts w:ascii="Calibri" w:hAnsi="Calibri"/>
                <w:b/>
                <w:color w:val="1F4D78"/>
                <w:sz w:val="19"/>
              </w:rPr>
              <w:t>Infra JSON</w:t>
            </w:r>
          </w:p>
        </w:tc>
        <w:tc>
          <w:tcPr>
            <w:tcW w:type="dxa" w:w="7660"/>
            <w:vAlign w:val="center"/>
            <w:tcMar>
              <w:top w:w="80" w:type="dxa"/>
              <w:start w:w="120" w:type="dxa"/>
              <w:bottom w:w="80" w:type="dxa"/>
              <w:end w:w="120" w:type="dxa"/>
            </w:tcMar>
          </w:tcPr>
          <w:p>
            <w:pPr>
              <w:spacing w:after="0"/>
            </w:pPr>
            <w:r>
              <w:rPr>
                <w:rFonts w:ascii="Calibri" w:hAnsi="Calibri"/>
                <w:color w:val="141F2D"/>
                <w:sz w:val="19"/>
              </w:rPr>
              <w:t>ECS task definitions, IAM policy, DynamoDB table definition, and OpenSearch index mapping parsed successfully.</w:t>
            </w:r>
          </w:p>
        </w:tc>
      </w:tr>
    </w:tbl>
    <w:p>
      <w:pPr>
        <w:spacing w:before="0" w:after="80" w:line="300" w:lineRule="auto"/>
      </w:pPr>
    </w:p>
    <w:p>
      <w:pPr>
        <w:pStyle w:val="Heading1"/>
        <w:keepNext/>
      </w:pPr>
      <w:r>
        <w:t>14. What Requires Live AWS/Azure Setup</w:t>
      </w:r>
    </w:p>
    <w:p>
      <w:pPr>
        <w:pStyle w:val="ListBullet"/>
        <w:spacing w:after="80" w:line="300" w:lineRule="auto"/>
        <w:ind w:left="540" w:hanging="271"/>
      </w:pPr>
      <w:r>
        <w:rPr>
          <w:rFonts w:ascii="Calibri" w:hAnsi="Calibri"/>
          <w:color w:val="141F2D"/>
          <w:sz w:val="21"/>
        </w:rPr>
        <w:t>Creating AWS Secrets Manager entries with real Azure OpenAI and Langfuse credentials.</w:t>
      </w:r>
    </w:p>
    <w:p>
      <w:pPr>
        <w:pStyle w:val="ListBullet"/>
        <w:spacing w:after="80" w:line="300" w:lineRule="auto"/>
        <w:ind w:left="540" w:hanging="271"/>
      </w:pPr>
      <w:r>
        <w:rPr>
          <w:rFonts w:ascii="Calibri" w:hAnsi="Calibri"/>
          <w:color w:val="141F2D"/>
          <w:sz w:val="21"/>
        </w:rPr>
        <w:t>Creating the S3 bucket and uploading real company documents.</w:t>
      </w:r>
    </w:p>
    <w:p>
      <w:pPr>
        <w:pStyle w:val="ListBullet"/>
        <w:spacing w:after="80" w:line="300" w:lineRule="auto"/>
        <w:ind w:left="540" w:hanging="271"/>
      </w:pPr>
      <w:r>
        <w:rPr>
          <w:rFonts w:ascii="Calibri" w:hAnsi="Calibri"/>
          <w:color w:val="141F2D"/>
          <w:sz w:val="21"/>
        </w:rPr>
        <w:t>Creating the OpenSearch Serverless collection and index with the expected vector dimension.</w:t>
      </w:r>
    </w:p>
    <w:p>
      <w:pPr>
        <w:pStyle w:val="ListBullet"/>
        <w:spacing w:after="80" w:line="300" w:lineRule="auto"/>
        <w:ind w:left="540" w:hanging="271"/>
      </w:pPr>
      <w:r>
        <w:rPr>
          <w:rFonts w:ascii="Calibri" w:hAnsi="Calibri"/>
          <w:color w:val="141F2D"/>
          <w:sz w:val="21"/>
        </w:rPr>
        <w:t>Creating the DynamoDB chat history table.</w:t>
      </w:r>
    </w:p>
    <w:p>
      <w:pPr>
        <w:pStyle w:val="ListBullet"/>
        <w:spacing w:after="80" w:line="300" w:lineRule="auto"/>
        <w:ind w:left="540" w:hanging="271"/>
      </w:pPr>
      <w:r>
        <w:rPr>
          <w:rFonts w:ascii="Calibri" w:hAnsi="Calibri"/>
          <w:color w:val="141F2D"/>
          <w:sz w:val="21"/>
        </w:rPr>
        <w:t>Building and pushing Docker images to ECR.</w:t>
      </w:r>
    </w:p>
    <w:p>
      <w:pPr>
        <w:pStyle w:val="ListBullet"/>
        <w:spacing w:after="80" w:line="300" w:lineRule="auto"/>
        <w:ind w:left="540" w:hanging="271"/>
      </w:pPr>
      <w:r>
        <w:rPr>
          <w:rFonts w:ascii="Calibri" w:hAnsi="Calibri"/>
          <w:color w:val="141F2D"/>
          <w:sz w:val="21"/>
        </w:rPr>
        <w:t>Deploying ECS Fargate services and configuring the Application Load Balancer.</w:t>
      </w:r>
    </w:p>
    <w:p>
      <w:pPr>
        <w:pStyle w:val="ListBullet"/>
        <w:spacing w:after="80" w:line="300" w:lineRule="auto"/>
        <w:ind w:left="540" w:hanging="271"/>
      </w:pPr>
      <w:r>
        <w:rPr>
          <w:rFonts w:ascii="Calibri" w:hAnsi="Calibri"/>
          <w:color w:val="141F2D"/>
          <w:sz w:val="21"/>
        </w:rPr>
        <w:t>Running ingestion, RAGAS evals, and the 100-query stress test against live infrastructure.</w:t>
      </w:r>
    </w:p>
    <w:p>
      <w:pPr>
        <w:pStyle w:val="Heading1"/>
        <w:keepNext/>
      </w:pPr>
      <w:r>
        <w:t>15. Recommended Next Improvements</w:t>
      </w:r>
    </w:p>
    <w:tbl>
      <w:tblPr>
        <w:tblW w:type="dxa" w:w="9360"/>
        <w:jc w:val="left"/>
        <w:tblLayout w:type="fixed"/>
        <w:tblLook w:firstColumn="1" w:firstRow="1" w:lastColumn="0" w:lastRow="0" w:noHBand="0" w:noVBand="1" w:val="04A0"/>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2500"/>
        <w:gridCol w:w="5260"/>
        <w:gridCol w:w="1600"/>
      </w:tblGrid>
      <w:tr>
        <w:tc>
          <w:tcPr>
            <w:tcW w:type="dxa" w:w="2500"/>
            <w:vAlign w:val="center"/>
            <w:tcMar>
              <w:top w:w="80" w:type="dxa"/>
              <w:start w:w="120" w:type="dxa"/>
              <w:bottom w:w="80" w:type="dxa"/>
              <w:end w:w="120" w:type="dxa"/>
            </w:tcMar>
            <w:shd w:fill="E8EEF5"/>
          </w:tcPr>
          <w:p>
            <w:pPr>
              <w:spacing w:after="0"/>
            </w:pPr>
            <w:r>
              <w:rPr>
                <w:rFonts w:ascii="Calibri" w:hAnsi="Calibri"/>
                <w:b/>
                <w:color w:val="1F4D78"/>
                <w:sz w:val="18"/>
              </w:rPr>
              <w:t>Improvement</w:t>
            </w:r>
          </w:p>
        </w:tc>
        <w:tc>
          <w:tcPr>
            <w:tcW w:type="dxa" w:w="5260"/>
            <w:vAlign w:val="center"/>
            <w:tcMar>
              <w:top w:w="80" w:type="dxa"/>
              <w:start w:w="120" w:type="dxa"/>
              <w:bottom w:w="80" w:type="dxa"/>
              <w:end w:w="120" w:type="dxa"/>
            </w:tcMar>
            <w:shd w:fill="E8EEF5"/>
          </w:tcPr>
          <w:p>
            <w:pPr>
              <w:spacing w:after="0"/>
            </w:pPr>
            <w:r>
              <w:rPr>
                <w:rFonts w:ascii="Calibri" w:hAnsi="Calibri"/>
                <w:b/>
                <w:color w:val="1F4D78"/>
                <w:sz w:val="18"/>
              </w:rPr>
              <w:t>Why it matters</w:t>
            </w:r>
          </w:p>
        </w:tc>
        <w:tc>
          <w:tcPr>
            <w:tcW w:type="dxa" w:w="1600"/>
            <w:vAlign w:val="center"/>
            <w:tcMar>
              <w:top w:w="80" w:type="dxa"/>
              <w:start w:w="120" w:type="dxa"/>
              <w:bottom w:w="80" w:type="dxa"/>
              <w:end w:w="120" w:type="dxa"/>
            </w:tcMar>
            <w:shd w:fill="E8EEF5"/>
          </w:tcPr>
          <w:p>
            <w:pPr>
              <w:spacing w:after="0"/>
            </w:pPr>
            <w:r>
              <w:rPr>
                <w:rFonts w:ascii="Calibri" w:hAnsi="Calibri"/>
                <w:b/>
                <w:color w:val="1F4D78"/>
                <w:sz w:val="18"/>
              </w:rPr>
              <w:t>Priority</w:t>
            </w:r>
          </w:p>
        </w:tc>
      </w:tr>
      <w:tr>
        <w:tc>
          <w:tcPr>
            <w:tcW w:type="dxa" w:w="2500"/>
            <w:vAlign w:val="center"/>
            <w:tcMar>
              <w:top w:w="80" w:type="dxa"/>
              <w:start w:w="120" w:type="dxa"/>
              <w:bottom w:w="80" w:type="dxa"/>
              <w:end w:w="120" w:type="dxa"/>
            </w:tcMar>
          </w:tcPr>
          <w:p>
            <w:pPr>
              <w:spacing w:after="0" w:line="276" w:lineRule="auto"/>
            </w:pPr>
            <w:r>
              <w:rPr>
                <w:rFonts w:ascii="Calibri" w:hAnsi="Calibri"/>
                <w:color w:val="141F2D"/>
                <w:sz w:val="18"/>
              </w:rPr>
              <w:t>Cognito or SSO</w:t>
            </w:r>
          </w:p>
        </w:tc>
        <w:tc>
          <w:tcPr>
            <w:tcW w:type="dxa" w:w="5260"/>
            <w:vAlign w:val="center"/>
            <w:tcMar>
              <w:top w:w="80" w:type="dxa"/>
              <w:start w:w="120" w:type="dxa"/>
              <w:bottom w:w="80" w:type="dxa"/>
              <w:end w:w="120" w:type="dxa"/>
            </w:tcMar>
          </w:tcPr>
          <w:p>
            <w:pPr>
              <w:spacing w:after="0" w:line="276" w:lineRule="auto"/>
            </w:pPr>
            <w:r>
              <w:rPr>
                <w:rFonts w:ascii="Calibri" w:hAnsi="Calibri"/>
                <w:color w:val="141F2D"/>
                <w:sz w:val="18"/>
              </w:rPr>
              <w:t>Replaces simple login with enterprise identity and stronger lifecycle management.</w:t>
            </w:r>
          </w:p>
        </w:tc>
        <w:tc>
          <w:tcPr>
            <w:tcW w:type="dxa" w:w="1600"/>
            <w:vAlign w:val="center"/>
            <w:tcMar>
              <w:top w:w="80" w:type="dxa"/>
              <w:start w:w="120" w:type="dxa"/>
              <w:bottom w:w="80" w:type="dxa"/>
              <w:end w:w="120" w:type="dxa"/>
            </w:tcMar>
          </w:tcPr>
          <w:p>
            <w:pPr>
              <w:spacing w:after="0" w:line="276" w:lineRule="auto"/>
            </w:pPr>
            <w:r>
              <w:rPr>
                <w:rFonts w:ascii="Calibri" w:hAnsi="Calibri"/>
                <w:color w:val="141F2D"/>
                <w:sz w:val="18"/>
              </w:rPr>
              <w:t>High</w:t>
            </w:r>
          </w:p>
        </w:tc>
      </w:tr>
      <w:tr>
        <w:tc>
          <w:tcPr>
            <w:tcW w:type="dxa" w:w="2500"/>
            <w:vAlign w:val="center"/>
            <w:tcMar>
              <w:top w:w="80" w:type="dxa"/>
              <w:start w:w="120" w:type="dxa"/>
              <w:bottom w:w="80" w:type="dxa"/>
              <w:end w:w="120" w:type="dxa"/>
            </w:tcMar>
          </w:tcPr>
          <w:p>
            <w:pPr>
              <w:spacing w:after="0" w:line="276" w:lineRule="auto"/>
            </w:pPr>
            <w:r>
              <w:rPr>
                <w:rFonts w:ascii="Calibri" w:hAnsi="Calibri"/>
                <w:color w:val="141F2D"/>
                <w:sz w:val="18"/>
              </w:rPr>
              <w:t>Terraform or CDK</w:t>
            </w:r>
          </w:p>
        </w:tc>
        <w:tc>
          <w:tcPr>
            <w:tcW w:type="dxa" w:w="5260"/>
            <w:vAlign w:val="center"/>
            <w:tcMar>
              <w:top w:w="80" w:type="dxa"/>
              <w:start w:w="120" w:type="dxa"/>
              <w:bottom w:w="80" w:type="dxa"/>
              <w:end w:w="120" w:type="dxa"/>
            </w:tcMar>
          </w:tcPr>
          <w:p>
            <w:pPr>
              <w:spacing w:after="0" w:line="276" w:lineRule="auto"/>
            </w:pPr>
            <w:r>
              <w:rPr>
                <w:rFonts w:ascii="Calibri" w:hAnsi="Calibri"/>
                <w:color w:val="141F2D"/>
                <w:sz w:val="18"/>
              </w:rPr>
              <w:t>Makes infrastructure repeatable and easier to review.</w:t>
            </w:r>
          </w:p>
        </w:tc>
        <w:tc>
          <w:tcPr>
            <w:tcW w:type="dxa" w:w="1600"/>
            <w:vAlign w:val="center"/>
            <w:tcMar>
              <w:top w:w="80" w:type="dxa"/>
              <w:start w:w="120" w:type="dxa"/>
              <w:bottom w:w="80" w:type="dxa"/>
              <w:end w:w="120" w:type="dxa"/>
            </w:tcMar>
          </w:tcPr>
          <w:p>
            <w:pPr>
              <w:spacing w:after="0" w:line="276" w:lineRule="auto"/>
            </w:pPr>
            <w:r>
              <w:rPr>
                <w:rFonts w:ascii="Calibri" w:hAnsi="Calibri"/>
                <w:color w:val="141F2D"/>
                <w:sz w:val="18"/>
              </w:rPr>
              <w:t>High</w:t>
            </w:r>
          </w:p>
        </w:tc>
      </w:tr>
      <w:tr>
        <w:tc>
          <w:tcPr>
            <w:tcW w:type="dxa" w:w="2500"/>
            <w:vAlign w:val="center"/>
            <w:tcMar>
              <w:top w:w="80" w:type="dxa"/>
              <w:start w:w="120" w:type="dxa"/>
              <w:bottom w:w="80" w:type="dxa"/>
              <w:end w:w="120" w:type="dxa"/>
            </w:tcMar>
          </w:tcPr>
          <w:p>
            <w:pPr>
              <w:spacing w:after="0" w:line="276" w:lineRule="auto"/>
            </w:pPr>
            <w:r>
              <w:rPr>
                <w:rFonts w:ascii="Calibri" w:hAnsi="Calibri"/>
                <w:color w:val="141F2D"/>
                <w:sz w:val="18"/>
              </w:rPr>
              <w:t>Admin ingestion UI</w:t>
            </w:r>
          </w:p>
        </w:tc>
        <w:tc>
          <w:tcPr>
            <w:tcW w:type="dxa" w:w="5260"/>
            <w:vAlign w:val="center"/>
            <w:tcMar>
              <w:top w:w="80" w:type="dxa"/>
              <w:start w:w="120" w:type="dxa"/>
              <w:bottom w:w="80" w:type="dxa"/>
              <w:end w:w="120" w:type="dxa"/>
            </w:tcMar>
          </w:tcPr>
          <w:p>
            <w:pPr>
              <w:spacing w:after="0" w:line="276" w:lineRule="auto"/>
            </w:pPr>
            <w:r>
              <w:rPr>
                <w:rFonts w:ascii="Calibri" w:hAnsi="Calibri"/>
                <w:color w:val="141F2D"/>
                <w:sz w:val="18"/>
              </w:rPr>
              <w:t>Lets authorized users upload and re-index documents without CLI access.</w:t>
            </w:r>
          </w:p>
        </w:tc>
        <w:tc>
          <w:tcPr>
            <w:tcW w:type="dxa" w:w="1600"/>
            <w:vAlign w:val="center"/>
            <w:tcMar>
              <w:top w:w="80" w:type="dxa"/>
              <w:start w:w="120" w:type="dxa"/>
              <w:bottom w:w="80" w:type="dxa"/>
              <w:end w:w="120" w:type="dxa"/>
            </w:tcMar>
          </w:tcPr>
          <w:p>
            <w:pPr>
              <w:spacing w:after="0" w:line="276" w:lineRule="auto"/>
            </w:pPr>
            <w:r>
              <w:rPr>
                <w:rFonts w:ascii="Calibri" w:hAnsi="Calibri"/>
                <w:color w:val="141F2D"/>
                <w:sz w:val="18"/>
              </w:rPr>
              <w:t>Medium</w:t>
            </w:r>
          </w:p>
        </w:tc>
      </w:tr>
      <w:tr>
        <w:tc>
          <w:tcPr>
            <w:tcW w:type="dxa" w:w="2500"/>
            <w:vAlign w:val="center"/>
            <w:tcMar>
              <w:top w:w="80" w:type="dxa"/>
              <w:start w:w="120" w:type="dxa"/>
              <w:bottom w:w="80" w:type="dxa"/>
              <w:end w:w="120" w:type="dxa"/>
            </w:tcMar>
          </w:tcPr>
          <w:p>
            <w:pPr>
              <w:spacing w:after="0" w:line="276" w:lineRule="auto"/>
            </w:pPr>
            <w:r>
              <w:rPr>
                <w:rFonts w:ascii="Calibri" w:hAnsi="Calibri"/>
                <w:color w:val="141F2D"/>
                <w:sz w:val="18"/>
              </w:rPr>
              <w:t>Source preview</w:t>
            </w:r>
          </w:p>
        </w:tc>
        <w:tc>
          <w:tcPr>
            <w:tcW w:type="dxa" w:w="5260"/>
            <w:vAlign w:val="center"/>
            <w:tcMar>
              <w:top w:w="80" w:type="dxa"/>
              <w:start w:w="120" w:type="dxa"/>
              <w:bottom w:w="80" w:type="dxa"/>
              <w:end w:w="120" w:type="dxa"/>
            </w:tcMar>
          </w:tcPr>
          <w:p>
            <w:pPr>
              <w:spacing w:after="0" w:line="276" w:lineRule="auto"/>
            </w:pPr>
            <w:r>
              <w:rPr>
                <w:rFonts w:ascii="Calibri" w:hAnsi="Calibri"/>
                <w:color w:val="141F2D"/>
                <w:sz w:val="18"/>
              </w:rPr>
              <w:t>Lets users inspect the exact retrieved snippets behind an answer.</w:t>
            </w:r>
          </w:p>
        </w:tc>
        <w:tc>
          <w:tcPr>
            <w:tcW w:type="dxa" w:w="1600"/>
            <w:vAlign w:val="center"/>
            <w:tcMar>
              <w:top w:w="80" w:type="dxa"/>
              <w:start w:w="120" w:type="dxa"/>
              <w:bottom w:w="80" w:type="dxa"/>
              <w:end w:w="120" w:type="dxa"/>
            </w:tcMar>
          </w:tcPr>
          <w:p>
            <w:pPr>
              <w:spacing w:after="0" w:line="276" w:lineRule="auto"/>
            </w:pPr>
            <w:r>
              <w:rPr>
                <w:rFonts w:ascii="Calibri" w:hAnsi="Calibri"/>
                <w:color w:val="141F2D"/>
                <w:sz w:val="18"/>
              </w:rPr>
              <w:t>Medium</w:t>
            </w:r>
          </w:p>
        </w:tc>
      </w:tr>
      <w:tr>
        <w:tc>
          <w:tcPr>
            <w:tcW w:type="dxa" w:w="2500"/>
            <w:vAlign w:val="center"/>
            <w:tcMar>
              <w:top w:w="80" w:type="dxa"/>
              <w:start w:w="120" w:type="dxa"/>
              <w:bottom w:w="80" w:type="dxa"/>
              <w:end w:w="120" w:type="dxa"/>
            </w:tcMar>
          </w:tcPr>
          <w:p>
            <w:pPr>
              <w:spacing w:after="0" w:line="276" w:lineRule="auto"/>
            </w:pPr>
            <w:r>
              <w:rPr>
                <w:rFonts w:ascii="Calibri" w:hAnsi="Calibri"/>
                <w:color w:val="141F2D"/>
                <w:sz w:val="18"/>
              </w:rPr>
              <w:t>Feedback buttons</w:t>
            </w:r>
          </w:p>
        </w:tc>
        <w:tc>
          <w:tcPr>
            <w:tcW w:type="dxa" w:w="5260"/>
            <w:vAlign w:val="center"/>
            <w:tcMar>
              <w:top w:w="80" w:type="dxa"/>
              <w:start w:w="120" w:type="dxa"/>
              <w:bottom w:w="80" w:type="dxa"/>
              <w:end w:w="120" w:type="dxa"/>
            </w:tcMar>
          </w:tcPr>
          <w:p>
            <w:pPr>
              <w:spacing w:after="0" w:line="276" w:lineRule="auto"/>
            </w:pPr>
            <w:r>
              <w:rPr>
                <w:rFonts w:ascii="Calibri" w:hAnsi="Calibri"/>
                <w:color w:val="141F2D"/>
                <w:sz w:val="18"/>
              </w:rPr>
              <w:t>Captures human quality signals for future eval datasets.</w:t>
            </w:r>
          </w:p>
        </w:tc>
        <w:tc>
          <w:tcPr>
            <w:tcW w:type="dxa" w:w="1600"/>
            <w:vAlign w:val="center"/>
            <w:tcMar>
              <w:top w:w="80" w:type="dxa"/>
              <w:start w:w="120" w:type="dxa"/>
              <w:bottom w:w="80" w:type="dxa"/>
              <w:end w:w="120" w:type="dxa"/>
            </w:tcMar>
          </w:tcPr>
          <w:p>
            <w:pPr>
              <w:spacing w:after="0" w:line="276" w:lineRule="auto"/>
            </w:pPr>
            <w:r>
              <w:rPr>
                <w:rFonts w:ascii="Calibri" w:hAnsi="Calibri"/>
                <w:color w:val="141F2D"/>
                <w:sz w:val="18"/>
              </w:rPr>
              <w:t>Medium</w:t>
            </w:r>
          </w:p>
        </w:tc>
      </w:tr>
      <w:tr>
        <w:tc>
          <w:tcPr>
            <w:tcW w:type="dxa" w:w="2500"/>
            <w:vAlign w:val="center"/>
            <w:tcMar>
              <w:top w:w="80" w:type="dxa"/>
              <w:start w:w="120" w:type="dxa"/>
              <w:bottom w:w="80" w:type="dxa"/>
              <w:end w:w="120" w:type="dxa"/>
            </w:tcMar>
          </w:tcPr>
          <w:p>
            <w:pPr>
              <w:spacing w:after="0" w:line="276" w:lineRule="auto"/>
            </w:pPr>
            <w:r>
              <w:rPr>
                <w:rFonts w:ascii="Calibri" w:hAnsi="Calibri"/>
                <w:color w:val="141F2D"/>
                <w:sz w:val="18"/>
              </w:rPr>
              <w:t>PII redaction</w:t>
            </w:r>
          </w:p>
        </w:tc>
        <w:tc>
          <w:tcPr>
            <w:tcW w:type="dxa" w:w="5260"/>
            <w:vAlign w:val="center"/>
            <w:tcMar>
              <w:top w:w="80" w:type="dxa"/>
              <w:start w:w="120" w:type="dxa"/>
              <w:bottom w:w="80" w:type="dxa"/>
              <w:end w:w="120" w:type="dxa"/>
            </w:tcMar>
          </w:tcPr>
          <w:p>
            <w:pPr>
              <w:spacing w:after="0" w:line="276" w:lineRule="auto"/>
            </w:pPr>
            <w:r>
              <w:rPr>
                <w:rFonts w:ascii="Calibri" w:hAnsi="Calibri"/>
                <w:color w:val="141F2D"/>
                <w:sz w:val="18"/>
              </w:rPr>
              <w:t>Reduces risk when indexing sensitive internal documents.</w:t>
            </w:r>
          </w:p>
        </w:tc>
        <w:tc>
          <w:tcPr>
            <w:tcW w:type="dxa" w:w="1600"/>
            <w:vAlign w:val="center"/>
            <w:tcMar>
              <w:top w:w="80" w:type="dxa"/>
              <w:start w:w="120" w:type="dxa"/>
              <w:bottom w:w="80" w:type="dxa"/>
              <w:end w:w="120" w:type="dxa"/>
            </w:tcMar>
          </w:tcPr>
          <w:p>
            <w:pPr>
              <w:spacing w:after="0" w:line="276" w:lineRule="auto"/>
            </w:pPr>
            <w:r>
              <w:rPr>
                <w:rFonts w:ascii="Calibri" w:hAnsi="Calibri"/>
                <w:color w:val="141F2D"/>
                <w:sz w:val="18"/>
              </w:rPr>
              <w:t>Medium</w:t>
            </w:r>
          </w:p>
        </w:tc>
      </w:tr>
      <w:tr>
        <w:tc>
          <w:tcPr>
            <w:tcW w:type="dxa" w:w="2500"/>
            <w:vAlign w:val="center"/>
            <w:tcMar>
              <w:top w:w="80" w:type="dxa"/>
              <w:start w:w="120" w:type="dxa"/>
              <w:bottom w:w="80" w:type="dxa"/>
              <w:end w:w="120" w:type="dxa"/>
            </w:tcMar>
          </w:tcPr>
          <w:p>
            <w:pPr>
              <w:spacing w:after="0" w:line="276" w:lineRule="auto"/>
            </w:pPr>
            <w:r>
              <w:rPr>
                <w:rFonts w:ascii="Calibri" w:hAnsi="Calibri"/>
                <w:color w:val="141F2D"/>
                <w:sz w:val="18"/>
              </w:rPr>
              <w:t>Cost dashboard</w:t>
            </w:r>
          </w:p>
        </w:tc>
        <w:tc>
          <w:tcPr>
            <w:tcW w:type="dxa" w:w="5260"/>
            <w:vAlign w:val="center"/>
            <w:tcMar>
              <w:top w:w="80" w:type="dxa"/>
              <w:start w:w="120" w:type="dxa"/>
              <w:bottom w:w="80" w:type="dxa"/>
              <w:end w:w="120" w:type="dxa"/>
            </w:tcMar>
          </w:tcPr>
          <w:p>
            <w:pPr>
              <w:spacing w:after="0" w:line="276" w:lineRule="auto"/>
            </w:pPr>
            <w:r>
              <w:rPr>
                <w:rFonts w:ascii="Calibri" w:hAnsi="Calibri"/>
                <w:color w:val="141F2D"/>
                <w:sz w:val="18"/>
              </w:rPr>
              <w:t>Tracks token spend, retrieval latency, and per-user query volume.</w:t>
            </w:r>
          </w:p>
        </w:tc>
        <w:tc>
          <w:tcPr>
            <w:tcW w:type="dxa" w:w="1600"/>
            <w:vAlign w:val="center"/>
            <w:tcMar>
              <w:top w:w="80" w:type="dxa"/>
              <w:start w:w="120" w:type="dxa"/>
              <w:bottom w:w="80" w:type="dxa"/>
              <w:end w:w="120" w:type="dxa"/>
            </w:tcMar>
          </w:tcPr>
          <w:p>
            <w:pPr>
              <w:spacing w:after="0" w:line="276" w:lineRule="auto"/>
            </w:pPr>
            <w:r>
              <w:rPr>
                <w:rFonts w:ascii="Calibri" w:hAnsi="Calibri"/>
                <w:color w:val="141F2D"/>
                <w:sz w:val="18"/>
              </w:rPr>
              <w:t>Low</w:t>
            </w:r>
          </w:p>
        </w:tc>
      </w:tr>
    </w:tbl>
    <w:p>
      <w:pPr>
        <w:spacing w:before="0" w:after="80" w:line="300" w:lineRule="auto"/>
      </w:pPr>
    </w:p>
    <w:p>
      <w:pPr>
        <w:pStyle w:val="Heading1"/>
        <w:keepNext/>
      </w:pPr>
      <w:r>
        <w:t>16. Final Summary</w:t>
      </w:r>
    </w:p>
    <w:p>
      <w:pPr>
        <w:spacing w:before="0" w:after="120" w:line="300" w:lineRule="auto"/>
      </w:pPr>
      <w:r>
        <w:rPr>
          <w:rFonts w:ascii="Calibri" w:hAnsi="Calibri"/>
          <w:b w:val="0"/>
          <w:i w:val="0"/>
        </w:rPr>
        <w:t>This project is a strong five-day MVP because it demonstrates the full production shape of an internal knowledge assistant: containerized services, AWS hosting path, secure secret management, agentic tool use, RAG, persistent context, observability, prompt versioning, evaluation, and stress testing. The scaffold is intentionally extensible: it can run locally with development settings, then move toward production by configuring AWS resources and live Azure OpenAI/Langfuse secrets.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color w:val="59636E"/>
        <w:sz w:val="17"/>
      </w:rPr>
      <w:t>Project explanation | FastAPI, Streamlit, LangChain, AWS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9636E"/>
        <w:sz w:val="18"/>
      </w:rPr>
      <w:t>Internal Company Knowledge Assistant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41F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