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pPr>
      <w:r>
        <w:rPr>
          <w:b/>
        </w:rPr>
        <w:t>ASSURED SHORTHOLD TENANCY AGREEMENT</w:t>
      </w:r>
    </w:p>
    <w:p>
      <w:r>
        <w:t>This residential lease is entered into on 20 December 2025 by the landlord, Harbour Lane Estates, and the tenant, Jordan Ellis. The premises covered by this agreement are Apartment 12, 7 Willow Arcade, Manchester M4 6HT. The tenancy starts on 15 January 2026 and ends on 14 January 2027. The tenant must pay monthly rent of GBP 1,475, due on the fifth calendar day of each month by standing order. The tenant must also pay a refundable security deposit of GBP 1,700 before collecting the keys.</w:t>
      </w:r>
    </w:p>
    <w:p>
      <w:r>
        <w:t>The tenant must keep the apartment reasonably clean, ventilate rooms to reduce condensation, notify the landlord promptly about repairs, avoid loud music or parties after 9:30 pm, and ensure that guests do not disturb neighbours. One small domestic cat is permitted, but any additional pet requires written consent. Guests may stay for up to seven consecutive nights without written permission. The tenant must not smoke inside the apartment, sublet any room, remove landlord furniture, or install satellite dishes or external equipment.</w:t>
      </w:r>
    </w:p>
    <w:p>
      <w:r>
        <w:t>The landlord must maintain the building structure, exterior doors, windows, heating system, water system, electrical system, and landlord-owned furniture. The landlord must arrange repairs after receiving notice and must provide at least forty eight hours notice before non-emergency access. Emergency access may occur without prior notice if needed to prevent harm or property damage. The tenant must give three months written notice before vacating at the end of the fixed term. An unusual clause states that the tenant must allow access twice per year for professional window safety inspections, and the landlord will schedule these inspections during normal business hours.</w:t>
      </w:r>
    </w:p>
    <w:p>
      <w:r>
        <w:t>The lease is for private residential use only. No part of the agreement should be treated as legal advice, and any changes to the tenancy must be written and signed by both the landlord and the tenant.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