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FB3B6">
      <w:pPr>
        <w:jc w:val="center"/>
        <w:rPr>
          <w:rFonts w:hint="default" w:asciiTheme="minorAscii" w:hAnsiTheme="minorAscii"/>
          <w:b/>
          <w:bCs/>
          <w:sz w:val="36"/>
          <w:szCs w:val="36"/>
          <w:lang w:val="pl-PL"/>
        </w:rPr>
      </w:pPr>
      <w:r>
        <w:rPr>
          <w:rFonts w:hint="default" w:asciiTheme="minorAscii" w:hAnsiTheme="minorAscii"/>
          <w:b/>
          <w:bCs/>
          <w:sz w:val="36"/>
          <w:szCs w:val="36"/>
          <w:lang w:val="pl-PL"/>
        </w:rPr>
        <w:t>Zaburzenia nawyków i impulsów (F63)</w:t>
      </w:r>
    </w:p>
    <w:p w14:paraId="47D5750E">
      <w:pPr>
        <w:rPr>
          <w:rFonts w:hint="default" w:asciiTheme="minorAscii" w:hAnsiTheme="minorAscii"/>
          <w:sz w:val="24"/>
          <w:szCs w:val="24"/>
          <w:lang w:val="pl-PL"/>
        </w:rPr>
      </w:pPr>
    </w:p>
    <w:p w14:paraId="0AC650F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Ogólna klasyfikacja zaburzeń</w:t>
      </w:r>
    </w:p>
    <w:p w14:paraId="4B2FA43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F63 </w:t>
      </w:r>
      <w:r>
        <w:rPr>
          <w:rFonts w:hint="default" w:asciiTheme="minorAscii" w:hAnsiTheme="minorAscii"/>
          <w:b/>
          <w:bCs/>
          <w:sz w:val="24"/>
          <w:szCs w:val="24"/>
          <w:lang w:val="pl-PL"/>
        </w:rPr>
        <w:t>-</w:t>
      </w:r>
      <w:r>
        <w:rPr>
          <w:rFonts w:hint="default" w:asciiTheme="minorAscii" w:hAnsiTheme="minorAscii"/>
          <w:b/>
          <w:bCs/>
          <w:sz w:val="24"/>
          <w:szCs w:val="24"/>
        </w:rPr>
        <w:t xml:space="preserve"> Zaburzenia nawyków i popędów (ICD-10):</w:t>
      </w:r>
      <w:r>
        <w:rPr>
          <w:rFonts w:hint="default" w:asciiTheme="minorAscii" w:hAnsiTheme="minorAscii"/>
          <w:sz w:val="24"/>
          <w:szCs w:val="24"/>
        </w:rPr>
        <w:t xml:space="preserve"> Kategoria ta obejmuje zaburzenia zachowania, które charakteryzują się powtarzającymi się działaniami bez jasnej, racjonalnej motywacji. Działania te nie mogą być kontrolowane i zazwyczaj szkodzą interesom pacjenta oraz innych ludzi. Pacjent określa te zachowania jako związane z popędem do działania.</w:t>
      </w:r>
    </w:p>
    <w:p w14:paraId="07B826B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ICD-11:</w:t>
      </w:r>
      <w:r>
        <w:rPr>
          <w:rFonts w:hint="default" w:asciiTheme="minorAscii" w:hAnsiTheme="minorAscii"/>
          <w:sz w:val="24"/>
          <w:szCs w:val="24"/>
        </w:rPr>
        <w:t xml:space="preserve"> W nowej klasyfikacji zaburzenia te zostały sklasyfikowane jako Zaburzenia kontroli impulsów. Wyjątkiem jest patologiczny hazard. W ICD-11 pojawiają się również kategorie 6C5 (Zaburzenia wynikające z zachowań uzależniających) oraz 6C7 (Zaburzenia kontroli impulsów).</w:t>
      </w:r>
    </w:p>
    <w:p w14:paraId="5290CC9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DSM-5:</w:t>
      </w:r>
      <w:r>
        <w:rPr>
          <w:rFonts w:hint="default" w:asciiTheme="minorAscii" w:hAnsiTheme="minorAscii"/>
          <w:sz w:val="24"/>
          <w:szCs w:val="24"/>
        </w:rPr>
        <w:t xml:space="preserve"> Zaburzenia te należą do grupy "Zaburzenia niszczycielskie, kontroli impulsów i zachowania".</w:t>
      </w:r>
    </w:p>
    <w:p w14:paraId="55C1955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Patologiczny Hazard (F63.0 / ICD-11: 6C50)</w:t>
      </w:r>
    </w:p>
    <w:p w14:paraId="1AD76A71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Należy do kategorii 6C5 w ICD-11 (Zaburzenia wynikające z zachowań uzależniających).</w:t>
      </w:r>
    </w:p>
    <w:p w14:paraId="0874AC83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Charakterystyka i objawy:</w:t>
      </w:r>
    </w:p>
    <w:p w14:paraId="475E64A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Jest to często powtarzające się uprawianie hazardu, które przeważa w życiu człowieka ze szkodą dla wartości i zobowiązań społecznych, zawodowych, materialnych i rodzinnych</w:t>
      </w:r>
      <w:r>
        <w:rPr>
          <w:rFonts w:hint="default" w:asciiTheme="minorAscii" w:hAnsiTheme="minorAscii"/>
          <w:sz w:val="24"/>
          <w:szCs w:val="24"/>
          <w:lang w:val="pl-PL"/>
        </w:rPr>
        <w:t>.</w:t>
      </w:r>
    </w:p>
    <w:p w14:paraId="1BF824E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Epizody grania nie przynoszą zysku, jednak są kontynuowane pomimo odczuwanego złego samopoczucia oraz zakłócenia jednostkowego funkcjonowania w codziennym życiu.</w:t>
      </w:r>
    </w:p>
    <w:p w14:paraId="00AE8F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Osoba jest pochłonięta myśleniem i wyobrażaniem sobie grania lub towarzyszących mu okoliczności.</w:t>
      </w:r>
    </w:p>
    <w:p w14:paraId="2F885A1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Pacjent opisuje intensywny, trudny do opanowania popęd do gier i wskazuje na niezdolność do zaprzestania gry wysiłkiem woli.</w:t>
      </w:r>
    </w:p>
    <w:p w14:paraId="21D44D5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Osoby te często podejmują liczne, nieudane próby kontrolowania lub ograniczenia zachowań hazardowych.</w:t>
      </w:r>
    </w:p>
    <w:p w14:paraId="7A746AC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Mogą z czasem zwiększać kwoty pieniędzy przeznaczanych na hazard, aby przekroczyć poprzedni poziom ekscytacji lub by uniknąć nudy.</w:t>
      </w:r>
    </w:p>
    <w:p w14:paraId="2A596F9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Zaburzeniu mogą towarzyszyć znaczne zakłócenia we śnie, diecie, ćwiczeniach i innych zachowaniach zdrowotnych.</w:t>
      </w:r>
    </w:p>
    <w:p w14:paraId="53E1CB7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Zachowania hazardowe mogą pojawić się w odpowiedzi na uczucie depresji, lęku, nudy, samotności lub innych negatywnych stanów afektywnych.</w:t>
      </w:r>
    </w:p>
    <w:p w14:paraId="2CFB3FC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Hazard może współwystępować z zaburzeniami wynikającymi z przyjmowania substancji psychoaktywnych (SPA), zaburzeniami lękowymi oraz zaburzeniami osobowości. Mogą występować myśli i próby samobójcze.</w:t>
      </w:r>
    </w:p>
    <w:p w14:paraId="38E8A380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Epidemiologia, biologia i przebieg:</w:t>
      </w:r>
    </w:p>
    <w:p w14:paraId="02C4DC9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Początek zaburzenia ma miejsce zwykle w okresie dojrzewania lub wczesnej dorosłości</w:t>
      </w:r>
      <w:r>
        <w:rPr>
          <w:rFonts w:hint="default" w:asciiTheme="minorAscii" w:hAnsiTheme="minorAscii"/>
          <w:sz w:val="24"/>
          <w:szCs w:val="24"/>
          <w:lang w:val="pl-PL"/>
        </w:rPr>
        <w:t>.</w:t>
      </w:r>
    </w:p>
    <w:p w14:paraId="2379B47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Wczesny początek jest powiązany z wyższym poziomem impulsywności.</w:t>
      </w:r>
    </w:p>
    <w:p w14:paraId="32510F6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 nastolatków problem ten jest bardziej rozpowszechniony niż u dorosłych</w:t>
      </w:r>
      <w:r>
        <w:rPr>
          <w:rFonts w:hint="default" w:asciiTheme="minorAscii" w:hAnsiTheme="minorAscii"/>
          <w:sz w:val="24"/>
          <w:szCs w:val="24"/>
          <w:lang w:val="pl-PL"/>
        </w:rPr>
        <w:t>.</w:t>
      </w:r>
    </w:p>
    <w:p w14:paraId="74BF52D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Zaburzenie występuje częściej u mężczyzn, z przewagą 2:1, a u nastolatków nawet 4:1</w:t>
      </w:r>
      <w:r>
        <w:rPr>
          <w:rFonts w:hint="default" w:asciiTheme="minorAscii" w:hAnsiTheme="minorAscii"/>
          <w:sz w:val="24"/>
          <w:szCs w:val="24"/>
          <w:lang w:val="pl-PL"/>
        </w:rPr>
        <w:t>.</w:t>
      </w:r>
    </w:p>
    <w:p w14:paraId="034CF0C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Przebieg jest zwykle bardziej długotrwały u mężczyzn. Wydaje się również, że mężczyźni częściej powracają do zdrowia bez interwencji niż kobiety.</w:t>
      </w:r>
    </w:p>
    <w:p w14:paraId="65C789B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U kobiet początek zaburzenia następuje zwykle później, ale przebiega ono szybciej.</w:t>
      </w:r>
    </w:p>
    <w:p w14:paraId="4F2F8F2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Rozpowszechnienie w ciągu życia wynosi między 0,2% a 0,6%.</w:t>
      </w:r>
    </w:p>
    <w:p w14:paraId="6C1039B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Zaburzenie to może wynikać z deficytu serotoniny lub noradrenaliny.</w:t>
      </w:r>
    </w:p>
    <w:p w14:paraId="33FBAC61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Fazy rozwoju hazardu patologicznego:</w:t>
      </w:r>
    </w:p>
    <w:p w14:paraId="35EB000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Faza zainteresowania hazardem:</w:t>
      </w:r>
      <w:r>
        <w:rPr>
          <w:rFonts w:hint="default" w:asciiTheme="minorAscii" w:hAnsiTheme="minorAscii"/>
          <w:sz w:val="24"/>
          <w:szCs w:val="24"/>
        </w:rPr>
        <w:t xml:space="preserve"> Dotyczy głównie dzieci i nastolatków. Jest to okres wyraźnego zainteresowania różnymi formami gier, który może trwać 10 lat i dłużej.</w:t>
      </w:r>
    </w:p>
    <w:p w14:paraId="1E26950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Faza zwycięstw:</w:t>
      </w:r>
      <w:r>
        <w:rPr>
          <w:rFonts w:hint="default" w:asciiTheme="minorAscii" w:hAnsiTheme="minorAscii"/>
          <w:sz w:val="24"/>
          <w:szCs w:val="24"/>
        </w:rPr>
        <w:t xml:space="preserve"> Obejmuje granie okazjonalne i fantazjowanie na temat dużych wygranych. Duże wygrane powodują coraz silniejsze pobudzenie, coraz częstsze zakłady i coraz większe stawki. Człowiek zaczyna wierzyć, że zawsze będzie wygrywał, a w przypadku "wielkiej wygranej" dąży do jej powtórzenia (nieuzasadniony optymizm), ryzykując coraz większe kwoty. Faza ta może trwać 3–5 lat.</w:t>
      </w:r>
    </w:p>
    <w:p w14:paraId="7FD0F41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Faza strat:</w:t>
      </w:r>
      <w:r>
        <w:rPr>
          <w:rFonts w:hint="default" w:asciiTheme="minorAscii" w:hAnsiTheme="minorAscii"/>
          <w:sz w:val="24"/>
          <w:szCs w:val="24"/>
        </w:rPr>
        <w:t xml:space="preserve"> Stawiając na wysokie zakłady, gracz naraża się na duże straty. Pojawiają się duże pożyczki i próby odgrywania się, a w przypadkach powodzenia wygrane idą na spłatę długów. Hazardzista gra kosztem pracy i domu, kłamie i zaczyna ukrywać uzależnienie. Unika wierzycieli i cały czas wierzy, że wkrótce nastąpi kolejna „wielka wygrana”.</w:t>
      </w:r>
    </w:p>
    <w:p w14:paraId="27C40DA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Faza desperacji:</w:t>
      </w:r>
      <w:r>
        <w:rPr>
          <w:rFonts w:hint="default" w:asciiTheme="minorAscii" w:hAnsiTheme="minorAscii"/>
          <w:sz w:val="24"/>
          <w:szCs w:val="24"/>
        </w:rPr>
        <w:t xml:space="preserve"> Separacja od rodziny i przyjaciół, utrata pracy i narastające długi powodują panikę. Presja wierzycieli popycha często ku przestępstwom. Te obciążenia prowadzą do psychicznego wyczerpania, pojawiają się wyrzuty sumienia, poczucie winy, bezradność i depresja.</w:t>
      </w:r>
    </w:p>
    <w:p w14:paraId="525F70D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Faza utraty nadziei:</w:t>
      </w:r>
      <w:r>
        <w:rPr>
          <w:rFonts w:hint="default" w:asciiTheme="minorAscii" w:hAnsiTheme="minorAscii"/>
          <w:sz w:val="24"/>
          <w:szCs w:val="24"/>
        </w:rPr>
        <w:t xml:space="preserve"> Dochodzi do rozpadu małżeństwa (rozwód), pojawia się poczucie beznadziejności, myśli i/lub próby samobójcze. Zostają wówczas 4 wyjścia: ucieczka w uzależnienie od alkoholu lub leków, więzienie, śmierć (samobójstwo lub z ręki wierzycieli) albo zwrócenie się po pomoc.</w:t>
      </w:r>
    </w:p>
    <w:p w14:paraId="408FD6E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Faza zdrowienia (odbudowy):</w:t>
      </w:r>
      <w:r>
        <w:rPr>
          <w:rFonts w:hint="default" w:asciiTheme="minorAscii" w:hAnsiTheme="minorAscii"/>
          <w:sz w:val="24"/>
          <w:szCs w:val="24"/>
        </w:rPr>
        <w:t xml:space="preserve"> Następuje pod warunkiem, że osoba uzależniona podejmie profesjonalną terapię lub rozpocznie realizację Programu 12 kroków Anonimowych Hazardzistów.</w:t>
      </w:r>
    </w:p>
    <w:p w14:paraId="46E25BF7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Leczenie hazardu:</w:t>
      </w:r>
    </w:p>
    <w:p w14:paraId="29901D0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Leczenie jest trudne, ponieważ większość osób (mniej niż 10%) nie przyznaje się, że ma problem.</w:t>
      </w:r>
    </w:p>
    <w:p w14:paraId="5424B50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Stosuje się terapię behawioralną, poznawczo-behawioralną oraz rodzinną</w:t>
      </w:r>
      <w:r>
        <w:rPr>
          <w:rFonts w:hint="default" w:asciiTheme="minorAscii" w:hAnsiTheme="minorAscii"/>
          <w:sz w:val="24"/>
          <w:szCs w:val="24"/>
          <w:lang w:val="pl-PL"/>
        </w:rPr>
        <w:t>.</w:t>
      </w:r>
    </w:p>
    <w:p w14:paraId="39BEF2C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Leki są stosowane w leczeniu zaburzeń towarzyszących, które są przyczyną hazardu kompulsywnego. Podejmowane są próby leczenia przy pomocy niektórych leków przeciwdepresyjnych.</w:t>
      </w:r>
    </w:p>
    <w:p w14:paraId="5E51E55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Wykorzystuje się grupy samopomocy.</w:t>
      </w:r>
    </w:p>
    <w:p w14:paraId="030F12C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 zależności od potrzeb i zasobów leczenie może być ambulatoryjne, stacjonarne lub domowe.</w:t>
      </w:r>
    </w:p>
    <w:p w14:paraId="5E050FE1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Program 12 Kroków Anonimowych Hazardzistów:</w:t>
      </w:r>
    </w:p>
    <w:p w14:paraId="1B2325F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1:</w:t>
      </w:r>
      <w:r>
        <w:rPr>
          <w:rFonts w:hint="default" w:asciiTheme="minorAscii" w:hAnsiTheme="minorAscii"/>
          <w:sz w:val="24"/>
          <w:szCs w:val="24"/>
        </w:rPr>
        <w:t xml:space="preserve"> Przyznaliśmy, że jesteśmy bezsilni wobec hazardu - że przestaliśmy kierować własnym życiem.</w:t>
      </w:r>
    </w:p>
    <w:p w14:paraId="62028EB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2:</w:t>
      </w:r>
      <w:r>
        <w:rPr>
          <w:rFonts w:hint="default" w:asciiTheme="minorAscii" w:hAnsiTheme="minorAscii"/>
          <w:sz w:val="24"/>
          <w:szCs w:val="24"/>
        </w:rPr>
        <w:t xml:space="preserve"> Uwierzyliśmy, że Siła większa od nas samych może przywrócić nam normalny sposób myślenia i życia.</w:t>
      </w:r>
    </w:p>
    <w:p w14:paraId="45E70D3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Krok 3: </w:t>
      </w:r>
      <w:r>
        <w:rPr>
          <w:rFonts w:hint="default" w:asciiTheme="minorAscii" w:hAnsiTheme="minorAscii"/>
          <w:sz w:val="24"/>
          <w:szCs w:val="24"/>
        </w:rPr>
        <w:t>Postanowiliśmy powierzyć naszą wolę i nasze życia opiece tej Siły, jakkolwiek ją pojmujemy.</w:t>
      </w:r>
    </w:p>
    <w:p w14:paraId="2AAAEBE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4:</w:t>
      </w:r>
      <w:r>
        <w:rPr>
          <w:rFonts w:hint="default" w:asciiTheme="minorAscii" w:hAnsiTheme="minorAscii"/>
          <w:sz w:val="24"/>
          <w:szCs w:val="24"/>
        </w:rPr>
        <w:t xml:space="preserve"> Zrobiliśmy gruntowny i odważny osobisty obrachunek moralny i finansowy.</w:t>
      </w:r>
    </w:p>
    <w:p w14:paraId="5F03884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5:</w:t>
      </w:r>
      <w:r>
        <w:rPr>
          <w:rFonts w:hint="default" w:asciiTheme="minorAscii" w:hAnsiTheme="minorAscii"/>
          <w:sz w:val="24"/>
          <w:szCs w:val="24"/>
        </w:rPr>
        <w:t xml:space="preserve"> Wyznaliśmy sobie i drugiemu człowiekowi istotę naszych błędów.</w:t>
      </w:r>
    </w:p>
    <w:p w14:paraId="60AFC46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6:</w:t>
      </w:r>
      <w:r>
        <w:rPr>
          <w:rFonts w:hint="default" w:asciiTheme="minorAscii" w:hAnsiTheme="minorAscii"/>
          <w:sz w:val="24"/>
          <w:szCs w:val="24"/>
        </w:rPr>
        <w:t xml:space="preserve"> Staliśmy się całkowicie gotowi aby uwolnić nas od tych wad charakteru.</w:t>
      </w:r>
    </w:p>
    <w:p w14:paraId="07B5C18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7:</w:t>
      </w:r>
      <w:r>
        <w:rPr>
          <w:rFonts w:hint="default" w:asciiTheme="minorAscii" w:hAnsiTheme="minorAscii"/>
          <w:sz w:val="24"/>
          <w:szCs w:val="24"/>
        </w:rPr>
        <w:t xml:space="preserve"> Pokornie prosiliśmy Boga (jakkolwiek go pojmujemy), aby usunął nasze braki.</w:t>
      </w:r>
    </w:p>
    <w:p w14:paraId="641D765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8:</w:t>
      </w:r>
      <w:r>
        <w:rPr>
          <w:rFonts w:hint="default" w:asciiTheme="minorAscii" w:hAnsiTheme="minorAscii"/>
          <w:sz w:val="24"/>
          <w:szCs w:val="24"/>
        </w:rPr>
        <w:t xml:space="preserve"> Zrobiliśmy listę wszystkich osób, które skrzywdziliśmy i staliśmy się gotowi zadośćuczynić im wszystkim.</w:t>
      </w:r>
    </w:p>
    <w:p w14:paraId="4B77B87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9:</w:t>
      </w:r>
      <w:r>
        <w:rPr>
          <w:rFonts w:hint="default" w:asciiTheme="minorAscii" w:hAnsiTheme="minorAscii"/>
          <w:sz w:val="24"/>
          <w:szCs w:val="24"/>
        </w:rPr>
        <w:t xml:space="preserve"> Zadośćuczyniliśmy osobiście tym ludziom, wobec których było to możliwe, z wyjątkiem tych przypadków, gdy zraniłoby to ich lub innych.</w:t>
      </w:r>
    </w:p>
    <w:p w14:paraId="0A3AC48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Krok 10: </w:t>
      </w:r>
      <w:r>
        <w:rPr>
          <w:rFonts w:hint="default" w:asciiTheme="minorAscii" w:hAnsiTheme="minorAscii"/>
          <w:sz w:val="24"/>
          <w:szCs w:val="24"/>
        </w:rPr>
        <w:t>Prowadziliśmy nadal osobisty obrachunek i jeśli byliśmy w błędzie, natychmiast przyznaliśmy się do tego.</w:t>
      </w:r>
    </w:p>
    <w:p w14:paraId="353598C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11:</w:t>
      </w:r>
      <w:r>
        <w:rPr>
          <w:rFonts w:hint="default" w:asciiTheme="minorAscii" w:hAnsiTheme="minorAscii"/>
          <w:sz w:val="24"/>
          <w:szCs w:val="24"/>
        </w:rPr>
        <w:t xml:space="preserve"> Szukaliśmy poprzez modlitwę i medytację lepszego, świadomego kontaktu z Bogiem, jakkolwiek go pojmujemy, modląc się jedynie o poznanie Jego woli wobec nas oraz siłę do jej spełnienia.</w:t>
      </w:r>
    </w:p>
    <w:p w14:paraId="5D65B8B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Krok 12:</w:t>
      </w:r>
      <w:r>
        <w:rPr>
          <w:rFonts w:hint="default" w:asciiTheme="minorAscii" w:hAnsiTheme="minorAscii"/>
          <w:sz w:val="24"/>
          <w:szCs w:val="24"/>
        </w:rPr>
        <w:t xml:space="preserve"> Włożywszy wysiłek w to, aby stosować te zasady we wszystkich naszych poczynaniach, staraliśmy się nieść posłanie innym nałogowym hazardzistom.</w:t>
      </w:r>
    </w:p>
    <w:p w14:paraId="3647C06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Theme="minorAscii" w:hAnsiTheme="minorAscii"/>
          <w:sz w:val="24"/>
          <w:szCs w:val="24"/>
        </w:rPr>
      </w:pPr>
    </w:p>
    <w:p w14:paraId="60D0D9C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Zaburzenia kontroli impulsów (ICD-11: 6C7)</w:t>
      </w:r>
    </w:p>
    <w:p w14:paraId="6EAD455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Są to powtarzające się działania, bez jasnej, racjonalnej motywacji, które nie mogą być kontrolowane i zazwyczaj szkodzą interesom pacjenta i innych ludzi.</w:t>
      </w:r>
    </w:p>
    <w:p w14:paraId="72C72F7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Charakteryzują się powtarzającym się niepowodzeniem w opieraniu się impulsowi, popędowi lub chęci wykonania działania, które jest dla danej osoby satysfakcjonujące, przynajmniej w krótkim okresie.</w:t>
      </w:r>
    </w:p>
    <w:p w14:paraId="341BC05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Działania te są kontynuowane mimo konsekwencji, takich jak długoterminowa szkoda dla danej osoby lub innych osób, wyraźny niepokój związany ze wzorem zachowania lub znaczące upośledzenie w życiu osobistym, rodzinnym, społecznym, edukacyjnym lub zawodowym.</w:t>
      </w:r>
    </w:p>
    <w:p w14:paraId="3CD13B7F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Podział w ICD-11:</w:t>
      </w:r>
    </w:p>
    <w:p w14:paraId="5CABC0F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6C70</w:t>
      </w:r>
      <w:r>
        <w:rPr>
          <w:rFonts w:hint="default" w:asciiTheme="minorAscii" w:hAnsiTheme="minorAscii"/>
          <w:sz w:val="24"/>
          <w:szCs w:val="24"/>
        </w:rPr>
        <w:t>: Piromania</w:t>
      </w:r>
    </w:p>
    <w:p w14:paraId="42EF708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6C71</w:t>
      </w:r>
      <w:r>
        <w:rPr>
          <w:rFonts w:hint="default" w:asciiTheme="minorAscii" w:hAnsiTheme="minorAscii"/>
          <w:sz w:val="24"/>
          <w:szCs w:val="24"/>
        </w:rPr>
        <w:t>: Kleptomania</w:t>
      </w:r>
    </w:p>
    <w:p w14:paraId="4AA3310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6C72</w:t>
      </w:r>
      <w:r>
        <w:rPr>
          <w:rFonts w:hint="default" w:asciiTheme="minorAscii" w:hAnsiTheme="minorAscii"/>
          <w:sz w:val="24"/>
          <w:szCs w:val="24"/>
        </w:rPr>
        <w:t>: Zaburzenia kompulsywnych zachowań seksualnych</w:t>
      </w:r>
    </w:p>
    <w:p w14:paraId="7707137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6C73</w:t>
      </w:r>
      <w:r>
        <w:rPr>
          <w:rFonts w:hint="default" w:asciiTheme="minorAscii" w:hAnsiTheme="minorAscii"/>
          <w:sz w:val="24"/>
          <w:szCs w:val="24"/>
        </w:rPr>
        <w:t>: Okresowe zaburz</w:t>
      </w:r>
      <w:bookmarkStart w:id="0" w:name="_GoBack"/>
      <w:bookmarkEnd w:id="0"/>
      <w:r>
        <w:rPr>
          <w:rFonts w:hint="default" w:asciiTheme="minorAscii" w:hAnsiTheme="minorAscii"/>
          <w:sz w:val="24"/>
          <w:szCs w:val="24"/>
        </w:rPr>
        <w:t>enia eksplozywne</w:t>
      </w:r>
    </w:p>
    <w:p w14:paraId="128D62A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6C7Y</w:t>
      </w:r>
      <w:r>
        <w:rPr>
          <w:rFonts w:hint="default" w:asciiTheme="minorAscii" w:hAnsiTheme="minorAscii"/>
          <w:sz w:val="24"/>
          <w:szCs w:val="24"/>
        </w:rPr>
        <w:t>: Inne określone zaburzenia kontroli impulsów</w:t>
      </w:r>
    </w:p>
    <w:p w14:paraId="266D127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6C7Z</w:t>
      </w:r>
      <w:r>
        <w:rPr>
          <w:rFonts w:hint="default" w:asciiTheme="minorAscii" w:hAnsiTheme="minorAscii"/>
          <w:sz w:val="24"/>
          <w:szCs w:val="24"/>
        </w:rPr>
        <w:t>: Zaburzenie kontroli impulsów, nieokreślone</w:t>
      </w:r>
    </w:p>
    <w:p w14:paraId="33C7ED3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Patologiczne podpalanie / Piromania (F63.1 / ICD-11: 6C70)</w:t>
      </w:r>
    </w:p>
    <w:p w14:paraId="7776BA13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Charakterystyka i objawy:</w:t>
      </w:r>
    </w:p>
    <w:p w14:paraId="37BCA21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Są to wielokrotne akty lub próby podpalenia mienia bądź przedmiotów przy braku zrozumiałego motywu, wynikające z niezdolności do kontrolowania silnych impulsów.</w:t>
      </w:r>
    </w:p>
    <w:p w14:paraId="77C375B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Przed przypadkami wzniecenia ognia występuje narastające poczucie napięcia i pobudzenia afektywnego.</w:t>
      </w:r>
    </w:p>
    <w:p w14:paraId="7B92FEA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Obserwuje się utrzymującą się fascynację oraz zaabsorbowanie ogniem i związanymi z nim bodźcami.</w:t>
      </w:r>
    </w:p>
    <w:p w14:paraId="788D506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 trakcie wzniecania ognia, obserwowania jego skutków bądź uczestnictwa w jego następstwach i bezpośrednio po nich pacjent odczuwa poczucie przyjemności, podniecenia, ulgi i zadowolenia.</w:t>
      </w:r>
    </w:p>
    <w:p w14:paraId="00691B3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Impuls do wzniecenia ognia może wiązać się z fazą planowania z towarzyszącym stopniowym wzrostem napięcia i wzbudzenia afektywnego.</w:t>
      </w:r>
    </w:p>
    <w:p w14:paraId="3F96367E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Epidemiologia i cechy towarzyszące:</w:t>
      </w:r>
    </w:p>
    <w:p w14:paraId="037C77B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Wiele osób z piromanią wykazuje upośledzenie umiejętności społecznych i ma problemy z nauką.</w:t>
      </w:r>
    </w:p>
    <w:p w14:paraId="28DA60C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Osoby cierpiące na piromanię, a szczególnie kobiety, częściej zgłaszają przypadki narażenia na traumę, nadużycia seksualne lub samookaleczenia.</w:t>
      </w:r>
    </w:p>
    <w:p w14:paraId="239D6CB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Zaburzenie to współwystępuje z wieloma innymi zaburzeniami psychicznymi.</w:t>
      </w:r>
    </w:p>
    <w:p w14:paraId="08BD507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Nie ustalono typowego wieku początku zaburzenia, jednak wydaje się, że w większości rozpoczyna się w wieku dojrzewania.</w:t>
      </w:r>
    </w:p>
    <w:p w14:paraId="0E2E90E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Należy różnicować to zaburzenie z naturalnym zainteresowaniem ogniem wśród dzieci.</w:t>
      </w:r>
    </w:p>
    <w:p w14:paraId="50241548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Diagnoza różnicowa:</w:t>
      </w:r>
      <w:r>
        <w:rPr>
          <w:rFonts w:hint="default" w:asciiTheme="minorAscii" w:hAnsiTheme="minorAscii"/>
          <w:sz w:val="28"/>
          <w:szCs w:val="28"/>
        </w:rPr>
        <w:t xml:space="preserve"> Piromanię należy różnicować z:</w:t>
      </w:r>
    </w:p>
    <w:p w14:paraId="4E3BFA6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ADHD (gdzie występuje impulsywność i lekceważenie konsekwencji w wielu kontekstach, ale brak jest cech charakterystycznych piromanii).</w:t>
      </w:r>
    </w:p>
    <w:p w14:paraId="73AC566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ChAD typu I (brak cech piromanii w okresie remisji choroby).</w:t>
      </w:r>
    </w:p>
    <w:p w14:paraId="0CF9768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Psychozami (podpalenie podyktowane pobudkami psychotycznymi).</w:t>
      </w:r>
    </w:p>
    <w:p w14:paraId="4086CC8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OCD (w którym kompulsje prawie nigdy nie są przyjemne i zwykle pojawiają się w odpowiedzi na niechciane, natrętne, wywołujące lęk obsesje).</w:t>
      </w:r>
    </w:p>
    <w:p w14:paraId="430DAD7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Antyspołecznym zaburzeniem osobowości.</w:t>
      </w:r>
    </w:p>
    <w:p w14:paraId="48DBC52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Nadużywaniem SPA (substancji psychoaktywnych).</w:t>
      </w:r>
    </w:p>
    <w:p w14:paraId="5796BCE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Zaburzeniami intelektu.</w:t>
      </w:r>
    </w:p>
    <w:p w14:paraId="65210765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Leczenie:</w:t>
      </w:r>
    </w:p>
    <w:p w14:paraId="50EF8FF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Nieleczona piromania zwykle jest zaburzeniem przewlekłym, dlatego ważne jest podjęcie terapii.</w:t>
      </w:r>
    </w:p>
    <w:p w14:paraId="1CF97A3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Nie ma określonego standardu leczenia.</w:t>
      </w:r>
    </w:p>
    <w:p w14:paraId="72CDA43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Większość danych wskazuje, że optymalnym rozwiązaniem jest połączenie farmakoterapii z psychoterapią poznawczo-behawioralną.</w:t>
      </w:r>
    </w:p>
    <w:p w14:paraId="45607AA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 przypadkach dotyczących dzieci wskazana jest wspólna terapia oraz edukacja rodziców.</w:t>
      </w:r>
    </w:p>
    <w:p w14:paraId="1D2891C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Patologiczne kradzieże / Kleptomania (F63.2 / ICD-11: 6C71)</w:t>
      </w:r>
    </w:p>
    <w:p w14:paraId="4837122A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Charakterystyka i objawy:</w:t>
      </w:r>
    </w:p>
    <w:p w14:paraId="1D941CE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Jest to powtarzająca się niezdolność do kontrolowania silnych impulsów do kradzieży przedmiotów, bez zrozumiałego motywu.</w:t>
      </w:r>
    </w:p>
    <w:p w14:paraId="4AC2A08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Podobnie jak w piromanii, przed przypadkami kradzieży występuje rosnące poczucie napięcia i pobudzenia afektywnego.</w:t>
      </w:r>
    </w:p>
    <w:p w14:paraId="4946B1B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 trakcie, jak i po dokonaniu kradzieży, występuje poczucie przyjemności, ulgi i zadowolenia.</w:t>
      </w:r>
    </w:p>
    <w:p w14:paraId="23E9314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Zachowania tego nie można lepiej wytłumaczyć innym zaburzeniem psychicznym.</w:t>
      </w:r>
    </w:p>
    <w:p w14:paraId="22BC567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Niekiedy w trakcie kradzieży obserwowana jest amnezja lub inne objawy dysocjacyjne, a osoby mogą mieć problemy z przypomnieniem sobie stanu emocjonalnego przed i bezpośrednio po dokonaniu czynu.</w:t>
      </w:r>
    </w:p>
    <w:p w14:paraId="2014D9B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Kradzież może być odpowiedzią na uczucie obniżonego nastroju, niepokoju, nudy, samotności lub innych negatywnych stanów afektywnych.</w:t>
      </w:r>
    </w:p>
    <w:p w14:paraId="318E84D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Częstość występowania zaburzeń psychicznych u osób z kleptomanią jest wyższa niż w populacji ogólnej.</w:t>
      </w:r>
    </w:p>
    <w:p w14:paraId="31DE8D73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Epidemiologia:</w:t>
      </w:r>
    </w:p>
    <w:p w14:paraId="1A84F64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Początek może nastąpić w dowolnym momencie życia, chociaż najczęściej ma to miejsce w późnym okresie dojrzewania.</w:t>
      </w:r>
    </w:p>
    <w:p w14:paraId="25D87FF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Znacznie częściej występuje u kobiet i często współwystępuje z zaburzeniami odżywiania.</w:t>
      </w:r>
    </w:p>
    <w:p w14:paraId="5950713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Nie obserwuje się różnic między płciami w obrazie klinicznym i nasileniu objawów.</w:t>
      </w:r>
    </w:p>
    <w:p w14:paraId="18C89FD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Dotyczy około 0,6% populacji.</w:t>
      </w:r>
    </w:p>
    <w:p w14:paraId="7EB84DA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Szacuje się, że kleptomania odpowiada za około 5% kradzieży sklepowych.</w:t>
      </w:r>
    </w:p>
    <w:p w14:paraId="67CE2218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Diagnoza różnicowa:</w:t>
      </w:r>
      <w:r>
        <w:rPr>
          <w:rFonts w:hint="default" w:asciiTheme="minorAscii" w:hAnsiTheme="minorAscii"/>
          <w:sz w:val="28"/>
          <w:szCs w:val="28"/>
        </w:rPr>
        <w:t xml:space="preserve"> Kleptomanię należy różnicować z:</w:t>
      </w:r>
    </w:p>
    <w:p w14:paraId="51796BD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ADHD (impulsywność i lekceważenie konsekwencji w wielu kontekstach, brak cech charakterystycznych piromanii/kleptomanii).</w:t>
      </w:r>
    </w:p>
    <w:p w14:paraId="3DD368E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ChAD typu I (brak cech kleptomanii w okresie remisji choroby).</w:t>
      </w:r>
    </w:p>
    <w:p w14:paraId="5795DF7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Psychozami (kradzież podyktowana pobudkami psychotycznymi).</w:t>
      </w:r>
    </w:p>
    <w:p w14:paraId="019B934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Zbieractwem.</w:t>
      </w:r>
    </w:p>
    <w:p w14:paraId="292CA24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Osoby uzależnione mogą dokonywać kradzieży pod wpływem substancji, lub w celu zdobycia substancji czy środków na jej zakup.</w:t>
      </w:r>
    </w:p>
    <w:p w14:paraId="4E5A644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Osoby z otępieniem lub wtórną do choroby zmianą osobowości mogą dokonywać kradzieży jako część bardziej ogólnego wzorca zahamowania kontroli impulsów.</w:t>
      </w:r>
    </w:p>
    <w:p w14:paraId="32B0775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Trichotillomania (F63.3)</w:t>
      </w:r>
    </w:p>
    <w:p w14:paraId="78470102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Charakterystyka i klasyfikacja:</w:t>
      </w:r>
    </w:p>
    <w:p w14:paraId="3C04E86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Jest to powtarzające się wyrywanie włosów, któremu towarzyszą nieudane próby ograniczenia lub zaprzestania tego zachowania.</w:t>
      </w:r>
    </w:p>
    <w:p w14:paraId="11DF411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Objawy powodują znaczny d</w:t>
      </w:r>
      <w:r>
        <w:rPr>
          <w:rFonts w:hint="default" w:asciiTheme="minorAscii" w:hAnsiTheme="minorAscii"/>
          <w:sz w:val="24"/>
          <w:szCs w:val="24"/>
          <w:lang w:val="pl-PL"/>
        </w:rPr>
        <w:t>y</w:t>
      </w:r>
      <w:r>
        <w:rPr>
          <w:rFonts w:hint="default" w:asciiTheme="minorAscii" w:hAnsiTheme="minorAscii"/>
          <w:sz w:val="24"/>
          <w:szCs w:val="24"/>
        </w:rPr>
        <w:t>stres lub znaczne upośledzenie funkcjonowania w życiu</w:t>
      </w:r>
      <w:r>
        <w:rPr>
          <w:rFonts w:hint="default" w:asciiTheme="minorAscii" w:hAnsiTheme="minorAscii"/>
          <w:sz w:val="24"/>
          <w:szCs w:val="24"/>
          <w:lang w:val="pl-PL"/>
        </w:rPr>
        <w:t>.</w:t>
      </w:r>
    </w:p>
    <w:p w14:paraId="0D586C8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Do tej pory była sklasyfikowana jako zaburzenie nawyków i popędów, natomiast w klasyfikacji ICD-11 została włączona do grupy zaburzeń związanych z OCD.</w:t>
      </w:r>
    </w:p>
    <w:p w14:paraId="5F61AE7C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Powikłania:</w:t>
      </w:r>
    </w:p>
    <w:p w14:paraId="3A3C293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Może być połączona z trychofagią (zjadaniem włosów).</w:t>
      </w:r>
    </w:p>
    <w:p w14:paraId="017BF4D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Trychofagia z kolei może prowadzić do powstania trichobezoaru (kuli włosowej).</w:t>
      </w:r>
    </w:p>
    <w:p w14:paraId="02FEE0E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 z kolei może prowadzić do niedokrwistości, bólów brzucha, krwawych wymiotów, nudności, niedrożności, a nawet perforacji jelit.</w:t>
      </w:r>
    </w:p>
    <w:p w14:paraId="61F86F8E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Epidemiologia:</w:t>
      </w:r>
    </w:p>
    <w:p w14:paraId="199E1FE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Rozpowszechnienie wśród dorosłych i młodzieży wynosi 1-2%.</w:t>
      </w:r>
    </w:p>
    <w:p w14:paraId="7AC924F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Występuje znacznie częściej u kobiet niż u mężczyzn (stosunek 10:1).</w:t>
      </w:r>
    </w:p>
    <w:p w14:paraId="15D5C12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 okresie dzieciństwa rozpowszechnienie jest podobne u obu płci.</w:t>
      </w:r>
    </w:p>
    <w:p w14:paraId="0DEB73A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Zaburzenia związane z kompulsywnymi zachowaniami seksualnymi (ICD-11: 6C72)</w:t>
      </w:r>
    </w:p>
    <w:p w14:paraId="7C8CA23E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Charakterystyka:</w:t>
      </w:r>
    </w:p>
    <w:p w14:paraId="10633DE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Jest to uporczywy wzorzec niepowodzenia w kontrolowaniu intensywnych, powtarzających się impulsów seksualnych lub popędów, co skutkuje powtarzającymi się zachowaniami seksualnymi.</w:t>
      </w:r>
    </w:p>
    <w:p w14:paraId="39FD773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Czynności seksualne stają się centralnym punktem życia danej osoby, przez co zaniedbuje ona zdrowie i opiekę osobistą, inne zainteresowania oraz obowiązki.</w:t>
      </w:r>
    </w:p>
    <w:p w14:paraId="217EAAA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Osoba kontynuuje zachowania pomimo widocznych negatywnych konsekwencji lub niewielkiej satysfakcji.</w:t>
      </w:r>
    </w:p>
    <w:p w14:paraId="5442902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Wzorzec ten utrzymuje się przez co najmniej 6 miesięcy.</w:t>
      </w:r>
    </w:p>
    <w:p w14:paraId="729F636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Zachowania mogą obejmować: kontakty seksualne z innymi osobami, masturbację, korzystanie z pornografii, cyberseks, seks przez telefon i inne.</w:t>
      </w:r>
    </w:p>
    <w:p w14:paraId="697B2015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Diagnoza:</w:t>
      </w:r>
    </w:p>
    <w:p w14:paraId="6A8B843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Należy różnicować ten stan z szeroko pojętą normą. Istotnymi kryteriami diagnostycznymi są brak kontroli nad tymi zachowaniami oraz wyraźny dystres z tym związany.</w:t>
      </w:r>
    </w:p>
    <w:p w14:paraId="19A26C0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Zaburzenie to nie powinno być przypisywane nastolatkom z wysokim poziomem zainteresowania seksualnego i masturbacji, nawet gdy wiąże się to z dystresem.</w:t>
      </w:r>
    </w:p>
    <w:p w14:paraId="67DAFC7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Należy uważać w sytuacjach, gdy dystres wynika z dezaprobaty społecznej lub oceny moralnej.</w:t>
      </w:r>
    </w:p>
    <w:p w14:paraId="2AF209E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Diagnoza jest stawiana częściej u mężczyzn. U kobiet częściej niż u mężczyzn zaburzenie to może być powiązane z historią wykorzystywania seksualnego w dzieciństwie.</w:t>
      </w:r>
    </w:p>
    <w:p w14:paraId="59DFD8C8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Leczenie:</w:t>
      </w:r>
    </w:p>
    <w:p w14:paraId="464716A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Brakuje systematycznych badań z grupami kontrolnymi.</w:t>
      </w:r>
    </w:p>
    <w:p w14:paraId="0A9291B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Istnieje potencjalna skuteczność farmakoterapii w postaci SSRI i naltreksonu.</w:t>
      </w:r>
    </w:p>
    <w:p w14:paraId="4282CF8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Stosuje się psychoterapię poznawczo-behawioralną.</w:t>
      </w:r>
    </w:p>
    <w:p w14:paraId="7AA6CA0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asciiTheme="minorAscii" w:hAnsiTheme="minorAscii"/>
          <w:sz w:val="24"/>
          <w:szCs w:val="24"/>
        </w:rPr>
        <w:t>Wykorzystywana jest metoda 12 kroków.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F4B23"/>
    <w:multiLevelType w:val="singleLevel"/>
    <w:tmpl w:val="9DBF4B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1">
    <w:nsid w:val="EDFCBB7A"/>
    <w:multiLevelType w:val="singleLevel"/>
    <w:tmpl w:val="EDFCBB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FD4F3703"/>
    <w:multiLevelType w:val="singleLevel"/>
    <w:tmpl w:val="FD4F37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A66E1"/>
    <w:rsid w:val="2BEB5283"/>
    <w:rsid w:val="2BF8FD37"/>
    <w:rsid w:val="7DBA66E1"/>
    <w:rsid w:val="FEFB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2026-06-01T22:59:00Z</dcterms:created>
  <dc:creator>Ala Wiącek</dc:creator>
  <cp:lastModifiedBy>Ala Wiącek</cp:lastModifiedBy>
  <dcterms:modified xsi:type="dcterms:W3CDTF">2026-06-02T15:58:36Z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970BA3405559F3B1ADF21D6A4E983317_41</vt:lpwstr>
  </property>
</Properties>
</file>