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DEADC">
      <w:pPr>
        <w:jc w:val="center"/>
        <w:rPr>
          <w:rFonts w:hint="default" w:asciiTheme="minorAscii" w:hAnsiTheme="minorAscii"/>
          <w:b/>
          <w:bCs/>
          <w:sz w:val="36"/>
          <w:szCs w:val="36"/>
          <w:lang w:val="pl-PL"/>
        </w:rPr>
      </w:pPr>
      <w:r>
        <w:rPr>
          <w:rFonts w:hint="default" w:asciiTheme="minorAscii" w:hAnsiTheme="minorAscii"/>
          <w:b/>
          <w:bCs/>
          <w:sz w:val="36"/>
          <w:szCs w:val="36"/>
          <w:lang w:val="pl-PL"/>
        </w:rPr>
        <w:t>Całościowe zaburzenia rozwoju</w:t>
      </w:r>
    </w:p>
    <w:p w14:paraId="4EE1E4F1">
      <w:pPr>
        <w:rPr>
          <w:rFonts w:hint="default" w:asciiTheme="minorAscii" w:hAnsiTheme="minorAscii"/>
          <w:sz w:val="24"/>
          <w:szCs w:val="24"/>
          <w:lang w:val="pl-PL"/>
        </w:rPr>
      </w:pPr>
    </w:p>
    <w:p w14:paraId="361E476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Klasyfikacja ICD-10 (F84)</w:t>
      </w:r>
    </w:p>
    <w:p w14:paraId="657223B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W klasyfikacji ICD-10 całościowe zaburzenia rozwojowe to odrębna grupa obejmująca sztywne, rozłączne kategorie, często trudne do jednoznacznego rozróżnienia. Zalicza się do nich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: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</w:p>
    <w:p w14:paraId="14B0BD8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F84.0 Autyzm dziecięcy, </w:t>
      </w:r>
    </w:p>
    <w:p w14:paraId="38B9A6A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F84.1 Autyzm atypowy, </w:t>
      </w:r>
    </w:p>
    <w:p w14:paraId="3545D80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F84.2 Zespół Retta, </w:t>
      </w:r>
    </w:p>
    <w:p w14:paraId="319A113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F84.3 Inne dziecięce zaburzenia dezintegracyjne, </w:t>
      </w:r>
    </w:p>
    <w:p w14:paraId="0667571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F84.4 Zaburzenie hiperkinetyczne z upośledzeniem i ruchami stereotypowymi, </w:t>
      </w:r>
    </w:p>
    <w:p w14:paraId="7C13A1D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F84.5 Zespół Aspergera, </w:t>
      </w:r>
    </w:p>
    <w:p w14:paraId="3A867BA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F84.8 Inne głębokie zaburzenia rozwojowe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,</w:t>
      </w:r>
    </w:p>
    <w:p w14:paraId="088CD2E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F84.9 Dziecięce zaburzenia funkcjonowania społecznego.</w:t>
      </w:r>
    </w:p>
    <w:p w14:paraId="234AC45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4"/>
          <w:szCs w:val="24"/>
        </w:rPr>
      </w:pPr>
    </w:p>
    <w:p w14:paraId="0DE7DBD4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Autyzm dziecięcy</w:t>
      </w:r>
    </w:p>
    <w:p w14:paraId="663CC2E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Jest to złożone zaburzenie rozwoju i funkcjonowania ośrodkowego układu nerwowego, cechujące się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:</w:t>
      </w:r>
    </w:p>
    <w:p w14:paraId="78B06FD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zakłóceniami w komunikacji uczuć, relacji, </w:t>
      </w:r>
    </w:p>
    <w:p w14:paraId="6413D42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zubożeniem zachowań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,</w:t>
      </w:r>
    </w:p>
    <w:p w14:paraId="44E98E3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trudnościami z integracją sensoryczną. </w:t>
      </w:r>
    </w:p>
    <w:p w14:paraId="7A3298C2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8" w:lineRule="atLeast"/>
        <w:ind w:leftChars="0" w:right="0" w:rightChars="0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Pierwsze symptomy obserwuje się w okresie niemowlęcym. Przyczyną nie są szczepienia (badania o powiązaniu z MMR zostały wycofane przez błędy, a tiomersal nie powoduje autyzmu). Czynniki ryzyka obejmują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: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</w:p>
    <w:p w14:paraId="64AC79C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genetykę, </w:t>
      </w:r>
    </w:p>
    <w:p w14:paraId="38B2ABC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czynniki prenatalne (wiek rodziców, zaburzenia metaboliczne, ekspozycja na leki i pestycydy)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,</w:t>
      </w:r>
    </w:p>
    <w:p w14:paraId="2C7BF6F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8" w:lineRule="atLeast"/>
        <w:ind w:left="42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 xml:space="preserve">Czynniki 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okołoporodowe (wcześniactwo, mała waga). </w:t>
      </w:r>
    </w:p>
    <w:p w14:paraId="5030CCC7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8" w:lineRule="atLeast"/>
        <w:ind w:leftChars="0" w:right="0" w:right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Leczenie to terapia behawioralna, farmakoterapia, rehabilitacja i edukacja.</w:t>
      </w:r>
    </w:p>
    <w:p w14:paraId="529E81E6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4"/>
          <w:szCs w:val="24"/>
        </w:rPr>
      </w:pPr>
    </w:p>
    <w:p w14:paraId="1BF35D9C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Objawy Autyzmu wg wieku</w:t>
      </w:r>
    </w:p>
    <w:p w14:paraId="57248C3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W niemowlęctwie brakuje uśmiechu, kontaktu wzrokowego, reakcji na imię i zabaw imitacyjnych.</w:t>
      </w:r>
    </w:p>
    <w:p w14:paraId="1687B27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Poniżej 3 lat występują dziwne reakcje na dźwięki, stereotypie i brak komunikacji niewerbalnej.</w:t>
      </w:r>
    </w:p>
    <w:p w14:paraId="4FFCAFB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W wieku przedszkolnym pojawia się brak empatii, fiksacje, sztywny repertuar zachowań i echolalia.</w:t>
      </w:r>
    </w:p>
    <w:p w14:paraId="232693F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28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U dzieci starszych utrzymuje się agramatyzm, uboga mimika i deficyty empatii, a w wieku szkolnym dochodzi ścisłe przestrzeganie regulaminów, sztywność społeczna oraz trudności w rozmowie, mimo częstego postępu w rozwoju.</w:t>
      </w:r>
    </w:p>
    <w:p w14:paraId="2B2E283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4"/>
          <w:szCs w:val="24"/>
        </w:rPr>
      </w:pPr>
    </w:p>
    <w:p w14:paraId="067B42BE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Autyzm atypowy</w:t>
      </w:r>
    </w:p>
    <w:p w14:paraId="29F4DEA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Diagnozowany u dzieci starszych (od 3 r.ż.), z zaburzonym odbiorem wrażeń, trudnościami w komunikacji i relacjach. Zazwyczaj towarzyszy innym chorobom i utrzymuje się całe życie.</w:t>
      </w:r>
    </w:p>
    <w:p w14:paraId="074FFD9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4"/>
          <w:szCs w:val="24"/>
        </w:rPr>
      </w:pPr>
    </w:p>
    <w:p w14:paraId="6F537950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Zespół Aspergera</w:t>
      </w:r>
    </w:p>
    <w:p w14:paraId="124557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Łagodne zaburzenie ze spektrum z objawami trudności w relacjach. Wg ICD-10 wymaga jakościowych zaburzeń interakcji, powtarzalnych wzorców zachowań, przy braku opóźnień w rozwoju mowy czy procesach poznawczych.</w:t>
      </w:r>
    </w:p>
    <w:p w14:paraId="0F5F349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4"/>
          <w:szCs w:val="24"/>
        </w:rPr>
      </w:pPr>
    </w:p>
    <w:p w14:paraId="232A4F99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Zespół Retta i Zespół Hellera</w:t>
      </w:r>
    </w:p>
    <w:p w14:paraId="6493738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Zespół Retta to genetyczne zaburzenie neurologiczne u kobiet (dyspraksja, utrata mowy i sprawności manualnej po 6-18 miesiącach normy, padaczka i skrzywienia kręgosłupa). </w:t>
      </w:r>
    </w:p>
    <w:p w14:paraId="56C89D0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Zespół Hellera zaczyna się po 3 r.ż. nagłą utratą zdolności ruchowych, językowych i społecznych (często przypomina autyzm, jest nieuleczalne).</w:t>
      </w:r>
    </w:p>
    <w:p w14:paraId="151B279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4"/>
          <w:szCs w:val="24"/>
        </w:rPr>
      </w:pPr>
    </w:p>
    <w:p w14:paraId="1844349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Zmiany w ICD-11</w:t>
      </w:r>
    </w:p>
    <w:p w14:paraId="526E433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Zlikwidowano pojęcie "całościowe zaburzenia rozwojowe", zastępując je "</w:t>
      </w:r>
      <w:r>
        <w:rPr>
          <w:rFonts w:hint="default" w:eastAsia="Google Sans Text" w:cs="Google Sans Text" w:asciiTheme="minorAscii" w:hAnsiTheme="min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Spektrum autyzmu (ASD) - kod HA60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". </w:t>
      </w:r>
    </w:p>
    <w:p w14:paraId="6F134BA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W jedno spektrum połączono autyzm dziecięcy, atypowy i zespół Aspergera, różnicując je specyfikatorami (rozwój intelektu i języka). </w:t>
      </w:r>
    </w:p>
    <w:p w14:paraId="6F2396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Zespół Retta został przeniesiony do chorób neurologicznych, a zespół Hellera zintegrowany z ASD. </w:t>
      </w:r>
    </w:p>
    <w:p w14:paraId="60E16FC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Theme="minorAscii" w:hAnsiTheme="minorAscii"/>
          <w:sz w:val="24"/>
          <w:szCs w:val="24"/>
        </w:rPr>
      </w:pPr>
      <w:bookmarkStart w:id="0" w:name="_GoBack"/>
      <w:bookmarkEnd w:id="0"/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Diagnozę stawia zespół specjalistów, wspomagając się testami (np. ADOS-2, ADI-R, CARS-2, AQ).</w:t>
      </w:r>
    </w:p>
    <w:p w14:paraId="4CC29C9E">
      <w:pPr>
        <w:rPr>
          <w:rFonts w:hint="default" w:asciiTheme="minorAscii" w:hAnsiTheme="minorAscii"/>
          <w:sz w:val="24"/>
          <w:szCs w:val="24"/>
          <w:lang w:val="pl-P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AD6"/>
    <w:multiLevelType w:val="singleLevel"/>
    <w:tmpl w:val="FFFFFA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6C6C73D4"/>
    <w:multiLevelType w:val="singleLevel"/>
    <w:tmpl w:val="6C6C73D4"/>
    <w:lvl w:ilvl="0" w:tentative="0">
      <w:start w:val="1"/>
      <w:numFmt w:val="bullet"/>
      <w:lvlText w:val="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FDFB2"/>
    <w:rsid w:val="3EBFD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2026-05-30T17:28:00Z</dcterms:created>
  <dc:creator>Ala Wiącek</dc:creator>
  <cp:lastModifiedBy>Ala Wiącek</cp:lastModifiedBy>
  <dcterms:modified xsi:type="dcterms:W3CDTF">2026-05-30T21:39:26Z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D9A2947BFEC8E97D19021B6AD35ADA77_41</vt:lpwstr>
  </property>
</Properties>
</file>