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BD1F2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eastAsia="sans-serif" w:cs="sans-serif" w:asciiTheme="minorAscii" w:hAnsiTheme="minorAscii"/>
          <w:sz w:val="36"/>
          <w:szCs w:val="36"/>
          <w:lang w:val="pl-PL"/>
        </w:rPr>
      </w:pPr>
      <w:bookmarkStart w:id="0" w:name="_GoBack"/>
      <w:bookmarkEnd w:id="0"/>
      <w:r>
        <w:rPr>
          <w:rFonts w:hint="default" w:eastAsia="sans-serif" w:cs="sans-serif" w:asciiTheme="minorAscii" w:hAnsiTheme="minorAscii"/>
          <w:sz w:val="36"/>
          <w:szCs w:val="36"/>
          <w:lang w:val="pl-PL"/>
        </w:rPr>
        <w:t>Psychozy z kręgu schizofrenii i nieschizofreniczne</w:t>
      </w:r>
    </w:p>
    <w:p w14:paraId="7312C5A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Podstawowe Pojęcia i Podział Zaburzeń</w:t>
      </w:r>
    </w:p>
    <w:p w14:paraId="56997EB6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Według klasyfikacji ICD-10 zaburzenie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psychotyczne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to takie, w którym występują omamy, urojenia lub niektóre inne nieprawidłowości zachowania (znaczne pobudzenie, podwyższona aktywność, wyraźne spowolnienie ruchowe lub zachowania katatoniczne). </w:t>
      </w:r>
    </w:p>
    <w:p w14:paraId="20154DB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Podział zaburzeń psychicznych:</w:t>
      </w:r>
    </w:p>
    <w:p w14:paraId="045F263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psychotyczne: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Schizofrenia, Zaburzenia schizoafektywne, Uporczywe zaburzenia urojeniowe, Ostre i przemijające zaburzenia psychotyczne, Indukowane zaburzenie urojeniowe, Ciężkie epizody manii i depresji (także z objawami psychotycznymi).</w:t>
      </w:r>
    </w:p>
    <w:p w14:paraId="360A149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niepsychotyczne: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Zaburzenia lękowe (tzw. nerwice), Zaburzenia osobowości, Uzależnienia od substancji, Zaburzenia adaptacyjne, Zaburzenia psychosomatyczne. </w:t>
      </w:r>
    </w:p>
    <w:p w14:paraId="6C0B0A81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Podział psychoz ze względu na etiologię:</w:t>
      </w:r>
    </w:p>
    <w:p w14:paraId="429A300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Endogenne: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Etiologia nieustalona, związana prawdopodobnie z występowaniem wrodzonych defektów czynności ośrodkowego układu nerwowego pochodzenia metabolicznego.</w:t>
      </w:r>
    </w:p>
    <w:p w14:paraId="4A83485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Egzogenne: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Etiologia jest związana z wpływem czynników egzogennych, czyli zewnętrznych. </w:t>
      </w:r>
    </w:p>
    <w:p w14:paraId="581E8B3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SCHIZOFRENIA (F20)</w:t>
      </w:r>
    </w:p>
    <w:p w14:paraId="6B3B01A0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  <w:lang w:val="pl-PL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Dane Demograficzne i Występowani</w:t>
      </w:r>
      <w:r>
        <w:rPr>
          <w:rFonts w:hint="default" w:eastAsia="sans-serif" w:cs="sans-serif" w:asciiTheme="minorAscii" w:hAnsiTheme="minorAscii"/>
          <w:sz w:val="28"/>
          <w:szCs w:val="28"/>
          <w:lang w:val="pl-PL"/>
        </w:rPr>
        <w:t>e</w:t>
      </w:r>
    </w:p>
    <w:p w14:paraId="653D691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Występowanie w populacji ogólnej wynosi 1-1,5%.</w:t>
      </w:r>
    </w:p>
    <w:p w14:paraId="4ADD727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Zapadalność na chorobę jest jednakowa u mężczyzn i kobiet.</w:t>
      </w:r>
    </w:p>
    <w:p w14:paraId="559BFC1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Mężczyźni: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Wcześniejszy początek choroby (18-25 r.ż.) oraz wyższe prawdopodobieństwo wystąpienia objawów negatywnych.</w:t>
      </w:r>
    </w:p>
    <w:p w14:paraId="0169CC4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Kobiety: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Późniejszy wiek zachorowania (26-45 r.ż.), łagodniejszy przebieg schizofrenii oraz tendencja do lepszego funkcjonowania społecznego. </w:t>
      </w:r>
    </w:p>
    <w:p w14:paraId="46408319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Etiologia</w:t>
      </w:r>
    </w:p>
    <w:p w14:paraId="6B5A7E59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Schizofrenia to grupa zaburzeń o niejednorodnej etiologii. Prawdopodobnie ma różne przyczyny przy podobnych objawach klinicznych i jest trudny do wskazania jeden czynnik etiologiczny u wszystkich pacjentów.</w:t>
      </w:r>
    </w:p>
    <w:p w14:paraId="6DC194C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genetyczne: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Mechanizmy nie są do dziś wyjaśnione, ale choroba występuje rodzinnie, a ryzyko rośnie wraz ze stopniem pokrewieństwa. </w:t>
      </w:r>
    </w:p>
    <w:p w14:paraId="318B99B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Jedno z rodziców chore: 10% ryzyka.</w:t>
      </w:r>
    </w:p>
    <w:p w14:paraId="189B538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Bliźnięta dwuzygotyczne: 20% ryzyka.</w:t>
      </w:r>
    </w:p>
    <w:p w14:paraId="0DDE843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Obydwoje rodzice chorzy: 45% ryzyka.</w:t>
      </w:r>
    </w:p>
    <w:p w14:paraId="3B924BF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Bliźnięta monozygotyczne: 50% ryzyka. </w:t>
      </w:r>
    </w:p>
    <w:p w14:paraId="3805C68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ryzyka prenatalne i okołoporodowe: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Infekcje (głównie wirusowe), niedożywienie matki, cukrzyca matki, komplikacje okołoporodowe (np. niedotlenienie).</w:t>
      </w:r>
    </w:p>
    <w:p w14:paraId="2C84AE6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ryzyka po urodzeniu: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Nadużywanie substancji psychoaktywnych (głównie kannabinoli, psychostymulantów), zapalenie opon mózgowych i mózgu w dzieciństwie, stres, zamieszkanie na terenach miejskich.</w:t>
      </w:r>
    </w:p>
    <w:p w14:paraId="2D4DBAC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socjoekonomiczne: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Chorzy częściej znajdują się w uboższych warstwach. </w:t>
      </w:r>
    </w:p>
    <w:p w14:paraId="03A80EC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Hipoteza "przesunięcia" (dochodzi do zubożenia przez trudności w pełnieniu ról społecznych z powodu choroby).</w:t>
      </w:r>
    </w:p>
    <w:p w14:paraId="4E293F6D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Stres u osób z niższych warstw jako czynnik wyzwalający. </w:t>
      </w:r>
    </w:p>
    <w:p w14:paraId="687D244D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Koncepcja uwrażliwienia – stresu (Zubin 1977, Ciompi 1997):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Podatność i stres podlegają działaniu mediatorów prowokujących i ochraniających, co ostatecznie decyduje o ujawnieniu się choroby. </w:t>
      </w:r>
    </w:p>
    <w:p w14:paraId="0D19A11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 xml:space="preserve">Główne Koncepcje i Hipotezy </w:t>
      </w:r>
    </w:p>
    <w:p w14:paraId="642E1156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kern w:val="0"/>
          <w:sz w:val="24"/>
          <w:szCs w:val="24"/>
          <w:lang w:val="en-US" w:eastAsia="zh-CN" w:bidi="ar"/>
        </w:rPr>
        <w:t>Koncepcja wirusowa:</w:t>
      </w:r>
      <w:r>
        <w:rPr>
          <w:rFonts w:hint="default" w:eastAsia="sans-serif" w:cs="sans-serif" w:asciiTheme="minorAscii" w:hAnsiTheme="minorAscii"/>
          <w:kern w:val="0"/>
          <w:sz w:val="24"/>
          <w:szCs w:val="24"/>
          <w:lang w:val="en-US" w:eastAsia="zh-CN" w:bidi="ar"/>
        </w:rPr>
        <w:t xml:space="preserve"> Związek między ekspozycją na grypę w I trymestrze a schizofrenią (częstsze występowanie u dzieci urodzonych od stycznia do marca na półkuli północnej).</w:t>
      </w:r>
    </w:p>
    <w:p w14:paraId="0E92A58C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Koncepcja neurorozwojowa (obecnie dominująca):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Interakcje genetyczno-środowiskowe na wczesnym etapie rozwoju negatywnie wpływają na wzrost, uwarstwienie i ułożenie neuronów, powodując zaburzenia cytoarchitektury mózgu.</w:t>
      </w:r>
    </w:p>
    <w:p w14:paraId="10AD320F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Koncepcja dopaminowa: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Oparta na mechanizmie działania klasycznych neuroleptyków (antagonistów D2), sformułowana przez Carlssona. </w:t>
      </w:r>
    </w:p>
    <w:p w14:paraId="561FAD85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Objawy pozytywne = nadczynność dopaminergiczna układu limbicznego.</w:t>
      </w:r>
    </w:p>
    <w:p w14:paraId="10ADFE73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negatywne = osłabienie aktywności dopaminergicznej kory przedczołowej. </w:t>
      </w:r>
    </w:p>
    <w:p w14:paraId="25325FC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Koncepcja serotoninergiczna: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Atypowe leki blokują receptor 5HT2A, co ma korzystne działanie zwłaszcza na objawy deficytowe.</w:t>
      </w:r>
    </w:p>
    <w:p w14:paraId="17EB543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Koncepcja glutaminergiczna: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Oparta na działaniu blokerów glutaminergicznych (fencyklidyna, ketamina), które wywołują objawy podobne do schizofrenii. Nadaktywność tego układu może prowadzić do neurodegeneracji i uszkodzenia mózgu. </w:t>
      </w:r>
    </w:p>
    <w:p w14:paraId="40E351E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Dysfunkcje Poznawcze</w:t>
      </w:r>
    </w:p>
    <w:p w14:paraId="1FE62190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przebiegu choroby występuje osłabienie inteligencji ogólnej. Upośledzone są: uwaga, pamięć, funkcje wzrokowo-przestrzenne i zdolności językowe. Osłabione są procesy przetwarzania informacji, rozwiązywania problemów, planowania oraz myślenia abstrakcyjnego. </w:t>
      </w:r>
    </w:p>
    <w:p w14:paraId="67FFB3E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Diagnoza Schizofrenii</w:t>
      </w:r>
    </w:p>
    <w:p w14:paraId="5F2B892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Kryteria Historyczne</w:t>
      </w:r>
    </w:p>
    <w:p w14:paraId="7005EE49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Kryteria Bleulera (Objawy osiowe - 4 x A):</w:t>
      </w:r>
    </w:p>
    <w:p w14:paraId="2889280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Rozpad struktury osobowości (Asocjacyjne zaburzenia)</w:t>
      </w:r>
    </w:p>
    <w:p w14:paraId="0D7396F1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Stępienie uczuciowe (Afekt stępiały)</w:t>
      </w:r>
    </w:p>
    <w:p w14:paraId="5E97C303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Rozkojarzenie myślenia (Ambiwalencja)</w:t>
      </w:r>
    </w:p>
    <w:p w14:paraId="4AB97ADD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Autyzm i dereizm. </w:t>
      </w:r>
    </w:p>
    <w:p w14:paraId="10C623BC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Kryteria Schneidera:</w:t>
      </w:r>
    </w:p>
    <w:p w14:paraId="55DAFBC6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I-rzędowe: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odciąganie, nasyłanie, przesyłanie, odsłanianie i ugłośnienie myśli; głosy dyskutujące/komentujące/kłócące się; spostrzeżenia urojeniowe (oddziaływanie na ciało, uczucia, wolę).</w:t>
      </w:r>
    </w:p>
    <w:p w14:paraId="2F24A295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II-rzędowe: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natłok myśli, poczucie zubożenia uczuciowego, zmiany nastroju, nagłe idee urojeniowe, inne zaburzenia postrzegania. </w:t>
      </w:r>
    </w:p>
    <w:p w14:paraId="1862381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Kryteria Diagnostyczne wg ICD-10</w:t>
      </w:r>
    </w:p>
    <w:p w14:paraId="68521C5B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 rozpoznania schizofrenii konieczna jest obecność co najmniej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jednego objawu z grupy a-d ALBO co najmniej dwóch z grupy e-h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, wyraźnie obecnych przez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1 miesiąc lub dłużej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. </w:t>
      </w:r>
    </w:p>
    <w:p w14:paraId="42445055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Grupa A-D (wymagany 1 objaw):</w:t>
      </w:r>
    </w:p>
    <w:p w14:paraId="0FF2D747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Echo myśli, nasyłanie, zabieranie i odsłonięcie myśli.</w:t>
      </w:r>
    </w:p>
    <w:p w14:paraId="6EF9A0CA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Urojenia oddziaływania, wpływu, owładnięcia, spostrzeżenia urojeniowe</w:t>
      </w:r>
    </w:p>
    <w:p w14:paraId="17941911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Głosy omamowe komentujące, dyskutujące, lub pochodzące z różnych części ciała</w:t>
      </w:r>
    </w:p>
    <w:p w14:paraId="7C88C34E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Utrwalone urojenia niemożliwe do zaistnienia i niedostosowane kulturowo. </w:t>
      </w:r>
    </w:p>
    <w:p w14:paraId="55D40B1A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Grupa E-H (wymagane 2 objawy):</w:t>
      </w:r>
    </w:p>
    <w:p w14:paraId="7883F882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Utrwalone omamy z jakiegokolwiek zmysłu + zwiewne urojenia bez treści afektywnej</w:t>
      </w:r>
    </w:p>
    <w:p w14:paraId="2C67321B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Neologizmy, przerwy w myśleniu powodujące rozkojarzenie</w:t>
      </w:r>
    </w:p>
    <w:p w14:paraId="5532C56C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Zachowania katatoniczne (pobudzenie, zastyganie, giętkość woskowa, negatywizm, mutyzm, osłupienie)</w:t>
      </w:r>
    </w:p>
    <w:p w14:paraId="7B804E48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negatywne (apatia, zubożenie wypowiedzi, spłycenie afektu, wycofanie, izolacja). </w:t>
      </w:r>
    </w:p>
    <w:p w14:paraId="24CC93F5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Kryteria wykluczające rozpoznanie schizofrenii wg ICD-10:</w:t>
      </w:r>
      <w:r>
        <w:rPr>
          <w:rFonts w:hint="default" w:eastAsia="sans-serif" w:cs="sans-serif" w:asciiTheme="minorAscii" w:hAnsiTheme="minorAscii"/>
          <w:sz w:val="28"/>
          <w:szCs w:val="28"/>
        </w:rPr>
        <w:t xml:space="preserve"> </w:t>
      </w:r>
    </w:p>
    <w:p w14:paraId="791EF523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Spełnione kryteria manii lub depresji, poważna choroba mózgu, zatrucie substancjami psychoaktywnymi lub stan po ich odstawieniu. </w:t>
      </w:r>
    </w:p>
    <w:p w14:paraId="5097BAF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Postacie Kliniczne Schizofrenii wg ICD-10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8"/>
        <w:gridCol w:w="1617"/>
        <w:gridCol w:w="4611"/>
      </w:tblGrid>
      <w:tr w14:paraId="353CA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0F67C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8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 Schizofrenii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4DCA7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8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Częstość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A1E1C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8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Charakterystyka (Obok spełnionych kryteriów ogólnych)</w:t>
            </w:r>
          </w:p>
        </w:tc>
      </w:tr>
      <w:tr w14:paraId="6A250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7D729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Paranoidalna (F20.0)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909CB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65%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68772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Urojenia (prześladowcze, odnoszące, wysokiego pochodzenia, szczególnego posłannictwa, zmiany cielesnej, niewiary). Omamy (głosy grożące/rozkazujące, bezsłowne szumy/śmiech, węchowe, smakowe, z ciała; </w:t>
            </w:r>
            <w:r>
              <w:rPr>
                <w:rFonts w:hint="default" w:eastAsia="sans-serif" w:cs="sans-serif" w:asciiTheme="minorAscii" w:hAnsiTheme="minorAscii"/>
                <w:i/>
                <w:iCs/>
                <w:sz w:val="24"/>
                <w:szCs w:val="24"/>
                <w:bdr w:val="none" w:color="auto" w:sz="0" w:space="0"/>
              </w:rPr>
              <w:t>wzrokowe rzadko dominują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). Objawy negatywne obecne, ale niedominujące.</w:t>
            </w:r>
          </w:p>
        </w:tc>
      </w:tr>
      <w:tr w14:paraId="3B4CA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1C20C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Rezydualna (F20.5)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B3ED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18%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15B58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Kryteria schizofrenii spełnione w przeszłości (obecnie nie). W ostatnich 12 mies. min. 4 objawy negatywne: spowolnienie, spłycenie afektu, bierność, zubożenie wypowiedzi, słaba mimika/komunikacja, słabe pełnienie ról społecznych.</w:t>
            </w:r>
          </w:p>
        </w:tc>
      </w:tr>
      <w:tr w14:paraId="5972E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8E1CE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Katatoniczna (F20.2)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37559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1,9%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406EE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Dominują zachowania: osłupienie, mutyzm, pobudzenie (bezcelowe), zastyganie w dziwacznych pozycjach, negatywizm, sztywność, giętkość woskowa, automatyzm nakazowy, perseweracje. </w:t>
            </w: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Dwie postacie:</w:t>
            </w:r>
          </w:p>
          <w:p w14:paraId="74275CA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</w:p>
          <w:p w14:paraId="48F5AAE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1. </w:t>
            </w:r>
            <w:r>
              <w:rPr>
                <w:rFonts w:hint="default" w:eastAsia="sans-serif" w:cs="sans-serif" w:asciiTheme="minorAscii" w:hAnsiTheme="minorAscii"/>
                <w:i/>
                <w:iCs/>
                <w:sz w:val="24"/>
                <w:szCs w:val="24"/>
                <w:bdr w:val="none" w:color="auto" w:sz="0" w:space="0"/>
              </w:rPr>
              <w:t>Hipokinetyczna: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bradykineza, blady afekt -&gt; osłupienie (stupor), mutyzm.</w:t>
            </w:r>
          </w:p>
          <w:p w14:paraId="4A79E7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24B893F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2. </w:t>
            </w:r>
            <w:r>
              <w:rPr>
                <w:rFonts w:hint="default" w:eastAsia="sans-serif" w:cs="sans-serif" w:asciiTheme="minorAscii" w:hAnsiTheme="minorAscii"/>
                <w:i/>
                <w:iCs/>
                <w:sz w:val="24"/>
                <w:szCs w:val="24"/>
                <w:bdr w:val="none" w:color="auto" w:sz="0" w:space="0"/>
              </w:rPr>
              <w:t>Hiperkinetyczna: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pobudzenie, agresja, echolalia/echopraksja, podwyższona temp., bywa utrata świadomości.</w:t>
            </w:r>
          </w:p>
        </w:tc>
      </w:tr>
      <w:tr w14:paraId="10A40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53B92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Niezróżnicowana (F20.3)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9322D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1,3%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C641F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Często diagnoza tymczasowa. Brak przewagi jednych objawów lub spełnione kryteria więcej niż jednej postaci.</w:t>
            </w:r>
          </w:p>
        </w:tc>
      </w:tr>
      <w:tr w14:paraId="54B7A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2883C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Prosta (F20.6)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4CF06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1%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70EF1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Wieloletnia, przewlekła. Nasilone objawy negatywne od początku, brak (lub małe) objawy psychotyczne. Z wywiadu: obojętność wobec bliskich, utrata zainteresowań, zaniedbany wygląd, samotnictwo, problemy w szkole.</w:t>
            </w:r>
          </w:p>
        </w:tc>
      </w:tr>
      <w:tr w14:paraId="1B2A4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8A9E2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Depresja Poschizo-freniczna (F20.4)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320CC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0,8%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1025B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Epizod depresyjny po psychozie. Spełnione kryteria schizofrenii w ostatnich 12 mies. (obecnie brak). Jeden objaw "e-h" nadal obecny. </w:t>
            </w: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Uwaga: ZWIĘKSZONE RYZYKO SAMOBÓJSTWA!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(może być wynikiem neuroleptyków).</w:t>
            </w:r>
          </w:p>
        </w:tc>
      </w:tr>
      <w:tr w14:paraId="0B59E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DFBB3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Hebefreniczna (F20.1)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280B7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0,5%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E39A6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Młody wiek (pokwitanie). Pusty, niedostosowany afekt, zachowanie bezcelowe. Wyraźne zaburzenia myślenia (rozkojarzenie). Brak dominacji psychozy. Odhamowanie, puerylizm (infantylność).</w:t>
            </w:r>
          </w:p>
        </w:tc>
      </w:tr>
    </w:tbl>
    <w:p w14:paraId="6AA4151C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</w:p>
    <w:p w14:paraId="441D959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Przebieg, Leczenie i Rokowanie Schizofrenii</w:t>
      </w:r>
    </w:p>
    <w:p w14:paraId="05EC682D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 w:right="0" w:right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Przebieg:</w:t>
      </w:r>
      <w:r>
        <w:rPr>
          <w:rFonts w:hint="default" w:eastAsia="sans-serif" w:cs="sans-serif" w:asciiTheme="minorAscii" w:hAnsiTheme="minorAscii"/>
          <w:sz w:val="28"/>
          <w:szCs w:val="28"/>
        </w:rPr>
        <w:t xml:space="preserve"> </w:t>
      </w:r>
    </w:p>
    <w:p w14:paraId="03143A6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 w:right="0" w:right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Jest to choroba postępująca i cykliczna, charakteryzująca się licznymi nawrotami psychotycznymi. Po nawrocie pacjenci często nie odzyskują poprzedniego poziomu funkcjonowania. Fazy (od urodzenia po późny wiek) obejmują stany: </w:t>
      </w:r>
    </w:p>
    <w:p w14:paraId="01797C4A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przedchorobowy (premorbid), </w:t>
      </w:r>
    </w:p>
    <w:p w14:paraId="139C9C2D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zwiastunowy (prodromal), </w:t>
      </w:r>
    </w:p>
    <w:p w14:paraId="700A1F87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początek (onset), </w:t>
      </w:r>
    </w:p>
    <w:p w14:paraId="43ED3948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pogorszenie,</w:t>
      </w:r>
    </w:p>
    <w:p w14:paraId="0EBFE2DE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przewlekłe pogorszenie / stan rezydualny. </w:t>
      </w:r>
    </w:p>
    <w:p w14:paraId="627C828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="420" w:leftChars="0" w:right="0" w:right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Mimo, że u większości następuje pogorszenie, występują różne stopnie nasilenia i przebiegu w czasie. </w:t>
      </w:r>
    </w:p>
    <w:p w14:paraId="2D0EA91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/>
        <w:outlineLvl w:val="2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Leczenie</w:t>
      </w:r>
      <w:r>
        <w:rPr>
          <w:rFonts w:hint="default" w:eastAsia="sans-serif" w:cs="sans-serif" w:asciiTheme="minorAscii" w:hAnsiTheme="minorAscii"/>
          <w:sz w:val="28"/>
          <w:szCs w:val="28"/>
          <w:lang w:val="pl-PL"/>
        </w:rPr>
        <w:t>:</w:t>
      </w:r>
      <w:r>
        <w:rPr>
          <w:rFonts w:hint="default" w:eastAsia="sans-serif" w:cs="sans-serif" w:asciiTheme="minorAscii" w:hAnsiTheme="minorAscii"/>
          <w:sz w:val="28"/>
          <w:szCs w:val="28"/>
        </w:rPr>
        <w:t xml:space="preserve"> </w:t>
      </w:r>
    </w:p>
    <w:p w14:paraId="271BE967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hanging="420" w:firstLineChars="0"/>
        <w:outlineLvl w:val="2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Farmakologiczne (Neuroleptyki)</w:t>
      </w:r>
    </w:p>
    <w:p w14:paraId="698773B0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Stany ostre (agresja, pobudzenie):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Leki iniekcyjne (i.m.) do uspokojenia (3-4 dni), potem duże dawki doustne. Efekt do 2-4 tyg. Nie zwlekać przy braku reakcji!</w:t>
      </w:r>
    </w:p>
    <w:p w14:paraId="5FD859E2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Stany "podostre":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Leki doustne (najczęściej II generacji). Szybkie podnoszenie dawki (7-14 dni) z uwagą na skutki uboczne.</w:t>
      </w:r>
    </w:p>
    <w:p w14:paraId="2BA6CA24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Stany mniej nasilone: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Zwiększanie powolniejsze (2-3 tyg.), skuteczność często w niższych dawkach. </w:t>
      </w:r>
    </w:p>
    <w:p w14:paraId="51C49689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Czas trwania leczenia:</w:t>
      </w:r>
    </w:p>
    <w:p w14:paraId="21747FE2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 1 epizodzie: min. 2 lata</w:t>
      </w:r>
    </w:p>
    <w:p w14:paraId="12A6B0B7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 2 epizodzie: min. 5 lat</w:t>
      </w:r>
    </w:p>
    <w:p w14:paraId="3A18B674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 3 epizodzie: leczenie dożywotnie</w:t>
      </w:r>
    </w:p>
    <w:p w14:paraId="289E436F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Brak współpracy: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iniekcje i.m. o przedłużonym działaniu. </w:t>
      </w:r>
    </w:p>
    <w:p w14:paraId="583A56A7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Leki pomocnicze: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Benzodiazepiny (w stanach ostrych), leki przeciwpadaczkowe (stabilizatory), leki przeciwdepresyjne (STOSOWAĆ OSTROŻNIE). </w:t>
      </w:r>
    </w:p>
    <w:p w14:paraId="0C83F06F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Inne Metody Leczenia</w:t>
      </w:r>
    </w:p>
    <w:p w14:paraId="467070C2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Psychoterapia: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Behawioralno-poznawcza, społeczna, rodzinna.</w:t>
      </w:r>
    </w:p>
    <w:p w14:paraId="246920B0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Elektrowstrząsy (EW):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Stosowane przy: schizofrenii lekoopornej, ciąży, złośliwym zespole poneuroleptycznym, ciężkiej depresji z psychozą/myślami samobójczymi (w tym CHAD, schizoafektywnej), ciężkiej manii, ostrych stanach katatonicznych (zagrożenie życia) oraz u pacjentów w podeszłym wieku (przy polipragmazji). </w:t>
      </w:r>
    </w:p>
    <w:p w14:paraId="1091DA3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Rokowanie i Śmiertelność</w:t>
      </w:r>
    </w:p>
    <w:p w14:paraId="4DAC23EB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 każdym epizodem pogarsza się funkcjonowanie. Natężenie objawów psychotycznych maleje z czasem, a nasilają się objawy negatywne.</w:t>
      </w:r>
    </w:p>
    <w:p w14:paraId="7447F5D2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Przez całe życie utrzymuje się podatność na czynniki stresowe.</w:t>
      </w:r>
    </w:p>
    <w:p w14:paraId="2BB2DF9A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Nawroty (w ciągu 2 lat):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u leczonych ok. 40%, u nieleczonych 80%.</w:t>
      </w:r>
    </w:p>
    <w:p w14:paraId="078BBDD4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Podział pacjentów (po 1/3):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</w:t>
      </w:r>
    </w:p>
    <w:p w14:paraId="6AFD297E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Normalne życie.</w:t>
      </w:r>
    </w:p>
    <w:p w14:paraId="1343C4B0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Dobrze funkcjonują pomimo objawów.</w:t>
      </w:r>
    </w:p>
    <w:p w14:paraId="49E9C065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Znaczne zaburzenia (z czego 10% wymaga trwałej instytucjonalizacji). </w:t>
      </w:r>
    </w:p>
    <w:p w14:paraId="44BFE8D7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Średnia długość życia jest krótsza, a śmiertelność wyższa niż w populacji ogólnej (wyższa u mężczyzn).</w:t>
      </w:r>
    </w:p>
    <w:p w14:paraId="7A477BFC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Samobójstwa: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Ok. 50% chorych podejmuje próbę, a 10-12% kończy się śmiercią.</w:t>
      </w:r>
    </w:p>
    <w:p w14:paraId="1A38AD81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ryzyka samobójstwa: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młody wiek, płeć męska, przebieg z wieloma nawrotami, świadomość niekorzystnego przebiegu, utrata wiary w leczenie, obecność objawów pozytywnych (groźniejsze niż negatywne). </w:t>
      </w:r>
    </w:p>
    <w:p w14:paraId="4290FC5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Zaburzenia Psychotyczne Inne Niż Schizofrenia (ICD-10)</w:t>
      </w:r>
    </w:p>
    <w:p w14:paraId="16DB1F12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Spis z klasyfikacji: </w:t>
      </w:r>
    </w:p>
    <w:p w14:paraId="2649483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F21 Zaburzenie schizotypowe, </w:t>
      </w:r>
    </w:p>
    <w:p w14:paraId="0EBCA1DF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F22 Uporczywe zaburzenia urojeniowe, </w:t>
      </w:r>
    </w:p>
    <w:p w14:paraId="63256EF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F23 Ostre i przemijające, </w:t>
      </w:r>
    </w:p>
    <w:p w14:paraId="286990D3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F24 Indukowane, </w:t>
      </w:r>
    </w:p>
    <w:p w14:paraId="7DC535D2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F25 Schizoafektywne, </w:t>
      </w:r>
    </w:p>
    <w:p w14:paraId="6E7CA2AC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F28 Inne nieorganiczne, </w:t>
      </w:r>
    </w:p>
    <w:p w14:paraId="6C860AE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F29 Nieokreślona psychoza nieorganiczna. </w:t>
      </w:r>
    </w:p>
    <w:p w14:paraId="45A8926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F21 Zaburzenie schizotypowe (typu schizofrenii) </w:t>
      </w:r>
    </w:p>
    <w:p w14:paraId="72524043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Charakterystyka: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Ekscentryczność, nieprawidłowości myślenia i afektu zbliżone do schizofrenii, ale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nigdy nie spełnia jej kryteriów</w:t>
      </w:r>
      <w:r>
        <w:rPr>
          <w:rFonts w:hint="default" w:eastAsia="sans-serif" w:cs="sans-serif" w:asciiTheme="minorAscii" w:hAnsiTheme="minorAscii"/>
          <w:sz w:val="24"/>
          <w:szCs w:val="24"/>
        </w:rPr>
        <w:t>. Rozpowszechnienie 3-4%. Niekiedy poprzedza schizofrenię.</w:t>
      </w:r>
    </w:p>
    <w:p w14:paraId="415154A4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Kryteria wg ICD-10 (Przez min. 2 lata przejawia &gt;= 4 cechy):</w:t>
      </w:r>
    </w:p>
    <w:p w14:paraId="6828E471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Niedostosowany afekt, </w:t>
      </w:r>
    </w:p>
    <w:p w14:paraId="2ABE29E4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ekscentryczność, </w:t>
      </w:r>
    </w:p>
    <w:p w14:paraId="789E775D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słaby kontakt, </w:t>
      </w:r>
    </w:p>
    <w:p w14:paraId="4A1A5D85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niezwykłe sądy/magiczne myślenie, </w:t>
      </w:r>
    </w:p>
    <w:p w14:paraId="1D727C65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podejrzliwość, </w:t>
      </w:r>
    </w:p>
    <w:p w14:paraId="60AC6E2F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ruminacje (dysmorfofobiczne/seksualne/agresywne), </w:t>
      </w:r>
    </w:p>
    <w:p w14:paraId="5FD3C16A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niezwykłe iluzje/depersonalizacje, </w:t>
      </w:r>
    </w:p>
    <w:p w14:paraId="7C654E3C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drobiazgowe/dziwaczne myślenie bez rozkojarzenia,</w:t>
      </w:r>
    </w:p>
    <w:p w14:paraId="5B144109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chwilowe quasi-psychotyczne epizody. </w:t>
      </w:r>
    </w:p>
    <w:p w14:paraId="356AE67D">
      <w:pPr>
        <w:pStyle w:val="7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Leczenie: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Psychoterapia, Terapia społeczna (wsparcie w środowisku, radzenie ze stresem), Farmakoterapia (neuroleptyki, normotymiki, antydepresanty). </w:t>
      </w:r>
    </w:p>
    <w:p w14:paraId="7F5047B4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F22 Uporczywe zaburzenia urojeniowe (Paranoja prawdziwa) </w:t>
      </w:r>
    </w:p>
    <w:p w14:paraId="55F9A559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Początek: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 wieku średnim (40-45 lat)</w:t>
      </w:r>
    </w:p>
    <w:p w14:paraId="5E51F58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Pojedyncze/powiązane usystematyzowane urojenia (możliwe do zaistnienia: prześladowcze, hipochondryczne, wielkościowe, pieniacze, zazdrości), trwające z reguły całe życie</w:t>
      </w:r>
    </w:p>
    <w:p w14:paraId="6F977A47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Kryteria ICD-10: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Trwają min. 3 miesiące. Urojenia nieschizofreniczne (nie spełnia kryteriów F20). Brak utrwalonych omamów. Brak wyraźnej depresji nakładającej się na urojenia. Brak przyczyn organicznych/substancji. Nienaruszona struktura osobowości. </w:t>
      </w:r>
    </w:p>
    <w:p w14:paraId="4AB3E8DC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F23 Ostre i przemijające zaburzenia psychotyczne </w:t>
      </w:r>
    </w:p>
    <w:p w14:paraId="379E26E2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Heterogenna grupa zaburzeń pojawiających się dorosłych (20-30 r.ż.), częściej u kobiet</w:t>
      </w:r>
    </w:p>
    <w:p w14:paraId="180072EE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Początek i przebieg: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Objawy (urojenia, omamy, złudzenia) rozwijają się do 2 tyg. od pierwszego symptomu. Całkowity powrót do zdrowia zazwyczaj w dni/tygodnie</w:t>
      </w:r>
    </w:p>
    <w:p w14:paraId="2E4229DD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Wykluczenia: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Brak zaburzeń organicznych, wad metabolicznych OUN, ani związku z używkami</w:t>
      </w:r>
    </w:p>
    <w:p w14:paraId="35C605E9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Typy: (a) wielopostaciowe bez obj. schizofrenii, (b) z obj. schizofrenii, (c) podobne do schizofrenii, (d) z przewagą urojeń. </w:t>
      </w:r>
    </w:p>
    <w:p w14:paraId="530B4159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F25 Zaburzenia schizoafektywne </w:t>
      </w:r>
    </w:p>
    <w:p w14:paraId="4456319E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Charakterystyka: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Rzadkie (2-4/100 000). Łączą cechy schizofrenii i zaburzeń afektywnych na tyle silnie, że nie można rozpoznać samodzielnie ani F20, ani epizodu afektywnego. Bliższe pojęciowo schizofrenii (wg DSM-5 w jej spektrum).</w:t>
      </w:r>
    </w:p>
    <w:p w14:paraId="5743BB4C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Typy: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Maniakalny, Depresyjny, Mieszany (Dwubiegunowy).</w:t>
      </w:r>
    </w:p>
    <w:p w14:paraId="33EC3CA3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Kryteria ICD-10:</w:t>
      </w:r>
    </w:p>
    <w:p w14:paraId="259F3215">
      <w:pPr>
        <w:pStyle w:val="7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Umiarkowane/ciężkie nasilenie zaburzeń afektywnych.</w:t>
      </w:r>
    </w:p>
    <w:p w14:paraId="7A54C856">
      <w:pPr>
        <w:pStyle w:val="7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Min. jedna z grup objawów (echo myśli, urojenia owładnięcia/wpływu, głosy dyskutujące/komentujące, niemożliwe kulturowo urojenia, rozkojarzone wypowiedzi/neologizmy, zastyganie katatoniczne) obecna wyraźnie przez min. 2 tygodnie.</w:t>
      </w:r>
    </w:p>
    <w:p w14:paraId="327D3DCF">
      <w:pPr>
        <w:pStyle w:val="7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Objawy afektywne (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A</w:t>
      </w:r>
      <w:r>
        <w:rPr>
          <w:rFonts w:hint="default" w:eastAsia="sans-serif" w:cs="sans-serif" w:asciiTheme="minorAscii" w:hAnsiTheme="minorAscii"/>
          <w:sz w:val="24"/>
          <w:szCs w:val="24"/>
        </w:rPr>
        <w:t>) i psychotyczne (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B</w:t>
      </w:r>
      <w:r>
        <w:rPr>
          <w:rFonts w:hint="default" w:eastAsia="sans-serif" w:cs="sans-serif" w:asciiTheme="minorAscii" w:hAnsiTheme="minorAscii"/>
          <w:sz w:val="24"/>
          <w:szCs w:val="24"/>
        </w:rPr>
        <w:t>) trwają w tym samym epizodzie i przynajmniej częściowo jednocześnie.</w:t>
      </w:r>
    </w:p>
    <w:p w14:paraId="76EDEDC3">
      <w:pPr>
        <w:pStyle w:val="7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Brak tła organicznego/substancji. </w:t>
      </w:r>
    </w:p>
    <w:p w14:paraId="21959F74">
      <w:pPr>
        <w:pStyle w:val="7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Leczenie: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Podobne do F20. Główne to neuroleptyki I i II generacji (</w:t>
      </w: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uwaga: II gen. nie jest refundowana dla F25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). Jeśli potrzebne iniekcje - leki I generacji (dla refundacji). Stosuje się normotymiki.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Ze stosowaniem antydepresantów trzeba zachować szczególną ostrożność</w:t>
      </w:r>
      <w:r>
        <w:rPr>
          <w:rFonts w:hint="default" w:eastAsia="sans-serif" w:cs="sans-serif" w:asciiTheme="minorAscii" w:hAnsiTheme="minorAscii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E1587"/>
    <w:multiLevelType w:val="singleLevel"/>
    <w:tmpl w:val="9FDE1587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1">
    <w:nsid w:val="9FF64DA5"/>
    <w:multiLevelType w:val="singleLevel"/>
    <w:tmpl w:val="9FF64D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9FFC45DA"/>
    <w:multiLevelType w:val="singleLevel"/>
    <w:tmpl w:val="9FFC45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BBDBF6AF"/>
    <w:multiLevelType w:val="singleLevel"/>
    <w:tmpl w:val="BBDBF6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BF7BBC6F"/>
    <w:multiLevelType w:val="singleLevel"/>
    <w:tmpl w:val="BF7BBC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BFC76910"/>
    <w:multiLevelType w:val="singleLevel"/>
    <w:tmpl w:val="BFC769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BFEED496"/>
    <w:multiLevelType w:val="singleLevel"/>
    <w:tmpl w:val="BFEED496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C6FF2C5D"/>
    <w:multiLevelType w:val="multilevel"/>
    <w:tmpl w:val="C6FF2C5D"/>
    <w:lvl w:ilvl="0" w:tentative="0">
      <w:start w:val="1"/>
      <w:numFmt w:val="bullet"/>
      <w:lvlText w:val=""/>
      <w:lvlJc w:val="left"/>
      <w:pPr>
        <w:tabs>
          <w:tab w:val="left" w:pos="0"/>
        </w:tabs>
        <w:ind w:left="0" w:leftChars="0" w:hanging="420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4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8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2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16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1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5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29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360" w:leftChars="0" w:hanging="420" w:firstLineChars="0"/>
      </w:pPr>
      <w:rPr>
        <w:rFonts w:hint="default" w:ascii="Wingdings" w:hAnsi="Wingdings"/>
      </w:rPr>
    </w:lvl>
  </w:abstractNum>
  <w:abstractNum w:abstractNumId="8">
    <w:nsid w:val="C75BDDC2"/>
    <w:multiLevelType w:val="singleLevel"/>
    <w:tmpl w:val="C75BDDC2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CFFFF197"/>
    <w:multiLevelType w:val="singleLevel"/>
    <w:tmpl w:val="CFFFF19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0">
    <w:nsid w:val="D2FF758D"/>
    <w:multiLevelType w:val="singleLevel"/>
    <w:tmpl w:val="D2FF758D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1">
    <w:nsid w:val="D8FE4D03"/>
    <w:multiLevelType w:val="singleLevel"/>
    <w:tmpl w:val="D8FE4D0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DBFD7EBF"/>
    <w:multiLevelType w:val="singleLevel"/>
    <w:tmpl w:val="DBFD7E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3">
    <w:nsid w:val="E7FF3670"/>
    <w:multiLevelType w:val="singleLevel"/>
    <w:tmpl w:val="E7FF36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4">
    <w:nsid w:val="EB7FFA81"/>
    <w:multiLevelType w:val="singleLevel"/>
    <w:tmpl w:val="EB7FFA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5">
    <w:nsid w:val="EC1F992B"/>
    <w:multiLevelType w:val="singleLevel"/>
    <w:tmpl w:val="EC1F99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6">
    <w:nsid w:val="FC6B025D"/>
    <w:multiLevelType w:val="singleLevel"/>
    <w:tmpl w:val="FC6B025D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7">
    <w:nsid w:val="FF5D9ED4"/>
    <w:multiLevelType w:val="singleLevel"/>
    <w:tmpl w:val="FF5D9E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8">
    <w:nsid w:val="FFF634A9"/>
    <w:multiLevelType w:val="singleLevel"/>
    <w:tmpl w:val="FFF634A9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0BB7BF4C"/>
    <w:multiLevelType w:val="singleLevel"/>
    <w:tmpl w:val="0BB7BF4C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0">
    <w:nsid w:val="3BDD6BDC"/>
    <w:multiLevelType w:val="singleLevel"/>
    <w:tmpl w:val="3BDD6BDC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1">
    <w:nsid w:val="3EDFB307"/>
    <w:multiLevelType w:val="singleLevel"/>
    <w:tmpl w:val="3EDFB3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2">
    <w:nsid w:val="5F8BC120"/>
    <w:multiLevelType w:val="singleLevel"/>
    <w:tmpl w:val="5F8BC1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3">
    <w:nsid w:val="6F7B7926"/>
    <w:multiLevelType w:val="singleLevel"/>
    <w:tmpl w:val="6F7B79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4">
    <w:nsid w:val="6FFE5686"/>
    <w:multiLevelType w:val="singleLevel"/>
    <w:tmpl w:val="6FFE56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5">
    <w:nsid w:val="76FC5B6D"/>
    <w:multiLevelType w:val="singleLevel"/>
    <w:tmpl w:val="76FC5B6D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6">
    <w:nsid w:val="77FD9BF9"/>
    <w:multiLevelType w:val="singleLevel"/>
    <w:tmpl w:val="77FD9B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7">
    <w:nsid w:val="77FE86D6"/>
    <w:multiLevelType w:val="singleLevel"/>
    <w:tmpl w:val="77FE86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8">
    <w:nsid w:val="7B36EAB0"/>
    <w:multiLevelType w:val="singleLevel"/>
    <w:tmpl w:val="7B36EAB0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29">
    <w:nsid w:val="7BBEFFE4"/>
    <w:multiLevelType w:val="singleLevel"/>
    <w:tmpl w:val="7BBEFFE4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0">
    <w:nsid w:val="7EFEB6A0"/>
    <w:multiLevelType w:val="singleLevel"/>
    <w:tmpl w:val="7EFEB6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1">
    <w:nsid w:val="7F3C64C0"/>
    <w:multiLevelType w:val="singleLevel"/>
    <w:tmpl w:val="7F3C64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29"/>
  </w:num>
  <w:num w:numId="5">
    <w:abstractNumId w:val="26"/>
  </w:num>
  <w:num w:numId="6">
    <w:abstractNumId w:val="20"/>
  </w:num>
  <w:num w:numId="7">
    <w:abstractNumId w:val="13"/>
  </w:num>
  <w:num w:numId="8">
    <w:abstractNumId w:val="25"/>
  </w:num>
  <w:num w:numId="9">
    <w:abstractNumId w:val="21"/>
  </w:num>
  <w:num w:numId="10">
    <w:abstractNumId w:val="6"/>
  </w:num>
  <w:num w:numId="11">
    <w:abstractNumId w:val="27"/>
  </w:num>
  <w:num w:numId="12">
    <w:abstractNumId w:val="1"/>
  </w:num>
  <w:num w:numId="13">
    <w:abstractNumId w:val="8"/>
  </w:num>
  <w:num w:numId="14">
    <w:abstractNumId w:val="5"/>
  </w:num>
  <w:num w:numId="15">
    <w:abstractNumId w:val="18"/>
  </w:num>
  <w:num w:numId="16">
    <w:abstractNumId w:val="24"/>
  </w:num>
  <w:num w:numId="17">
    <w:abstractNumId w:val="9"/>
  </w:num>
  <w:num w:numId="18">
    <w:abstractNumId w:val="17"/>
  </w:num>
  <w:num w:numId="19">
    <w:abstractNumId w:val="7"/>
  </w:num>
  <w:num w:numId="20">
    <w:abstractNumId w:val="15"/>
  </w:num>
  <w:num w:numId="21">
    <w:abstractNumId w:val="19"/>
  </w:num>
  <w:num w:numId="22">
    <w:abstractNumId w:val="12"/>
  </w:num>
  <w:num w:numId="23">
    <w:abstractNumId w:val="16"/>
  </w:num>
  <w:num w:numId="24">
    <w:abstractNumId w:val="31"/>
  </w:num>
  <w:num w:numId="25">
    <w:abstractNumId w:val="28"/>
  </w:num>
  <w:num w:numId="26">
    <w:abstractNumId w:val="23"/>
  </w:num>
  <w:num w:numId="27">
    <w:abstractNumId w:val="22"/>
  </w:num>
  <w:num w:numId="28">
    <w:abstractNumId w:val="30"/>
  </w:num>
  <w:num w:numId="29">
    <w:abstractNumId w:val="10"/>
  </w:num>
  <w:num w:numId="30">
    <w:abstractNumId w:val="4"/>
  </w:num>
  <w:num w:numId="31">
    <w:abstractNumId w:val="0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2EF15"/>
    <w:rsid w:val="5B32E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2026-05-30T22:16:00Z</dcterms:created>
  <dc:creator>Ala Wiącek</dc:creator>
  <cp:lastModifiedBy>Ala Wiącek</cp:lastModifiedBy>
  <dcterms:modified xsi:type="dcterms:W3CDTF">2026-05-30T22:48:46Z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2BD7D35F55FD4A5DAA451B6AB21062D5_41</vt:lpwstr>
  </property>
</Properties>
</file>