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7C84C">
      <w:pPr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Zaburzenia odżywiania (F50)</w:t>
      </w:r>
    </w:p>
    <w:p w14:paraId="3DB9C275">
      <w:pPr>
        <w:rPr>
          <w:rFonts w:hint="default" w:asciiTheme="minorAscii" w:hAnsiTheme="minorAscii"/>
          <w:sz w:val="24"/>
          <w:szCs w:val="24"/>
          <w:lang w:val="pl-PL"/>
        </w:rPr>
      </w:pPr>
    </w:p>
    <w:p w14:paraId="5FF9E424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Informacje ogólne</w:t>
      </w:r>
    </w:p>
    <w:p w14:paraId="6F882EB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Zaburzenia te odzwierciedlają związek między psychiką a funkcjonowaniem somatycznym pacjenta.</w:t>
      </w:r>
    </w:p>
    <w:p w14:paraId="67C769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Ich skutki obejmują zarówno sferę psychiczną (występuje lęk, depresja, myśli samobójcze), jak i fizyczną (prowadzą do wyniszczenia, zaburzeń hormonalnych oraz elektrolitowych).</w:t>
      </w:r>
    </w:p>
    <w:p w14:paraId="09FCDF2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Na utrwalanie tych ryzykownych zachowań wpływa kultura masowa oraz ideał szczupłej sylwetki.</w:t>
      </w:r>
    </w:p>
    <w:p w14:paraId="192FF38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Zaburzenia odżywiania występują najczęściej u dziewcząt i młodych kobiet, chociaż zdarzają się również u mężczyzn i dzieci. </w:t>
      </w:r>
    </w:p>
    <w:p w14:paraId="225E2E87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Jadłowstręt psychiczny (Anorexia nervosa, F50.0)</w:t>
      </w:r>
    </w:p>
    <w:p w14:paraId="2FD59B8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Definicja i obraz kliniczny</w:t>
      </w:r>
    </w:p>
    <w:p w14:paraId="41C19BB1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Jest to celowa utrata masy ciała, która jest wywoływana i podtrzymywana przez pacjenta.</w:t>
      </w:r>
    </w:p>
    <w:p w14:paraId="24422669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Do głównych objawów psychopatologicznych zalicza się: </w:t>
      </w:r>
    </w:p>
    <w:p w14:paraId="21F020B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silny lęk przed przytyciem, </w:t>
      </w:r>
    </w:p>
    <w:p w14:paraId="5F56673D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zniekształcony obraz własnego ciała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,</w:t>
      </w:r>
    </w:p>
    <w:p w14:paraId="6136F9A7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uporczywe dążenie do posiadania niskiej masy ciała. </w:t>
      </w:r>
    </w:p>
    <w:p w14:paraId="3AFC753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Początek zaburzenia najczęściej przypada przed 30. rokiem życia, jednak może mieć miejsce również w innych okresach życia.</w:t>
      </w:r>
    </w:p>
    <w:p w14:paraId="4A17875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Objawy i zachowania sugerujące anoreksję obejmują:</w:t>
      </w:r>
    </w:p>
    <w:p w14:paraId="0599DDA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Nadmierne skupienie na utrzymaniu niskiej masy ciała.</w:t>
      </w:r>
    </w:p>
    <w:p w14:paraId="7C87E5E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Niezadowolenie ze swojego wyglądu (częste myśli „jestem za gruba/y”).</w:t>
      </w:r>
    </w:p>
    <w:p w14:paraId="701988D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Ukrywanie jedzenia, spożywanie posiłków w samotności i okłamywanie bliskich.</w:t>
      </w:r>
    </w:p>
    <w:p w14:paraId="5827B51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Zaprzeczanie istnieniu problemu.</w:t>
      </w:r>
    </w:p>
    <w:p w14:paraId="4699A453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Nadmierne zainteresowanie stosowaniem diet i „zdrowym odżywianiem” jako formą kontroli. </w:t>
      </w:r>
    </w:p>
    <w:p w14:paraId="413DE6F9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Typy anoreksji:</w:t>
      </w:r>
    </w:p>
    <w:p w14:paraId="5754E51E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/>
          <w:iCs/>
          <w:sz w:val="24"/>
          <w:szCs w:val="24"/>
        </w:rPr>
        <w:t>Typ restrykcyjny: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polega na ograniczaniu jedzenia, któremu często towarzyszą intensywne ćwiczenia fizyczne.</w:t>
      </w:r>
    </w:p>
    <w:p w14:paraId="4D8994D1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/>
          <w:iCs/>
          <w:sz w:val="24"/>
          <w:szCs w:val="24"/>
        </w:rPr>
        <w:t>Typ bulimiczny: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charakteryzuje się epizodami objadania się i stosowaniem zachowań kompensacyjnych (wymioty, środki przeczyszczające lub moczopędne).</w:t>
      </w:r>
    </w:p>
    <w:p w14:paraId="1B76F40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Kryteria rozpoznania według ICD-10</w:t>
      </w:r>
    </w:p>
    <w:p w14:paraId="2B697F5E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Spadek masy ciała wynoszący ≥15% masy należnej lub wskaźnik BMI &lt; 17,5 (dotyczy osób dorosłych).</w:t>
      </w:r>
    </w:p>
    <w:p w14:paraId="3DB441D1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Utrata masy ciała jest narzucona sobie przez pacjenta poprzez: ograniczanie jedzenia, nadmierne ćwiczenia, wywoływanie wymiotów lub przyjmowanie środków przeczyszczających.</w:t>
      </w:r>
    </w:p>
    <w:p w14:paraId="4DCB4387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Występuje silny lęk przed przytyciem.</w:t>
      </w:r>
    </w:p>
    <w:p w14:paraId="09F11357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Pojawiają się zaburzenia endokrynne, takie jak np. zanik miesiączki u kobiet. </w:t>
      </w:r>
    </w:p>
    <w:p w14:paraId="4498E29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Powikłania</w:t>
      </w:r>
    </w:p>
    <w:p w14:paraId="7345CFA0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Somatyczne: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wyniszczenie, ogólne osłabienie, suchość skóry, występowanie meszku (lanugo), zaburzenia elektrolitowe (w tym hipokaliemia), bradykardia, niskie ciśnienie krwi, skłonność do omdleń, rozwój osteoporozy i niedokrwistość.</w:t>
      </w:r>
    </w:p>
    <w:p w14:paraId="1A268864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Psychiczne: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depresja, lęk, zaburzenia koncentracji oraz myśli samobójcze. </w:t>
      </w:r>
    </w:p>
    <w:p w14:paraId="4A25CD6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Statystyki, ciężkość i ryzyko</w:t>
      </w:r>
    </w:p>
    <w:p w14:paraId="21CC4B93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Występowanie w populacji adolescentów wynosi około 0,5–1%, a wśród dorosłych około 0,4–0,8%.</w:t>
      </w:r>
    </w:p>
    <w:p w14:paraId="007A2808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Choroba występuje kilkanaście razy częściej u kobiet.</w:t>
      </w:r>
    </w:p>
    <w:p w14:paraId="3F9186CA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Anoreksja może być chorobą śmiertelną: 10–20% chorych umiera na skutek powikłań somatycznych lub poprzez samobójstwo. </w:t>
      </w:r>
    </w:p>
    <w:p w14:paraId="4FB53B44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Żarłoczność psychiczna (Bulimia nervosa, F50.2)</w:t>
      </w:r>
    </w:p>
    <w:p w14:paraId="7809FC06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Definicja</w:t>
      </w:r>
    </w:p>
    <w:p w14:paraId="3582BACD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Charakteryzuje się nawracającymi epizodami objadania się, którym towarzyszy poczucie utraty kontroli nad jedzeniem.</w:t>
      </w:r>
    </w:p>
    <w:p w14:paraId="75FB42A9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Pacjenci stosują zachowania kompensacyjne, takie jak: </w:t>
      </w:r>
    </w:p>
    <w:p w14:paraId="0903A885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prowokowanie wymiotów, </w:t>
      </w:r>
    </w:p>
    <w:p w14:paraId="135B95F6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zażywanie środków przeczyszczających/moczopędnych, </w:t>
      </w:r>
    </w:p>
    <w:p w14:paraId="03CC128B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g</w:t>
      </w:r>
      <w:r>
        <w:rPr>
          <w:rFonts w:hint="default" w:eastAsia="sans-serif" w:cs="sans-serif" w:asciiTheme="minorAscii" w:hAnsiTheme="minorAscii"/>
          <w:sz w:val="24"/>
          <w:szCs w:val="24"/>
        </w:rPr>
        <w:t>łodówki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,</w:t>
      </w:r>
    </w:p>
    <w:p w14:paraId="2F96823C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wykonywanie intensywnych ćwiczeń. </w:t>
      </w:r>
    </w:p>
    <w:p w14:paraId="07D51740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 przebiegu bulimii masa ciała jest zazwyczaj prawidłowa lub nieznacznie podwyższona.</w:t>
      </w:r>
    </w:p>
    <w:p w14:paraId="0E48B505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Często w wywiadzie chorobowym stwierdza się wcześniejsze epizody anoreksji.</w:t>
      </w:r>
    </w:p>
    <w:p w14:paraId="08426EDB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Kryteria rozpoznania według ICD-10</w:t>
      </w:r>
    </w:p>
    <w:p w14:paraId="77F5CC34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Epizody objadania się występują z częstotliwością co najmniej 2 razy w tygodniu przez 3 miesiące.</w:t>
      </w:r>
    </w:p>
    <w:p w14:paraId="5ADD03E2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Obecna jest uporczywa koncentracja na jedzeniu i silna potrzeba jego spożywania.</w:t>
      </w:r>
    </w:p>
    <w:p w14:paraId="5EAC88B0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Występują zachowania kompensacyjne, które mają zapobiec przyrostowi masy ciała.</w:t>
      </w:r>
    </w:p>
    <w:p w14:paraId="3319CA12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Zauważa się nadmierny wpływ masy oraz kształtu ciała na samoocenę pacjenta.</w:t>
      </w:r>
    </w:p>
    <w:p w14:paraId="192EB3E1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Powikłania</w:t>
      </w:r>
    </w:p>
    <w:p w14:paraId="4F1EDEC0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zaburzenia elektrolitowe (np. hipokaliemia), </w:t>
      </w:r>
    </w:p>
    <w:p w14:paraId="1F3538E1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arytmie serca, </w:t>
      </w:r>
    </w:p>
    <w:p w14:paraId="1FEF4272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wydłużenie odstępu QT w EKG, </w:t>
      </w:r>
    </w:p>
    <w:p w14:paraId="54F54179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omdlenia, </w:t>
      </w:r>
    </w:p>
    <w:p w14:paraId="729A4BAA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osłabienie, </w:t>
      </w:r>
    </w:p>
    <w:p w14:paraId="73F2D3B1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uszkodzenia szkliwa, </w:t>
      </w:r>
    </w:p>
    <w:p w14:paraId="3C59A03F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rozwój próchnicy, </w:t>
      </w:r>
    </w:p>
    <w:p w14:paraId="36FF1C72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powiększenie ślinianek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,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</w:t>
      </w:r>
    </w:p>
    <w:p w14:paraId="7A78BF97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problemy ze strony układu żołądkowo-jelitowego (takie jak krwawienia, zaparcia czy uszkodzenia przełyku). </w:t>
      </w:r>
    </w:p>
    <w:p w14:paraId="0E1BB48A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Leczenie zaburzeń odżywiania</w:t>
      </w:r>
    </w:p>
    <w:p w14:paraId="10409B70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Podstawowe zasady leczenia</w:t>
      </w:r>
    </w:p>
    <w:p w14:paraId="1A8DBE75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Podstawą leczenia jest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psychoterapia</w:t>
      </w:r>
      <w:r>
        <w:rPr>
          <w:rFonts w:hint="default" w:eastAsia="sans-serif" w:cs="sans-serif" w:asciiTheme="minorAscii" w:hAnsiTheme="minorAscii"/>
          <w:sz w:val="24"/>
          <w:szCs w:val="24"/>
        </w:rPr>
        <w:t>, często wykorzystuje się nurt poznawczo-behawioralny. W anoreksji duże znaczenie ma również terapia rodzinna i systemowa.</w:t>
      </w:r>
    </w:p>
    <w:p w14:paraId="5F83321C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Ważnym elementem jest </w:t>
      </w: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psychoedukacja oraz wsparcie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ze strony rodziny i grup wsparcia.</w:t>
      </w:r>
    </w:p>
    <w:p w14:paraId="4766533E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Farmakoterapię (np. leki SSRI stosowane w depresji, a w bulimii często fluoksetynę) włącza się pomocniczo.</w:t>
      </w:r>
    </w:p>
    <w:p w14:paraId="676FE885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Proces leczenia z reguły jest długotrwały i wiąże się z możliwością wystąpienia nawrotów. </w:t>
      </w:r>
    </w:p>
    <w:p w14:paraId="2AC19473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Decyzja o miejscu leczenia anoreksji</w:t>
      </w:r>
    </w:p>
    <w:p w14:paraId="16697ED0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Poradnia / leczenie ambulatoryjne: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wskazane, gdy nie ma bezpośredniego zagrożenia życia, stan somatyczny pacjenta jest stabilny i wykazuje on chęć do współpracy.</w:t>
      </w:r>
    </w:p>
    <w:p w14:paraId="53BA1A73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Oddział psychiatryczny: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konieczny w przypadku nasilonych objawów psychicznych, występowania ryzyka samobójczego lub gdy pacjent odmawia współpracy i brak jest postępów w leczeniu ambulatoryjnym.</w:t>
      </w:r>
    </w:p>
    <w:p w14:paraId="42972504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Oddział somatyczny: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dedykowany pacjentom z ciężkimi powikłaniami internistycznymi, stanem zagrożenia życia oraz koniecznością podjęcia stabilizacji metabolicznej i żywieniowej.</w:t>
      </w:r>
    </w:p>
    <w:p w14:paraId="4BD178E4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Wskaźnik BMI a hospitalizacja somatyczna i leczenie bez zgody</w:t>
      </w:r>
    </w:p>
    <w:p w14:paraId="2074F4FA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BMI &lt; 13: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stan ciężki oznaczający zagrożenie życia, co stanowi wskazanie do pobytu na oddziale somatycznym, na którym często wdraża się leczenie intensywne.</w:t>
      </w:r>
    </w:p>
    <w:p w14:paraId="25D5F9E9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BMI 13–15: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decyzja o wyborze oddziału (psychiatria czy somatyka) jest podejmowana w zależności od występujących powikłań i stanu psychicznego pacjenta.</w:t>
      </w:r>
    </w:p>
    <w:p w14:paraId="2BB8FBE9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BMI &gt; 15: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pacjenci są częściej leczeni ambulatoryjnie lub na oddziałach psychiatrycznych (jeśli są ku temu stosowne wskazania psychiczne).</w:t>
      </w:r>
    </w:p>
    <w:p w14:paraId="00AD3204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Hospitalizacja bez zgody pacjenta:</w:t>
      </w:r>
    </w:p>
    <w:p w14:paraId="01D24515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Gdy istnieje stan zagrożenia życia na skutek przyczyn somatycznych (np. znaczne wyniszczenie, ciężka bradykardia, hipokaliemia), możliwa jest hospitalizacja w placówce somatycznej wbrew woli pacjenta na podstawie ustawy o zawodzie lekarza.</w:t>
      </w:r>
    </w:p>
    <w:p w14:paraId="1B7BF098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Jeśli ciężkie zagrożenie wynika z istniejących zaburzeń psychicznych (np. przy ciężkiej depresji z myślami samobójczymi), możliwa jest hospitalizacja na oddziale psychiatrycznym na mocy Ustawy o Ochronie Zdrowia Psychicznego (UoOZP). </w:t>
      </w:r>
    </w:p>
    <w:p w14:paraId="69289217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Różnice w kryteriach diagnostycznych: ICD-10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  <w:t xml:space="preserve">vs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11</w:t>
      </w:r>
    </w:p>
    <w:p w14:paraId="061A0F8F">
      <w:pPr>
        <w:pStyle w:val="4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Zmiany ogólne</w:t>
      </w:r>
    </w:p>
    <w:p w14:paraId="286B920B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Klasyfikacja ICD-10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stawiała nacisk na „twarde” kryterium posiadania niskiej masy ciała (w przypadku anoreksji zazwyczaj dotyczyło to BMI &lt; 17,5) i opierała się na bardziej sztywnych rozpoznaniach.</w:t>
      </w:r>
    </w:p>
    <w:p w14:paraId="1B7A7B41">
      <w:pPr>
        <w:pStyle w:val="4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Klasyfikacja ICD-11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kładzie większy nacisk na obraz kliniczny oraz psychopatologię pacjenta (uwzględniając lęk przed przytyciem, zachowania restrykcyjne oraz wpływ masy ciała na samoocenę). Zapewnia ona również większą elastyczność diagnostyczną i o wiele lepiej ujmuje całe spektrum zaburzeń odżywiania. </w:t>
      </w:r>
    </w:p>
    <w:p w14:paraId="02819A06">
      <w:pPr>
        <w:pStyle w:val="4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Zmiany szczegółowe dla zaburzeń odżywiania w ICD-11</w:t>
      </w:r>
    </w:p>
    <w:p w14:paraId="7117ABF4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Rozszerzono dotychczasowe kryteria diagnozowania jadłowstrętu psychicznego i bulimii w porównaniu z klasyfikacją ICD-10.</w:t>
      </w:r>
    </w:p>
    <w:p w14:paraId="74A7415C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 diagnostyce anoreksji zrezygnowano z kryterium braku miesiączki.</w:t>
      </w:r>
    </w:p>
    <w:p w14:paraId="77F810B3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Złagodzono k</w:t>
      </w:r>
      <w:bookmarkStart w:id="0" w:name="_GoBack"/>
      <w:bookmarkEnd w:id="0"/>
      <w:r>
        <w:rPr>
          <w:rFonts w:hint="default" w:eastAsia="sans-serif" w:cs="sans-serif" w:asciiTheme="minorAscii" w:hAnsiTheme="minorAscii"/>
          <w:sz w:val="24"/>
          <w:szCs w:val="24"/>
        </w:rPr>
        <w:t>ryterium niedowagi (w ICD-11 ustalono je na poziomie BMI &lt; 18,5, podczas gdy w ICD-10 wynosiło ono BMI &lt; 17,5).</w:t>
      </w:r>
    </w:p>
    <w:p w14:paraId="57E8DD59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Kryterium dotyczące lęku przed przytyciem rozszerzono. Obecnie obejmuje ono także nadmierne skupienie na masie i kształcie ciała oraz wszelkie zachowania prowadzące do utraty masy ciała.</w:t>
      </w:r>
    </w:p>
    <w:p w14:paraId="394DEFEC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Wprowadzono zasady dotyczące minimalnego czasu trwania objawów – określono go na 4 tygodnie.</w:t>
      </w:r>
    </w:p>
    <w:p w14:paraId="06071DC5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Dodano zupełnie nowe kategorie zaburzeń, do których należą m.in. napady objadania się (binge eating episodes / binge eating) oraz unikanie/ograniczanie jedzenia (food avoidance).</w:t>
      </w:r>
    </w:p>
    <w:p w14:paraId="2B869C95">
      <w:pPr>
        <w:pStyle w:val="4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Dzięki opisanym zmianom ograniczono liczbę wydawanych rozpoznań jako „nieokreślonych” zaburzeń odżywiania.</w:t>
      </w:r>
    </w:p>
    <w:p w14:paraId="7AB936A3">
      <w:pPr>
        <w:rPr>
          <w:rFonts w:hint="default" w:asciiTheme="minorAscii" w:hAnsiTheme="minorAscii"/>
          <w:sz w:val="24"/>
          <w:szCs w:val="24"/>
          <w:lang w:val="pl-P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29687"/>
    <w:multiLevelType w:val="singleLevel"/>
    <w:tmpl w:val="9BF296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9BFC7AFD"/>
    <w:multiLevelType w:val="singleLevel"/>
    <w:tmpl w:val="9BFC7A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9DFF2E2E"/>
    <w:multiLevelType w:val="singleLevel"/>
    <w:tmpl w:val="9DFF2E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ABDF4FE7"/>
    <w:multiLevelType w:val="singleLevel"/>
    <w:tmpl w:val="ABDF4FE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AFF8F261"/>
    <w:multiLevelType w:val="singleLevel"/>
    <w:tmpl w:val="AFF8F2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BBCB25C1"/>
    <w:multiLevelType w:val="singleLevel"/>
    <w:tmpl w:val="BBCB25C1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  <w:b w:val="0"/>
        <w:bCs w:val="0"/>
      </w:rPr>
    </w:lvl>
  </w:abstractNum>
  <w:abstractNum w:abstractNumId="6">
    <w:nsid w:val="BD78FD80"/>
    <w:multiLevelType w:val="singleLevel"/>
    <w:tmpl w:val="BD78FD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BEE3F96D"/>
    <w:multiLevelType w:val="singleLevel"/>
    <w:tmpl w:val="BEE3F9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8">
    <w:nsid w:val="CFBFFBA5"/>
    <w:multiLevelType w:val="singleLevel"/>
    <w:tmpl w:val="CFBFFB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9">
    <w:nsid w:val="DDBCC72A"/>
    <w:multiLevelType w:val="singleLevel"/>
    <w:tmpl w:val="DDBCC72A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0">
    <w:nsid w:val="EBCE5CB4"/>
    <w:multiLevelType w:val="singleLevel"/>
    <w:tmpl w:val="EBCE5C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F3BC9608"/>
    <w:multiLevelType w:val="singleLevel"/>
    <w:tmpl w:val="F3BC960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2">
    <w:nsid w:val="F3F022C4"/>
    <w:multiLevelType w:val="singleLevel"/>
    <w:tmpl w:val="F3F022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3">
    <w:nsid w:val="F4F61087"/>
    <w:multiLevelType w:val="singleLevel"/>
    <w:tmpl w:val="F4F610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4">
    <w:nsid w:val="F6362B69"/>
    <w:multiLevelType w:val="singleLevel"/>
    <w:tmpl w:val="F6362B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5">
    <w:nsid w:val="F7F5BC23"/>
    <w:multiLevelType w:val="singleLevel"/>
    <w:tmpl w:val="F7F5BC23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6">
    <w:nsid w:val="F9BABE26"/>
    <w:multiLevelType w:val="singleLevel"/>
    <w:tmpl w:val="F9BABE26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7">
    <w:nsid w:val="FAAEF6B3"/>
    <w:multiLevelType w:val="singleLevel"/>
    <w:tmpl w:val="FAAEF6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8">
    <w:nsid w:val="FDFEE5BB"/>
    <w:multiLevelType w:val="singleLevel"/>
    <w:tmpl w:val="FDFEE5BB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9">
    <w:nsid w:val="FF2A6B6A"/>
    <w:multiLevelType w:val="singleLevel"/>
    <w:tmpl w:val="FF2A6B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0">
    <w:nsid w:val="2CEEE952"/>
    <w:multiLevelType w:val="singleLevel"/>
    <w:tmpl w:val="2CEEE9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1">
    <w:nsid w:val="3719D796"/>
    <w:multiLevelType w:val="singleLevel"/>
    <w:tmpl w:val="3719D79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2">
    <w:nsid w:val="5FEE9384"/>
    <w:multiLevelType w:val="singleLevel"/>
    <w:tmpl w:val="5FEE93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3">
    <w:nsid w:val="7F776BCF"/>
    <w:multiLevelType w:val="singleLevel"/>
    <w:tmpl w:val="7F776B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4">
    <w:nsid w:val="7FF65E7B"/>
    <w:multiLevelType w:val="singleLevel"/>
    <w:tmpl w:val="7FF65E7B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4"/>
  </w:num>
  <w:num w:numId="2">
    <w:abstractNumId w:val="15"/>
  </w:num>
  <w:num w:numId="3">
    <w:abstractNumId w:val="2"/>
  </w:num>
  <w:num w:numId="4">
    <w:abstractNumId w:val="5"/>
  </w:num>
  <w:num w:numId="5">
    <w:abstractNumId w:val="1"/>
  </w:num>
  <w:num w:numId="6">
    <w:abstractNumId w:val="9"/>
  </w:num>
  <w:num w:numId="7">
    <w:abstractNumId w:val="19"/>
  </w:num>
  <w:num w:numId="8">
    <w:abstractNumId w:val="24"/>
  </w:num>
  <w:num w:numId="9">
    <w:abstractNumId w:val="22"/>
  </w:num>
  <w:num w:numId="10">
    <w:abstractNumId w:val="0"/>
  </w:num>
  <w:num w:numId="11">
    <w:abstractNumId w:val="12"/>
  </w:num>
  <w:num w:numId="12">
    <w:abstractNumId w:val="21"/>
  </w:num>
  <w:num w:numId="13">
    <w:abstractNumId w:val="20"/>
  </w:num>
  <w:num w:numId="14">
    <w:abstractNumId w:val="11"/>
  </w:num>
  <w:num w:numId="15">
    <w:abstractNumId w:val="17"/>
  </w:num>
  <w:num w:numId="16">
    <w:abstractNumId w:val="13"/>
  </w:num>
  <w:num w:numId="17">
    <w:abstractNumId w:val="6"/>
  </w:num>
  <w:num w:numId="18">
    <w:abstractNumId w:val="18"/>
  </w:num>
  <w:num w:numId="19">
    <w:abstractNumId w:val="23"/>
  </w:num>
  <w:num w:numId="20">
    <w:abstractNumId w:val="7"/>
  </w:num>
  <w:num w:numId="21">
    <w:abstractNumId w:val="8"/>
  </w:num>
  <w:num w:numId="22">
    <w:abstractNumId w:val="16"/>
  </w:num>
  <w:num w:numId="23">
    <w:abstractNumId w:val="3"/>
  </w:num>
  <w:num w:numId="24">
    <w:abstractNumId w:val="10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7816E"/>
    <w:rsid w:val="69B78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2026-06-01T16:37:00Z</dcterms:created>
  <dc:creator>Ala Wiącek</dc:creator>
  <cp:lastModifiedBy>Ala Wiącek</cp:lastModifiedBy>
  <dcterms:modified xsi:type="dcterms:W3CDTF">2026-06-01T17:07:02Z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1557B5DDECEAAAE01F991D6A0B600B88_41</vt:lpwstr>
  </property>
</Properties>
</file>