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 Shankar Mandal</w:t>
      </w:r>
    </w:p>
    <w:p>
      <w:r>
        <w:t>PCL IN GENERAL MEDICINE | NMC REG NO.: B-14940 Med GM</w:t>
      </w:r>
    </w:p>
    <w:p>
      <w:r>
        <w:t>Lahan-10, Siraha, Nepal</w:t>
      </w:r>
    </w:p>
    <w:p>
      <w:r>
        <w:t>ramshankar0175@gmail.com</w:t>
      </w:r>
    </w:p>
    <w:p>
      <w:r>
        <w:t>+9779826666599</w:t>
      </w:r>
    </w:p>
    <w:p>
      <w:pPr>
        <w:pStyle w:val="Heading1"/>
      </w:pPr>
      <w:r>
        <w:t>Summary</w:t>
      </w:r>
    </w:p>
    <w:p>
      <w:r>
        <w:t>Motivated healthcare professional with experience assisting anesthesia services, operating theatre procedures and peri-operative patient care.</w:t>
      </w:r>
    </w:p>
    <w:p>
      <w:r>
        <w:t>Skilled in preparing anesthesia equipment, assisting with airway management and intubation, monitoring vital signs and supporting anesthesiologists during surgical procedures.</w:t>
      </w:r>
    </w:p>
    <w:p>
      <w:pPr>
        <w:pStyle w:val="Heading1"/>
      </w:pPr>
      <w:r>
        <w:t>Experience</w:t>
      </w:r>
    </w:p>
    <w:p>
      <w:r>
        <w:t>Anesthesia Assistant – Om Sai Pathibhara Hospital (Feb 2020 – Feb 2026)</w:t>
      </w:r>
    </w:p>
    <w:p>
      <w:r>
        <w:t>• Provided assistance in general, spinal and regional anesthesia procedures in operating theatre.</w:t>
      </w:r>
    </w:p>
    <w:p>
      <w:r>
        <w:t>• Prepared anesthesia workstation and availability of airway equipment, ventilators and resuscitation drugs.</w:t>
      </w:r>
    </w:p>
    <w:p>
      <w:r>
        <w:t>• Assisted anesthesiologists during induction, intubation, maintenance and reversal of anesthesia.</w:t>
      </w:r>
    </w:p>
    <w:p>
      <w:r>
        <w:t>• Performed continuous intra‑operative patient monitoring (ECG, SPO2, NIBP, ETCO2).</w:t>
      </w:r>
    </w:p>
    <w:p>
      <w:r>
        <w:t>• Supported post‑anesthesia recovery monitoring and emergency resuscitation when required.</w:t>
      </w:r>
    </w:p>
    <w:p>
      <w:pPr>
        <w:pStyle w:val="Heading1"/>
      </w:pPr>
      <w:r>
        <w:t>Education</w:t>
      </w:r>
    </w:p>
    <w:p>
      <w:r>
        <w:t>Lahan Mary Children Academy (2068 – 2015)</w:t>
      </w:r>
    </w:p>
    <w:p>
      <w:r>
        <w:t>School Leaving Certificate, Lahan‑10, Siraha</w:t>
      </w:r>
    </w:p>
    <w:p>
      <w:r>
        <w:t>Unique College of Medical Science &amp; Hospital (2015 – 2018)</w:t>
      </w:r>
    </w:p>
    <w:p>
      <w:r>
        <w:t>Rajbiraj‑07, Saptari – PCL in General Medicine</w:t>
      </w:r>
    </w:p>
    <w:p>
      <w:pPr>
        <w:pStyle w:val="Heading1"/>
      </w:pPr>
      <w:r>
        <w:t>Skills</w:t>
      </w:r>
    </w:p>
    <w:p>
      <w:r>
        <w:t>• Emergency patient management</w:t>
      </w:r>
    </w:p>
    <w:p>
      <w:r>
        <w:t>• Critical care monitoring</w:t>
      </w:r>
    </w:p>
    <w:p>
      <w:r>
        <w:t>• Procedural assistance in OT</w:t>
      </w:r>
    </w:p>
    <w:p>
      <w:r>
        <w:t>• Anesthetic drug preparation</w:t>
      </w:r>
    </w:p>
    <w:p>
      <w:r>
        <w:t>• OT sterile protocol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