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s="Times New Roman"/>
        </w:rPr>
        <w:t>Numerical verification findings</w:t>
      </w:r>
    </w:p>
    <w:p>
      <w:r>
        <w:rPr>
          <w:rFonts w:ascii="Times New Roman" w:hAnsi="Times New Roman" w:eastAsia="Times New Roman" w:cs="Times New Roman"/>
          <w:sz w:val="20"/>
        </w:rPr>
        <w:t>22 October 2026 | Separate accompanying note</w:t>
      </w:r>
    </w:p>
    <w:p>
      <w:r>
        <w:rPr>
          <w:rFonts w:ascii="Times New Roman" w:hAnsi="Times New Roman" w:eastAsia="Times New Roman" w:cs="Times New Roman"/>
          <w:sz w:val="22"/>
        </w:rPr>
        <w:t>The revised institutional report is Part I of the combined document. Parts II and III retain all source wording and numerical content at the user’s express request. Findings below have not been applied to those two parts.</w:t>
      </w:r>
    </w:p>
    <w:p>
      <w:pPr>
        <w:pStyle w:val="Heading1"/>
      </w:pPr>
      <w:r>
        <w:rPr>
          <w:rFonts w:ascii="Times New Roman" w:hAnsi="Times New Roman" w:eastAsia="Times New Roman" w:cs="Times New Roman"/>
        </w:rPr>
        <w:t>Material findings</w:t>
      </w:r>
    </w:p>
    <w:p>
      <w:pPr>
        <w:pStyle w:val="Heading2"/>
      </w:pPr>
      <w:r>
        <w:rPr>
          <w:rFonts w:ascii="Times New Roman" w:hAnsi="Times New Roman" w:eastAsia="Times New Roman" w:cs="Times New Roman"/>
        </w:rPr>
        <w:t>2023 profit versus comprehensive income</w:t>
      </w:r>
    </w:p>
    <w:p>
      <w:r>
        <w:rPr>
          <w:rFonts w:ascii="Times New Roman" w:hAnsi="Times New Roman" w:eastAsia="Times New Roman" w:cs="Times New Roman"/>
          <w:sz w:val="22"/>
        </w:rPr>
        <w:t>The audited 2024 consolidated statements show 2023 profit of KZT 18.518265 bn and comprehensive income of KZT 18.599109 bn (printed p. 2). The original institutional report confused these measures; Part I now distinguishes them.</w:t>
      </w:r>
    </w:p>
    <w:p>
      <w:pPr>
        <w:pStyle w:val="Heading2"/>
      </w:pPr>
      <w:r>
        <w:rPr>
          <w:rFonts w:ascii="Times New Roman" w:hAnsi="Times New Roman" w:eastAsia="Times New Roman" w:cs="Times New Roman"/>
        </w:rPr>
        <w:t>2025 annual versus preliminary data</w:t>
      </w:r>
    </w:p>
    <w:p>
      <w:r>
        <w:rPr>
          <w:rFonts w:ascii="Times New Roman" w:hAnsi="Times New Roman" w:eastAsia="Times New Roman" w:cs="Times New Roman"/>
          <w:sz w:val="22"/>
        </w:rPr>
        <w:t>The supplied 2025 annual report reports Group assets of KZT 5,995.8 bn and CCP financial assets of KZT 5,610.9 bn (printed p. 63), versus 5,986.8 and 5,601.9 in Part II. The KZT 384.9 bn residual is the same. The annual report also reports net profit of about KZT 15.3 bn, expenses of KZT 11.3 bn and a personnel-cost share of 62% (pp. 64–65); Parts II–III use approximately 15.04 bn, 11.40 bn and 69%. These reporting sets must not be silently mixed.</w:t>
      </w:r>
    </w:p>
    <w:p>
      <w:pPr>
        <w:pStyle w:val="Heading2"/>
      </w:pPr>
      <w:r>
        <w:rPr>
          <w:rFonts w:ascii="Times New Roman" w:hAnsi="Times New Roman" w:eastAsia="Times New Roman" w:cs="Times New Roman"/>
        </w:rPr>
        <w:t>Dividends</w:t>
      </w:r>
    </w:p>
    <w:p>
      <w:r>
        <w:rPr>
          <w:rFonts w:ascii="Times New Roman" w:hAnsi="Times New Roman" w:eastAsia="Times New Roman" w:cs="Times New Roman"/>
          <w:sz w:val="22"/>
        </w:rPr>
        <w:t>The official AGM decision approves KZT 4,589,483,743.47, exactly equal to 1,075,231 shares × KZT 4,268.37. Relative to the approved KZT 15,298,263 thousand profit amount, this is approximately 30.0%, rather than the 30.1% obtained from rounding both numerator and denominator to billions.</w:t>
      </w:r>
    </w:p>
    <w:p>
      <w:pPr>
        <w:pStyle w:val="Heading2"/>
      </w:pPr>
      <w:r>
        <w:rPr>
          <w:rFonts w:ascii="Times New Roman" w:hAnsi="Times New Roman" w:eastAsia="Times New Roman" w:cs="Times New Roman"/>
        </w:rPr>
        <w:t>Internal arithmetic and models</w:t>
      </w:r>
    </w:p>
    <w:p>
      <w:r>
        <w:rPr>
          <w:rFonts w:ascii="Times New Roman" w:hAnsi="Times New Roman" w:eastAsia="Times New Roman" w:cs="Times New Roman"/>
          <w:sz w:val="22"/>
        </w:rPr>
        <w:t>Part II’s displayed capex of KZT 0.5 bn divided by operating income of KZT 30.09 bn is 1.66% (about 1.7%), not 1.8%; unpublished precision could affect that comparison. Using Part III’s displayed DDM inputs exactly gives approximately KZT 78,265.90 rather than KZT 78,295. Underlying unrounded model inputs were not supplied, so this is a reproducibility gap, not proof that the workbook used identical precision.</w:t>
      </w:r>
    </w:p>
    <w:p>
      <w:pPr>
        <w:pStyle w:val="Heading2"/>
      </w:pPr>
      <w:r>
        <w:rPr>
          <w:rFonts w:ascii="Times New Roman" w:hAnsi="Times New Roman" w:eastAsia="Times New Roman" w:cs="Times New Roman"/>
        </w:rPr>
        <w:t>Checks that passed</w:t>
      </w:r>
    </w:p>
    <w:p>
      <w:r>
        <w:rPr>
          <w:rFonts w:ascii="Times New Roman" w:hAnsi="Times New Roman" w:eastAsia="Times New Roman" w:cs="Times New Roman"/>
          <w:sz w:val="22"/>
        </w:rPr>
        <w:t>The disclosed shareholder categories total 99.98%, consistent with the stated rounding difference. All thirteen risk scores equal likelihood × impact, and their heat-map positions match. The two supplementary reports’ complete text-node sequences and table counts were checked against the source Word files.</w:t>
      </w:r>
    </w:p>
    <w:p>
      <w:pPr>
        <w:pStyle w:val="Heading1"/>
      </w:pPr>
      <w:r>
        <w:rPr>
          <w:rFonts w:ascii="Times New Roman" w:hAnsi="Times New Roman" w:eastAsia="Times New Roman" w:cs="Times New Roman"/>
        </w:rPr>
        <w:t>Limits of verification</w:t>
      </w:r>
    </w:p>
    <w:p>
      <w:r>
        <w:rPr>
          <w:rFonts w:ascii="Times New Roman" w:hAnsi="Times New Roman" w:eastAsia="Times New Roman" w:cs="Times New Roman"/>
          <w:sz w:val="22"/>
        </w:rPr>
        <w:t>This is not a certification that every number in the unchanged supplementary reports is correct. Their underlying Excel workbook, complete historical input set and authenticated share-price series were not supplied. Forecast growth, beta, terminal assumptions, sensitivities and risk scores are analyst assumptions or calculations, not verifiable future facts. Some historical role and publication-date claims also remain qualified beside the relevant text in Part I.</w:t>
      </w:r>
    </w:p>
    <w:p>
      <w:pPr>
        <w:pStyle w:val="Heading1"/>
      </w:pPr>
      <w:r>
        <w:rPr>
          <w:rFonts w:ascii="Times New Roman" w:hAnsi="Times New Roman" w:eastAsia="Times New Roman" w:cs="Times New Roman"/>
        </w:rPr>
        <w:t>Primary sources</w:t>
      </w:r>
    </w:p>
    <w:p>
      <w:r>
        <w:rPr>
          <w:rFonts w:ascii="Times New Roman" w:hAnsi="Times New Roman" w:eastAsia="Times New Roman" w:cs="Times New Roman"/>
          <w:sz w:val="18"/>
        </w:rPr>
        <w:t>KASE 2024 audited consolidated statements, printed p. 2</w:t>
        <w:br/>
        <w:t>https://kase.kz/uploads/kasef6_2024_cons_0b310589ea.pdf</w:t>
      </w:r>
    </w:p>
    <w:p>
      <w:r>
        <w:rPr>
          <w:rFonts w:ascii="Times New Roman" w:hAnsi="Times New Roman" w:eastAsia="Times New Roman" w:cs="Times New Roman"/>
          <w:sz w:val="18"/>
        </w:rPr>
        <w:t>KASE 2025 annual report, printed pp. 63–65 (English edition supplied; official link is Russian)</w:t>
        <w:br/>
        <w:t>https://kase.kz/files/reports/Annual_report_2025.pdf</w:t>
      </w:r>
    </w:p>
    <w:p>
      <w:r>
        <w:rPr>
          <w:rFonts w:ascii="Times New Roman" w:hAnsi="Times New Roman" w:eastAsia="Times New Roman" w:cs="Times New Roman"/>
          <w:sz w:val="18"/>
        </w:rPr>
        <w:t>KASE AGM decisions, 28 May 2026</w:t>
        <w:br/>
        <w:t>https://kase.kz/en/information/news/show/1567470</w:t>
      </w:r>
    </w:p>
    <w:p>
      <w:r>
        <w:rPr>
          <w:rFonts w:ascii="Times New Roman" w:hAnsi="Times New Roman" w:eastAsia="Times New Roman" w:cs="Times New Roman"/>
          <w:sz w:val="18"/>
        </w:rPr>
        <w:t>KASE shareholders, dated 1 August 2026</w:t>
        <w:br/>
        <w:t>https://kase.kz/en/about/stockholders</w:t>
      </w:r>
    </w:p>
    <w:sectPr w:rsidR="00FC693F" w:rsidRPr="0006063C" w:rsidSect="00034616">
      <w:headerReference w:type="default" r:id="rId9"/>
      <w:footerReference w:type="default" r:id="rId10"/>
      <w:pgSz w:w="12240" w:h="15840"/>
      <w:pgMar w:top="1008" w:right="1152" w:bottom="936" w:left="115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color w:val="696969"/>
        <w:sz w:val="16"/>
      </w:rPr>
      <w:t xml:space="preserve">KASE  •  Compiled 22 October 2026     |     </w:t>
    </w:r>
    <w:r>
      <w:rPr>
        <w:rFonts w:ascii="Times New Roman" w:hAnsi="Times New Roman" w:eastAsia="Times New Roman" w:cs="Times New Roman"/>
        <w:color w:val="696969"/>
        <w:sz w:val="16"/>
      </w:rPr>
      <w:fldChar w:fldCharType="begin"/>
    </w:r>
    <w:r>
      <w:rPr>
        <w:rFonts w:ascii="Times New Roman" w:hAnsi="Times New Roman" w:eastAsia="Times New Roman" w:cs="Times New Roman"/>
        <w:color w:val="696969"/>
        <w:sz w:val="16"/>
      </w:rPr>
      <w:instrText xml:space="preserve"> PAGE </w:instrText>
    </w:r>
    <w:r>
      <w:rPr>
        <w:rFonts w:ascii="Times New Roman" w:hAnsi="Times New Roman" w:eastAsia="Times New Roman" w:cs="Times New Roman"/>
        <w:color w:val="696969"/>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cs="Times New Roman"/>
        <w:color w:val="696969"/>
        <w:sz w:val="16"/>
      </w:rPr>
      <w:drawing>
        <wp:inline xmlns:a="http://schemas.openxmlformats.org/drawingml/2006/main" xmlns:pic="http://schemas.openxmlformats.org/drawingml/2006/picture">
          <wp:extent cx="777240" cy="269655"/>
          <wp:docPr id="1" name="Picture 1"/>
          <wp:cNvGraphicFramePr>
            <a:graphicFrameLocks noChangeAspect="1"/>
          </wp:cNvGraphicFramePr>
          <a:graphic>
            <a:graphicData uri="http://schemas.openxmlformats.org/drawingml/2006/picture">
              <pic:pic>
                <pic:nvPicPr>
                  <pic:cNvPr id="0" name="kase_logo.png"/>
                  <pic:cNvPicPr/>
                </pic:nvPicPr>
                <pic:blipFill>
                  <a:blip r:embed="rId1"/>
                  <a:stretch>
                    <a:fillRect/>
                  </a:stretch>
                </pic:blipFill>
                <pic:spPr>
                  <a:xfrm>
                    <a:off x="0" y="0"/>
                    <a:ext cx="777240" cy="269655"/>
                  </a:xfrm>
                  <a:prstGeom prst="rect"/>
                </pic:spPr>
              </pic:pic>
            </a:graphicData>
          </a:graphic>
        </wp:inline>
      </w:drawing>
    </w:r>
    <w:r>
      <w:rPr>
        <w:rFonts w:ascii="Times New Roman" w:hAnsi="Times New Roman" w:eastAsia="Times New Roman" w:cs="Times New Roman"/>
        <w:color w:val="696969"/>
        <w:sz w:val="16"/>
      </w:rPr>
      <w:t xml:space="preserve">   |   RESEARCH COMPILATION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eastAsia="Times New Roman" w:cs="Times New Roman"/>
      <w:color w:val="45464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eastAsia="Times New Roman" w:cs="Times New Roman"/>
      <w:b/>
      <w:bCs/>
      <w:color w:val="038726"/>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imes New Roman" w:hAnsi="Times New Roman" w:eastAsia="Times New Roman" w:cs="Times New Roman"/>
      <w:b/>
      <w:bCs/>
      <w:color w:val="038726"/>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imes New Roman" w:hAnsi="Times New Roman" w:eastAsia="Times New Roman" w:cs="Times New Roman"/>
      <w:b/>
      <w:bCs/>
      <w:color w:val="0387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038726"/>
      </w:pBdr>
      <w:spacing w:after="120" w:line="240" w:lineRule="auto" w:before="280"/>
      <w:contextualSpacing/>
    </w:pPr>
    <w:rPr>
      <w:rFonts w:ascii="Times New Roman" w:hAnsi="Times New Roman" w:eastAsia="Times New Roman" w:cs="Times New Roman"/>
      <w:b/>
      <w:color w:val="038726"/>
      <w:spacing w:val="5"/>
      <w:kern w:val="28"/>
      <w:sz w:val="50"/>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280" w:after="120"/>
    </w:pPr>
    <w:rPr>
      <w:rFonts w:ascii="Times New Roman" w:hAnsi="Times New Roman" w:eastAsia="Times New Roman" w:cs="Times New Roman"/>
      <w:b/>
      <w:i/>
      <w:iCs/>
      <w:color w:val="038726"/>
      <w:spacing w:val="15"/>
      <w:sz w:val="28"/>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696969"/>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038726"/>
      </w:pBd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