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keepLines/>
        <w:pageBreakBefore w:val="0"/>
        <w:widowControl/>
        <w:spacing w:line="252" w:lineRule="auto" w:after="80"/>
        <w:ind w:firstLine="0"/>
        <w:jc w:val="left"/>
      </w:pPr>
      <w:r>
        <w:rPr>
          <w:rFonts w:ascii="Times New Roman" w:hAnsi="Times New Roman" w:eastAsia="Times New Roman" w:cs="Times New Roman"/>
          <w:b/>
          <w:color w:val="038726"/>
          <w:sz w:val="50"/>
        </w:rPr>
        <w:t>KASE Institutional Research Report</w:t>
      </w:r>
    </w:p>
    <w:p>
      <w:pPr>
        <w:pStyle w:val="Subtitle"/>
        <w:keepNext w:val="0"/>
        <w:keepLines w:val="0"/>
        <w:pageBreakBefore w:val="0"/>
        <w:widowControl/>
        <w:spacing w:line="252" w:lineRule="auto" w:after="80"/>
        <w:ind w:firstLine="0"/>
      </w:pPr>
      <w:r>
        <w:rPr>
          <w:rFonts w:ascii="Times New Roman" w:hAnsi="Times New Roman" w:eastAsia="Times New Roman" w:cs="Times New Roman"/>
          <w:color w:val="45464F"/>
          <w:sz w:val="24"/>
        </w:rPr>
        <w:t>Strategic and financial review | Research cutoff: 21 October 2026</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Revised 22 October 2026. Amounts are in KZT unless stated otherwise. This institutional review contains no investment rating, target share price or financial forecast.</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Evidence basis: the supplied KASE Group annual reports, the original audited consolidated statements opened on KASE’s website, and dated official announcements. Annual-report figures rounded to billions are retained at that precision. Undated pages accessed after the cutoff corroborate roles and infrastructure but do not prove an unchanged historical position.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Contents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1 Executive summary • 2 Business model and market profile • 3 Strategic environment and PESTEL • 4 KASE and AIX • 5 Historical financial performance and shares • 6 Ownership, governance and leadership • 7 Enterprise risks • 8 News and interviews • 9 Conclusion • 10 References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1  Executive summary</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KASE combines securities, foreign-exchange, money-market and derivatives trading within a shared market infrastructure. Its wholly owned subsidiary, KASE Clearing Centre (KACC), provides central-counterparty services. This creates recurring demand from banks, brokers, issuers and investors, while linking the Group’s resilience to reliable trading, collateral management and settlement. Exchange turnover, Group operating income and the capitalisation of listed companies measure different things and must be read separately [1, printed pp. 12–13, 41–43].</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audited-results overview in the 2025 annual report records Group operating income of approximately KZT 30.0 billion, fee income of KZT 11.9 billion, gross interest income of KZT 18.2 billion, operating expenses of KZT 11.3 billion and net profit of KZT 15.3 billion. Interest income therefore represents approximately 60.7% of operating income, calculated from rounded figures; this is not a net interest margin [1, printed pp.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financial model benefits from market activity and investable balances, but those drivers are not interchangeable. Lower rates can reduce placement yields while improving issuer financing conditions. Technology investment can broaden access while increasing delivery and cyber risks. Governance must balance participant interests, dividends and the funding of resilient infrastructure. The National Bank’s disclosed 47.00% shareholding is a plurality; bank-category ownership does not establish coordinated voting [4].</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2  KASE business model and market profile</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2.1  Services and economic channels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Exchange earns trading, listing, membership, information and connectivity fees. Clearing fees arise within the Group’s post-trade activities. Interest income is generated on eligible placements of financial resources, including balances associated with clearing; restrictions, investment mandates and related obligations matter when interpreting those resources. KASE JSC, KASE Group and KACC are distinguished throughout this review [1, printed pp. 12–13, 63–65].</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Activity</w:t>
            </w:r>
          </w:p>
        </w:tc>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Service and financial transmission</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Securities</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Equities, government and corporate debt, KASE Global and fund instruments support trading and listing fees; issuance volumes and secondary liquidity can behave differently.</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Foreign exchange</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Currency trading supports price discovery and transaction fees; volatility can raise short-term turnover but also strain participant liquidity.</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Money markets</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Repo and currency swaps support funding and collateral management. Large turnover does not imply a proportionately large fee contribution.</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Derivatives</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Hedging products require broker distribution, market-making and dependable margin processes; product availability alone does not establish active demand.</w:t>
            </w:r>
          </w:p>
        </w:tc>
      </w:tr>
      <w:tr>
        <w:trPr>
          <w:cantSplit/>
        </w:trPr>
        <w:tc>
          <w:tcPr>
            <w:tcW w:type="dxa" w:w="4968"/>
            <w:shd w:fill="EFF6F0"/>
          </w:tcPr>
          <w:p>
            <w:pPr>
              <w:keepNext w:val="0"/>
              <w:widowControl/>
              <w:spacing w:before="40" w:after="60" w:line="250" w:lineRule="auto"/>
            </w:pPr>
            <w:r>
              <w:rPr>
                <w:rFonts w:ascii="Times New Roman" w:hAnsi="Times New Roman" w:eastAsia="Times New Roman" w:cs="Times New Roman"/>
                <w:color w:val="45464F"/>
                <w:sz w:val="20"/>
              </w:rPr>
              <w:t>Post-trade and information</w:t>
            </w:r>
          </w:p>
        </w:tc>
        <w:tc>
          <w:tcPr>
            <w:tcW w:type="dxa" w:w="4968"/>
            <w:shd w:fill="EFF6F0"/>
          </w:tcPr>
          <w:p>
            <w:pPr>
              <w:keepNext w:val="0"/>
              <w:widowControl/>
              <w:spacing w:before="40" w:after="60" w:line="250" w:lineRule="auto"/>
            </w:pPr>
            <w:r>
              <w:rPr>
                <w:rFonts w:ascii="Times New Roman" w:hAnsi="Times New Roman" w:eastAsia="Times New Roman" w:cs="Times New Roman"/>
                <w:color w:val="45464F"/>
                <w:sz w:val="20"/>
              </w:rPr>
              <w:t>KACC clearing services, data and connectivity contribute to the franchise; their costs, legal entities and contractual obligations differ.</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pp. 12–13, 41–43 and 62–65. Transmission channels are analyst interpretation.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2.2  Verified market scale</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2025 indicator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Value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Definition</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Total trading turnover</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400,798.5 bn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All KASE markets; gross trading value, not Exchange revenue.</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Money-market turnover</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KZT 334,048.9 bn</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Repo and currency swaps.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Foreign-exchange turnover</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51,226.6 bn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Separate from securities turnover.</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Securities-market turnover</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KZT 15,513.6 bn</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The report’s securities-market scope.</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Equity-market capitalisation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KZT 39.0 tn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Value of the listed equity market, not KASE’s own equity value.</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KASE Index</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7,031.32 points; +26.1%</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Year-end level and annual index performance.</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pp. 40–43, Table 4. Turnover components and totals retain the source’s units and rounding.</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Money markets account for approximately 83.3% of aggregate turnover (334,048.9 / 400,798.5; analyst calculation). This mix explains why the headline total is unsuitable as a direct benchmark for an exchange reporting only securities transactions. It also means that issuer growth, fee yields and investor engagement are needed alongside turnover to assess the business franchise.</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3  Strategic environment and PESTEL analysis</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3.1  The most material external drivers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Interest rates and investable balances are the first driver. The National Bank lowered its base rate to 16.25% on 4 September 2026; September annual inflation was 9.3%. The large gross-interest share of Group operating income makes repricing material, but the actual profit effect depends on asset maturities, eligible balances, liability costs and pass-through. The policy rate is not a substitute for the yield earned on the portfolio [1, 7–8].</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Market depth and financing demand are the second driver. The annual report records 2025 fee income growth of 20% and securities-market turnover growth of 20.1%. Completed listings, repeat issuance and active secondary trading can sustain fee income; additional accounts or products alone do not demonstrate monetisation. Higher financing costs may deter issuance even when market volatility increases trading [1, printed pp. 41 and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Operational continuity and cross-border access are the third driver. Shared systems and clearing links can transmit disruption across markets. The annual report describes continuity planning, remote-site development, recovery testing and sanctions monitoring. These disclosed controls support resilience, while their operating effectiveness still depends on testing and remediation [1, printed pp. 78–85].</w:t>
      </w:r>
    </w:p>
    <w:p>
      <w:pPr>
        <w:keepNext w:val="0"/>
        <w:keepLines w:val="0"/>
        <w:pageBreakBefore w:val="0"/>
        <w:widowControl/>
        <w:spacing w:line="252" w:lineRule="auto" w:after="80"/>
        <w:ind w:firstLine="0"/>
        <w:sectPr>
          <w:pgSz w:w="12240" w:h="15840"/>
          <w:pgMar w:left="1152" w:right="1152" w:top="1008" w:bottom="936" w:header="360" w:footer="360"/>
        </w:sectPr>
      </w:pP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3.2  Six-factor PESTEL matrix</w:t>
      </w:r>
    </w:p>
    <w:tbl>
      <w:tblPr>
        <w:tblStyle w:val="TableGrid"/>
        <w:tblW w:type="auto" w:w="0"/>
        <w:tblLayout w:type="fixed"/>
        <w:tblLook w:firstColumn="1" w:firstRow="1" w:lastColumn="0" w:lastRow="0" w:noHBand="0" w:noVBand="1" w:val="04A0"/>
      </w:tblPr>
      <w:tblGrid>
        <w:gridCol w:w="2328"/>
        <w:gridCol w:w="2328"/>
        <w:gridCol w:w="2328"/>
        <w:gridCol w:w="2328"/>
        <w:gridCol w:w="2328"/>
        <w:gridCol w:w="2328"/>
      </w:tblGrid>
      <w:tr>
        <w:trPr>
          <w:cantSplit/>
          <w:tblHeader/>
        </w:trPr>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Factor</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Verified evidence and date</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Transmission to KASE</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Financial or operational implications</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Risk or opportunity</w:t>
            </w:r>
          </w:p>
        </w:tc>
        <w:tc>
          <w:tcPr>
            <w:tcW w:type="dxa" w:w="2328"/>
            <w:shd w:fill="038726"/>
          </w:tcPr>
          <w:p>
            <w:pPr>
              <w:keepNext/>
              <w:widowControl/>
              <w:spacing w:before="40" w:after="60" w:line="250" w:lineRule="auto"/>
            </w:pPr>
            <w:r>
              <w:rPr>
                <w:rFonts w:ascii="Times New Roman" w:hAnsi="Times New Roman" w:eastAsia="Times New Roman" w:cs="Times New Roman"/>
                <w:b/>
                <w:color w:val="FFFFFF"/>
                <w:sz w:val="18"/>
              </w:rPr>
              <w:t>Response</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Political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NBK ownership 47.00%, dated 1 Aug 2026 [4]; sanctions monitoring disclosed for 2025 [1, pp. 82–83].</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Public-policy priorities, international restrictions and dependencies affect partners and market access.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Compliance and infrastructure costs; possible changes in foreign participation and fee activity.</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Infrastructure support and market-development opportunities; access and concentration risks.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Map counterparties and vendors; review conflicts independently; maintain lawful alternative arrangements.</w:t>
            </w:r>
          </w:p>
        </w:tc>
      </w:tr>
      <w:tr>
        <w:trPr>
          <w:cantSplit/>
        </w:trPr>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Economic</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Base rate 16.25%, 4 Sep 2026 [7]; annual inflation 9.3%, Sep 2026 [8].</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Rates affect placements and issuance costs; FX and commodity conditions affect liquidity and collateral.</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Interest contribution, listing demand and transaction fees can move in different directions; wage and vendor costs face inflation.</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Income repricing risk alongside potential recovery in financing demand.</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Monitor net repricing gaps, effective yields, issuance conversion, collateral and participant funding.</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Social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KASE Academy and financial-literacy work reported for 2025 [1, pp. 24–29]; tax-education cooperation announced 15 Oct 2026 [17].</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Knowledge, trust and broker distribution influence participation and retention.</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Active funded users can support fees; inactive accounts and marketing alone do not prove recurring revenue.</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Broader access and savings participation; conduct and confidence risks.</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Monitor active participation, retention and complaints; communicate product risks clearly.</w:t>
            </w:r>
          </w:p>
        </w:tc>
      </w:tr>
      <w:tr>
        <w:trPr>
          <w:cantSplit/>
        </w:trPr>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Technological</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Continuity and security arrangements disclosed for 2025 [1, pp. 82–85]; derivatives distribution remarks, 8 Oct 2026 [16].</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APIs, brokers, vendors and recovery arrangements determine access and service availability.</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Development, support and cyber costs precede uncertain adoption; outages interrupt services.</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New distribution and efficiency opportunities; migration, custody and cyber risks.</w:t>
            </w:r>
          </w:p>
        </w:tc>
        <w:tc>
          <w:tcPr>
            <w:tcW w:type="dxa" w:w="2328"/>
            <w:shd w:fill="FFFFFF"/>
          </w:tcPr>
          <w:p>
            <w:pPr>
              <w:keepNext/>
              <w:widowControl/>
              <w:spacing w:before="40" w:after="60" w:line="250" w:lineRule="auto"/>
            </w:pPr>
            <w:r>
              <w:rPr>
                <w:rFonts w:ascii="Times New Roman" w:hAnsi="Times New Roman" w:eastAsia="Times New Roman" w:cs="Times New Roman"/>
                <w:color w:val="45464F"/>
                <w:sz w:val="18"/>
              </w:rPr>
              <w:t>Use release gates, reconciliation and rollback tests; test recovery across vendors and participants.</w:t>
            </w:r>
          </w:p>
        </w:tc>
      </w:tr>
      <w:tr>
        <w:trPr>
          <w:cantSplit/>
        </w:trPr>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Environmental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Sustainable-development and ESG initiatives described for 2025 [1, pp. 30–33].</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Transition financing can increase issuer demand; physical and transition risks affect issuers and collateral.</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Potential listing and service fees; credit deterioration can weaken activity and collateral quality.</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Sustainable-finance opportunity and greenwashing risk.</w:t>
            </w:r>
          </w:p>
        </w:tc>
        <w:tc>
          <w:tcPr>
            <w:tcW w:type="dxa" w:w="2328"/>
            <w:shd w:fill="EFF6F0"/>
          </w:tcPr>
          <w:p>
            <w:pPr>
              <w:keepNext/>
              <w:widowControl/>
              <w:spacing w:before="40" w:after="60" w:line="250" w:lineRule="auto"/>
            </w:pPr>
            <w:r>
              <w:rPr>
                <w:rFonts w:ascii="Times New Roman" w:hAnsi="Times New Roman" w:eastAsia="Times New Roman" w:cs="Times New Roman"/>
                <w:color w:val="45464F"/>
                <w:sz w:val="18"/>
              </w:rPr>
              <w:t>Assess use of proceeds and verification; monitor sector concentrations and climate-sensitive collateral.</w:t>
            </w:r>
          </w:p>
        </w:tc>
      </w:tr>
      <w:tr>
        <w:trPr>
          <w:cantSplit/>
        </w:trPr>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Legal</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KASE licences and governance framework described in the 2025 report [1, pp. 12–13, 66–73]; AIX operates in the AIFC/AFSA framework [10].</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Listing, securities, AML, sanctions, data and post-trade obligations shape products and onboarding.</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Compliance spending and launch timing; legal uncertainty can restrict access or raise disputes.</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Clear rules support adoption; changes increase execution requirements.</w:t>
            </w:r>
          </w:p>
        </w:tc>
        <w:tc>
          <w:tcPr>
            <w:tcW w:type="dxa" w:w="2328"/>
            <w:shd w:fill="FFFFFF"/>
          </w:tcPr>
          <w:p>
            <w:pPr>
              <w:keepNext w:val="0"/>
              <w:widowControl/>
              <w:spacing w:before="40" w:after="60" w:line="250" w:lineRule="auto"/>
            </w:pPr>
            <w:r>
              <w:rPr>
                <w:rFonts w:ascii="Times New Roman" w:hAnsi="Times New Roman" w:eastAsia="Times New Roman" w:cs="Times New Roman"/>
                <w:color w:val="45464F"/>
                <w:sz w:val="18"/>
              </w:rPr>
              <w:t>Maintain dated obligations, legal approval gates, screening and product-specific tax advice.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Responses and transmission analysis are analyst proposals. They do not imply that an undisclosed control is absent.</w:t>
      </w:r>
    </w:p>
    <w:p>
      <w:pPr>
        <w:keepNext w:val="0"/>
        <w:keepLines w:val="0"/>
        <w:pageBreakBefore w:val="0"/>
        <w:widowControl/>
        <w:spacing w:line="252" w:lineRule="auto" w:after="80"/>
        <w:ind w:firstLine="0"/>
        <w:sectPr>
          <w:pgSz w:w="15840" w:h="12240" w:orient="landscape"/>
          <w:pgMar w:left="936" w:right="936" w:top="1008" w:bottom="936" w:header="360" w:footer="360"/>
        </w:sectPr>
      </w:pP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4  Competitive landscape: KASE and AIX</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Dimension</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KASE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AIX</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Ownership and governance</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NBK and participant shareholder categories are disclosed; category totals do not establish a voting bloc [4].</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Official shareholder page names AIFC Authority, China–Kazakhstan Production Capacity Cooperation Fund, Nasdaq and Shanghai Stock Exchange; no percentages asserted [9].</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Regulatory framework</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Kazakhstan securities-market legislation and national regulatory licences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AIFC framework based on English common-law principles; supervised by AFSA [10].</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Products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Securities, FX, repo/swaps and derivatives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Equities, fixed income, structured products and funds [10].</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Issuer base and listing activity</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Broad domestic financing and treasury functions; issuer opportunities must be assessed by segment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Domestic and international issuer access and a role in privatisation and cross-listings [10].</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Investor access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Banks, brokers and eligible investors access a multi-market infrastructure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Local and international members and CSD participants provide access [10–11].</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Trading and post-trade</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KASE trading and the separately identified KACC central-counterparty infrastructure [1].</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Nasdaq-powered trading; AIX CSD provides post-trade infrastructure [9–11].</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Technology and distribution</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Shared trading/clearing systems and broker connectivity; continuity is central to the model [1].</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International technology partners and member distribution; service availability does not prove equivalent liquidity [9–11].</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Strengths and limitations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Broad domestic funding and collateral franchise; exposes earnings to monetary conditions and systemic infrastructure obligations.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International-facing securities proposition; liquidity, access and service costs must be compared instrument by instrument.</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Sources: [1, 4, 9–11], accessed 22 October 2026 where undated. Positioning is analyst interpretation; undated descriptions do not independently date every capability to the cutoff.</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strongest competitive overlap concerns issuers, securities liquidity, investor access and distribution. KASE’s FX and repo franchise makes its aggregate business scope broader than a securities-only comparison. AIX’s international shareholders and AIFC framework may matter to particular issuers, but they do not establish that AIX is universally preferable. Execution quality, total access costs, custody arrangements and investor demand require product-level evidence.</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numerical ranking is made because a matched dataset with consistent dates, currency, transaction definitions and market coverage was not established. Likewise, no blanket tax advantage is assumed: investor residence, instrument status and transaction conditions must be checked under the applicable law. AIX’s own description of benefits is not a substitute for that legal analysis.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5  Historical financial performance and share information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5.1  Comparable Group operating results</w:t>
      </w:r>
    </w:p>
    <w:tbl>
      <w:tblPr>
        <w:tblStyle w:val="TableGrid"/>
        <w:tblW w:type="auto" w:w="0"/>
        <w:tblLayout w:type="fixed"/>
        <w:tblLook w:firstColumn="1" w:firstRow="1" w:lastColumn="0" w:lastRow="0" w:noHBand="0" w:noVBand="1" w:val="04A0"/>
      </w:tblPr>
      <w:tblGrid>
        <w:gridCol w:w="2484"/>
        <w:gridCol w:w="2484"/>
        <w:gridCol w:w="2484"/>
        <w:gridCol w:w="2484"/>
      </w:tblGrid>
      <w:tr>
        <w:trPr>
          <w:cantSplit/>
          <w:tblHeader/>
        </w:trPr>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KZT bn unless stated</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2023</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2024</w:t>
            </w:r>
          </w:p>
        </w:tc>
        <w:tc>
          <w:tcPr>
            <w:tcW w:type="dxa" w:w="2484"/>
            <w:shd w:fill="038726"/>
          </w:tcPr>
          <w:p>
            <w:pPr>
              <w:keepNext/>
              <w:widowControl/>
              <w:spacing w:before="40" w:after="60" w:line="250" w:lineRule="auto"/>
            </w:pPr>
            <w:r>
              <w:rPr>
                <w:rFonts w:ascii="Times New Roman" w:hAnsi="Times New Roman" w:eastAsia="Times New Roman" w:cs="Times New Roman"/>
                <w:b/>
                <w:color w:val="FFFFFF"/>
                <w:sz w:val="20"/>
              </w:rPr>
              <w:t>2025</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Fee and commission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8.124582</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9.898636</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≈11.9</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Gross interest income</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19.253044</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15.806340</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≈18.2</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Operating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27.381309</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25.934002</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≈30.0</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Administrative/operating expenses</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6.059908</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8.149297</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≈11.3</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Profit before income tax</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21.321401</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17.784705</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Not reproduced at exact precision</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Net profit</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18.518265</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15.449871</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≈15.3</w:t>
            </w:r>
          </w:p>
        </w:tc>
      </w:tr>
      <w:tr>
        <w:trPr>
          <w:cantSplit/>
        </w:trPr>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Total comprehensive income</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18.599109</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15.449871</w:t>
            </w:r>
          </w:p>
        </w:tc>
        <w:tc>
          <w:tcPr>
            <w:tcW w:type="dxa" w:w="2484"/>
            <w:shd w:fill="EFF6F0"/>
          </w:tcPr>
          <w:p>
            <w:pPr>
              <w:keepNext/>
              <w:widowControl/>
              <w:spacing w:before="40" w:after="60" w:line="250" w:lineRule="auto"/>
            </w:pPr>
            <w:r>
              <w:rPr>
                <w:rFonts w:ascii="Times New Roman" w:hAnsi="Times New Roman" w:eastAsia="Times New Roman" w:cs="Times New Roman"/>
                <w:color w:val="45464F"/>
                <w:sz w:val="20"/>
              </w:rPr>
              <w:t>Not used as net profit</w:t>
            </w:r>
          </w:p>
        </w:tc>
      </w:tr>
      <w:tr>
        <w:trPr>
          <w:cantSplit/>
        </w:trPr>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Net profit / operating income</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67.6%</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59.6%</w:t>
            </w:r>
          </w:p>
        </w:tc>
        <w:tc>
          <w:tcPr>
            <w:tcW w:type="dxa" w:w="2484"/>
            <w:shd w:fill="FFFFFF"/>
          </w:tcPr>
          <w:p>
            <w:pPr>
              <w:keepNext/>
              <w:widowControl/>
              <w:spacing w:before="40" w:after="60" w:line="250" w:lineRule="auto"/>
            </w:pPr>
            <w:r>
              <w:rPr>
                <w:rFonts w:ascii="Times New Roman" w:hAnsi="Times New Roman" w:eastAsia="Times New Roman" w:cs="Times New Roman"/>
                <w:color w:val="45464F"/>
                <w:sz w:val="20"/>
              </w:rPr>
              <w:t>≈51.0%</w:t>
            </w:r>
          </w:p>
        </w:tc>
      </w:tr>
      <w:tr>
        <w:trPr>
          <w:cantSplit/>
        </w:trPr>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Operating expenses / operating income</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22.1%</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31.4%</w:t>
            </w:r>
          </w:p>
        </w:tc>
        <w:tc>
          <w:tcPr>
            <w:tcW w:type="dxa" w:w="2484"/>
            <w:shd w:fill="EFF6F0"/>
          </w:tcPr>
          <w:p>
            <w:pPr>
              <w:keepNext w:val="0"/>
              <w:widowControl/>
              <w:spacing w:before="40" w:after="60" w:line="250" w:lineRule="auto"/>
            </w:pPr>
            <w:r>
              <w:rPr>
                <w:rFonts w:ascii="Times New Roman" w:hAnsi="Times New Roman" w:eastAsia="Times New Roman" w:cs="Times New Roman"/>
                <w:color w:val="45464F"/>
                <w:sz w:val="20"/>
              </w:rPr>
              <w:t>≈37.7%</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2023–2024: [2], consolidated profit-or-loss statement, printed p. 2 (PDF p. 8), including the restated comparative. Amounts converted from KZT thousand to KZT billion. 2025: [1], printed pp. 64–65, audited-results overview rounded to billions. Ratios are analyst calculations; 2025 ratios use rounded inputs.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earlier draft confused 2023 net profit with total comprehensive income. The audited comparative separates KZT 18.518265 billion of profit from KZT 18.599109 billion of comprehensive income. Using the profit figures, the 2024 decline was 16.6% (analyst calculation). The annual report describes the further 2025 profit decline as approximately 1%, despite operating-income growth of 16%, because expenses rose by 39% [1–2].</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Fee income and gross interest receipts both increased in 2025, while expenses grew faster than operating income. The annual report attributes 62% of 2025 operating expenses to personnel, 12% to depreciation and amortisation, and 7% to maintenance of fixed assets. These audited-results classifications should not be replaced with personnel percentages derived from a different preliminary reporting set [1, printed pp. 64–65].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Gross interest income is not the net return available to shareholders. Net interest contribution, taxes, restrictions on assets and intra-group eliminations must be considered. No hypothetical rate-to-profit coefficient is presented, and no unsupported causal explanation of the tax movement is retained.</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5.2  Clearing positions, capital and liquidity</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2025 year-end Group item</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KZT bn, rounded</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Interpretation</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Total assets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5,995.8</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Consolidated balance-sheet total.</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CCP financial assets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5,610.9</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Matched by the reported CCP financial-liability amount; not distributable shareholder cash.</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Cash and cash equivalents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227.4</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Availability must be assessed against obligations and restrictions.</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Financial assets at amortised cost</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113.2</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Not all investment securities necessarily share one accounting category.</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Reverse repo</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33.8</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Treasury and liquidity exposure.</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Clearing-participant collateral and contributions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318.7</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Liabilities associated with participant resources.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Equity</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63.0</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Annual-report rounded amount.</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Retained earnings</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50.0</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Annual-report rounded amount.</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[1], printed p. 63 (PDF p. 33). Figures are Group amounts. Rounding prevents an exact balance-sheet reconciliation at the displayed precision.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Subtracting the rounded CCP financial assets from total assets gives KZT 384.9 billion; subtracting participant resources again gives KZT 66.2 billion (analyst arithmetic). These are analytical residuals, not audited “own assets” or a regulatory capital measure. Matching CCP assets and liabilities do not remove counterparty, market, liquidity or operational risk, and participant collateral cannot automatically be treated as unrestricted corporate liquidity. A current liquidity ratio requires the corresponding maturity and encumbrance notes.</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5.3  Shares and dividends</w:t>
      </w:r>
    </w:p>
    <w:tbl>
      <w:tblPr>
        <w:tblStyle w:val="TableGrid"/>
        <w:tblW w:type="auto" w:w="0"/>
        <w:tblLayout w:type="fixed"/>
        <w:tblLook w:firstColumn="1" w:firstRow="1" w:lastColumn="0" w:lastRow="0" w:noHBand="0" w:noVBand="1" w:val="04A0"/>
      </w:tblPr>
      <w:tblGrid>
        <w:gridCol w:w="4968"/>
        <w:gridCol w:w="4968"/>
      </w:tblGrid>
      <w:tr>
        <w:trPr>
          <w:cantSplit/>
          <w:tblHeader/>
        </w:trPr>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Measure</w:t>
            </w:r>
          </w:p>
        </w:tc>
        <w:tc>
          <w:tcPr>
            <w:tcW w:type="dxa" w:w="4968"/>
            <w:shd w:fill="038726"/>
          </w:tcPr>
          <w:p>
            <w:pPr>
              <w:keepNext/>
              <w:widowControl/>
              <w:spacing w:before="40" w:after="60" w:line="250" w:lineRule="auto"/>
            </w:pPr>
            <w:r>
              <w:rPr>
                <w:rFonts w:ascii="Times New Roman" w:hAnsi="Times New Roman" w:eastAsia="Times New Roman" w:cs="Times New Roman"/>
                <w:b/>
                <w:color w:val="FFFFFF"/>
                <w:sz w:val="20"/>
              </w:rPr>
              <w:t>Verified amount or calculation</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Authorised / placed shares, 1 Aug 2026</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5,000,000 / 1,075,231 [4].</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2025 profit allocation, approved 28 May 2026</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KZT 15,298,263 thousand of Exchange profit [3].</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Dividend pool approved for 2025</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KZT 4,589,483,743.47 [3].</w:t>
            </w:r>
          </w:p>
        </w:tc>
      </w:tr>
      <w:tr>
        <w:trPr>
          <w:cantSplit/>
        </w:trPr>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Dividend per ordinary share</w:t>
            </w:r>
          </w:p>
        </w:tc>
        <w:tc>
          <w:tcPr>
            <w:tcW w:type="dxa" w:w="4968"/>
            <w:shd w:fill="FFFFFF"/>
          </w:tcPr>
          <w:p>
            <w:pPr>
              <w:keepNext/>
              <w:widowControl/>
              <w:spacing w:before="40" w:after="60" w:line="250" w:lineRule="auto"/>
            </w:pPr>
            <w:r>
              <w:rPr>
                <w:rFonts w:ascii="Times New Roman" w:hAnsi="Times New Roman" w:eastAsia="Times New Roman" w:cs="Times New Roman"/>
                <w:color w:val="45464F"/>
                <w:sz w:val="20"/>
              </w:rPr>
              <w:t>KZT 4,268.37 [3].</w:t>
            </w:r>
          </w:p>
        </w:tc>
      </w:tr>
      <w:tr>
        <w:trPr>
          <w:cantSplit/>
        </w:trPr>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Arithmetic check</w:t>
            </w:r>
          </w:p>
        </w:tc>
        <w:tc>
          <w:tcPr>
            <w:tcW w:type="dxa" w:w="4968"/>
            <w:shd w:fill="EFF6F0"/>
          </w:tcPr>
          <w:p>
            <w:pPr>
              <w:keepNext/>
              <w:widowControl/>
              <w:spacing w:before="40" w:after="60" w:line="250" w:lineRule="auto"/>
            </w:pPr>
            <w:r>
              <w:rPr>
                <w:rFonts w:ascii="Times New Roman" w:hAnsi="Times New Roman" w:eastAsia="Times New Roman" w:cs="Times New Roman"/>
                <w:color w:val="45464F"/>
                <w:sz w:val="20"/>
              </w:rPr>
              <w:t>1,075,231 × 4,268.37 = KZT 4,589,483,743.47.</w:t>
            </w:r>
          </w:p>
        </w:tc>
      </w:tr>
      <w:tr>
        <w:trPr>
          <w:cantSplit/>
        </w:trPr>
        <w:tc>
          <w:tcPr>
            <w:tcW w:type="dxa" w:w="4968"/>
            <w:shd w:fill="FFFFFF"/>
          </w:tcPr>
          <w:p>
            <w:pPr>
              <w:keepNext w:val="0"/>
              <w:widowControl/>
              <w:spacing w:before="40" w:after="60" w:line="250" w:lineRule="auto"/>
            </w:pPr>
            <w:r>
              <w:rPr>
                <w:rFonts w:ascii="Times New Roman" w:hAnsi="Times New Roman" w:eastAsia="Times New Roman" w:cs="Times New Roman"/>
                <w:color w:val="45464F"/>
                <w:sz w:val="20"/>
              </w:rPr>
              <w:t>Payout using the approved profit amount</w:t>
            </w:r>
          </w:p>
        </w:tc>
        <w:tc>
          <w:tcPr>
            <w:tcW w:type="dxa" w:w="4968"/>
            <w:shd w:fill="FFFFFF"/>
          </w:tcPr>
          <w:p>
            <w:pPr>
              <w:keepNext w:val="0"/>
              <w:widowControl/>
              <w:spacing w:before="40" w:after="60" w:line="250" w:lineRule="auto"/>
            </w:pPr>
            <w:r>
              <w:rPr>
                <w:rFonts w:ascii="Times New Roman" w:hAnsi="Times New Roman" w:eastAsia="Times New Roman" w:cs="Times New Roman"/>
                <w:color w:val="45464F"/>
                <w:sz w:val="20"/>
              </w:rPr>
              <w:t>Approximately 30.0%; analyst calculation. Profit is reported in thousands, while the dividend pool is in tenge.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Sources: [3–4]. The issuer’s approved appropriation amount is not silently substituted for a separately presented Group measure. A declared dividend for 2025 is distinct from dividends paid during 2025.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verified cutoff share price or price convention was established from the supplied workbook references, so current P/E, P/B, dividend yield and KASE’s own market capitalisation are not stated. Shareholder categories alone cannot establish tradable free float. The additional reports in Parts II–III retain their original model figures and valuation conclusions at the user’s request; those figures do not replace this section’s source-specific measurements.</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6  Ownership, corporate governance and leadership</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6.1  Shareholder structure</w:t>
      </w:r>
    </w:p>
    <w:tbl>
      <w:tblPr>
        <w:tblW w:w="0" w:type="auto"/>
        <w:tblLayout w:type="fixed"/>
        <w:tblLook w:val="04A0" w:firstRow="1" w:lastRow="0" w:firstColumn="1" w:lastColumn="0" w:noHBand="0" w:noVBand="1"/>
      </w:tblPr>
      <w:tblGrid>
        <w:gridCol w:w="3653"/>
        <w:gridCol w:w="1680"/>
        <w:gridCol w:w="4603"/>
      </w:tblGrid>
      <w:tr w:rsidR="008D3618" w14:paraId="3784426E" w14:textId="77777777">
        <w:trPr>
          <w:cantSplit/>
          <w:tblHeader/>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7CB5478"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Shareholder category</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E746F16"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Published share</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63D6839E"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Interpretation</w:t>
            </w:r>
          </w:p>
        </w:tc>
      </w:tr>
      <w:tr w:rsidR="008D3618" w14:paraId="3AF1E0B9"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7F53D5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National Bank of Kazakhstan</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6401C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47.00%</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A3CCBB"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Largest disclosed individual shareholder</w:t>
            </w:r>
          </w:p>
        </w:tc>
      </w:tr>
      <w:tr w:rsidR="008D3618" w14:paraId="2F1FD137"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C46FB4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Second-tier banks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A2316CD"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34.16%</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F2EBD4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Aggregate category, not a single voting bloc</w:t>
            </w:r>
          </w:p>
        </w:tc>
      </w:tr>
      <w:tr w:rsidR="008D3618" w14:paraId="5A22D63F"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2A9F9F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Brokerage firms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DE6F0B6"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5.24%</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FAD65B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Aggregate category</w:t>
            </w:r>
          </w:p>
        </w:tc>
      </w:tr>
      <w:tr w:rsidR="008D3618" w14:paraId="0F858910"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582096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Retail investors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8AF781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5.46%</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E9E71E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Disclosed retail category</w:t>
            </w:r>
          </w:p>
        </w:tc>
      </w:tr>
      <w:tr w:rsidR="008D3618" w14:paraId="38D95EF9"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0E7D6E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Other shareholders</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92AFB5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8.12%</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0F9C3C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Insufficient detail to classify all as institutional</w:t>
            </w:r>
          </w:p>
        </w:tc>
      </w:tr>
      <w:tr w:rsidR="008D3618" w14:paraId="45CAB04B" w14:textId="77777777">
        <w:trPr>
          <w:cantSplit/>
        </w:trPr>
        <w:tc>
          <w:tcPr>
            <w:tcW w:w="365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61D45A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Total published</w:t>
            </w:r>
          </w:p>
        </w:tc>
        <w:tc>
          <w:tcPr>
            <w:tcW w:w="16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C0617A6"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99.98%</w:t>
            </w:r>
          </w:p>
        </w:tc>
        <w:tc>
          <w:tcPr>
            <w:tcW w:w="4603"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0C5F813"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Rounding difference of 0.02 percentage points</w:t>
            </w:r>
          </w:p>
        </w:tc>
      </w:tr>
    </w:tbl>
    <w:p w14:paraId="44660A1D" w14:textId="77777777" w:rsidR="008D3618" w:rsidRDefault="00C842C4">
      <w:pPr>
        <w:keepNext/>
        <w:keepLines w:val="0"/>
        <w:pageBreakBefore w:val="0"/>
        <w:widowControl/>
        <w:spacing w:line="252" w:lineRule="auto" w:after="80"/>
        <w:ind w:firstLine="0"/>
      </w:pPr>
      <w:r>
        <w:rPr>
          <w:rFonts w:ascii="Times New Roman" w:hAnsi="Times New Roman" w:eastAsia="Times New Roman" w:cs="Times New Roman"/>
          <w:noProof/>
          <w:color w:val="45464F"/>
          <w:sz w:val="24"/>
        </w:rPr>
        <w:drawing>
          <wp:inline distT="0" distB="0" distL="0" distR="0" wp14:anchorId="579BBCAB" wp14:editId="0CA1CB5C">
            <wp:extent cx="5800000" cy="2500000"/>
            <wp:effectExtent l="0" t="0" r="0" b="0"/>
            <wp:docPr id="100" name="Editable KASE ownership chart"/>
            <wp:cNvGraphicFramePr/>
            <a:graphic xmlns:a="http://schemas.openxmlformats.org/drawingml/2006/main">
              <a:graphicData uri="http://schemas.openxmlformats.org/drawingml/2006/chart">
                <c:chart xmlns:c="http://schemas.openxmlformats.org/drawingml/2006/chart" r:id="rId15"/>
              </a:graphicData>
            </a:graphic>
          </wp:inline>
        </w:drawing>
      </w:r>
    </w:p>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[4], dated 1 August 2026. Editable Office chart with embedded workbook. Published labels total 99.98%; the chart geometry normalises this rounded total.</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published categories total 99.98%, leaving a 0.02 percentage-point rounding difference. NBK plus second-tier banks sum to 81.16%; adding brokers gives 86.40% (analyst calculations). These combinations are descriptive category sums, not evidence of common beneficial ownership, a voting agreement or legal control. The official disclosure identifies no other shareholder or concerted group meeting its stated major-shareholder threshold [4].</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A participant-owned exchange must manage tensions between lower user charges, shareholder distributions and investment in reliable infrastructure. Independent review, recusals and transparent capital allocation can improve decisions; the ownership distribution itself does not establish that a conflict has occurred.</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6.2  Board of Directors</w:t>
      </w:r>
    </w:p>
    <w:tbl>
      <w:tblPr>
        <w:tblStyle w:val="LightShading-Accent1"/>
        <w:tblW w:w="0" w:type="auto"/>
        <w:tblLayout w:type="fixed"/>
        <w:tblLook w:val="04A0" w:firstRow="1" w:lastRow="0" w:firstColumn="1" w:lastColumn="0" w:noHBand="0" w:noVBand="1"/>
      </w:tblPr>
      <w:tblGrid>
        <w:gridCol w:w="4968"/>
        <w:gridCol w:w="4968"/>
      </w:tblGrid>
      <w:tr w:rsidR="008D3618" w14:paraId="15064780" w14:textId="77777777" w:rsidTr="008D3618">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038726"/>
          </w:tcPr>
          <w:p w14:paraId="6BDC5BB0"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Member</w:t>
            </w:r>
          </w:p>
        </w:tc>
        <w:tc>
          <w:tcPr>
            <w:tcW w:w="4968" w:type="dxa"/>
            <w:tcBorders>
              <w:top w:val="single" w:sz="4" w:space="0" w:color="D9D9D9"/>
              <w:left w:val="single" w:sz="4" w:space="0" w:color="D9D9D9"/>
              <w:bottom w:val="single" w:sz="4" w:space="0" w:color="D9D9D9"/>
              <w:right w:val="single" w:sz="4" w:space="0" w:color="D9D9D9"/>
            </w:tcBorders>
            <w:shd w:fill="038726"/>
          </w:tcPr>
          <w:p w14:paraId="7FB6707C" w14:textId="77777777" w:rsidR="008D3618" w:rsidRDefault="00C842C4">
            <w:pPr>
              <w:keepNext/>
              <w:widowControl/>
              <w:spacing w:before="40" w:after="6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eastAsia="Times New Roman" w:cs="Times New Roman"/>
                <w:b/>
                <w:color w:val="FFFFFF"/>
                <w:sz w:val="20"/>
              </w:rPr>
              <w:t>Role indicated on supplied KASE screenshot</w:t>
            </w:r>
          </w:p>
        </w:tc>
      </w:tr>
      <w:tr w:rsidR="008D3618" w14:paraId="0A5E65D4"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2CF1B61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Alia Moldabekova</w:t>
            </w:r>
          </w:p>
        </w:tc>
        <w:tc>
          <w:tcPr>
            <w:tcW w:w="4968" w:type="dxa"/>
            <w:tcBorders>
              <w:top w:val="single" w:sz="4" w:space="0" w:color="D9D9D9"/>
              <w:left w:val="single" w:sz="4" w:space="0" w:color="D9D9D9"/>
              <w:bottom w:val="single" w:sz="4" w:space="0" w:color="D9D9D9"/>
              <w:right w:val="single" w:sz="4" w:space="0" w:color="D9D9D9"/>
            </w:tcBorders>
            <w:shd w:fill="EFF6F0"/>
          </w:tcPr>
          <w:p w14:paraId="4FE474B7"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Chairperson</w:t>
            </w:r>
          </w:p>
        </w:tc>
      </w:tr>
      <w:tr w:rsidR="008D3618" w14:paraId="00C8930A"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6275253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Yeldar Abdrazakov</w:t>
            </w:r>
          </w:p>
        </w:tc>
        <w:tc>
          <w:tcPr>
            <w:tcW w:w="4968" w:type="dxa"/>
            <w:tcBorders>
              <w:top w:val="single" w:sz="4" w:space="0" w:color="D9D9D9"/>
              <w:left w:val="single" w:sz="4" w:space="0" w:color="D9D9D9"/>
              <w:bottom w:val="single" w:sz="4" w:space="0" w:color="D9D9D9"/>
              <w:right w:val="single" w:sz="4" w:space="0" w:color="D9D9D9"/>
            </w:tcBorders>
            <w:shd w:fill="FFFFFF"/>
          </w:tcPr>
          <w:p w14:paraId="4321BFD1"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212B0C7D"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29BD9F8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Yeszhan Birtanov</w:t>
            </w:r>
          </w:p>
        </w:tc>
        <w:tc>
          <w:tcPr>
            <w:tcW w:w="4968" w:type="dxa"/>
            <w:tcBorders>
              <w:top w:val="single" w:sz="4" w:space="0" w:color="D9D9D9"/>
              <w:left w:val="single" w:sz="4" w:space="0" w:color="D9D9D9"/>
              <w:bottom w:val="single" w:sz="4" w:space="0" w:color="D9D9D9"/>
              <w:right w:val="single" w:sz="4" w:space="0" w:color="D9D9D9"/>
            </w:tcBorders>
            <w:shd w:fill="EFF6F0"/>
          </w:tcPr>
          <w:p w14:paraId="6A9CEC88"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68404E42"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0B8AE8F0"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Doron Israeli</w:t>
            </w:r>
          </w:p>
        </w:tc>
        <w:tc>
          <w:tcPr>
            <w:tcW w:w="4968" w:type="dxa"/>
            <w:tcBorders>
              <w:top w:val="single" w:sz="4" w:space="0" w:color="D9D9D9"/>
              <w:left w:val="single" w:sz="4" w:space="0" w:color="D9D9D9"/>
              <w:bottom w:val="single" w:sz="4" w:space="0" w:color="D9D9D9"/>
              <w:right w:val="single" w:sz="4" w:space="0" w:color="D9D9D9"/>
            </w:tcBorders>
            <w:shd w:fill="FFFFFF"/>
          </w:tcPr>
          <w:p w14:paraId="6B16E446"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47DE1E6C"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6072B7F"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Askar Yelemessov</w:t>
            </w:r>
          </w:p>
        </w:tc>
        <w:tc>
          <w:tcPr>
            <w:tcW w:w="4968" w:type="dxa"/>
            <w:tcBorders>
              <w:top w:val="single" w:sz="4" w:space="0" w:color="D9D9D9"/>
              <w:left w:val="single" w:sz="4" w:space="0" w:color="D9D9D9"/>
              <w:bottom w:val="single" w:sz="4" w:space="0" w:color="D9D9D9"/>
              <w:right w:val="single" w:sz="4" w:space="0" w:color="D9D9D9"/>
            </w:tcBorders>
            <w:shd w:fill="EFF6F0"/>
          </w:tcPr>
          <w:p w14:paraId="5C1C61BB"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0BBF5FEF"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2F41E6C2"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Adil Mukhamejanov</w:t>
            </w:r>
          </w:p>
        </w:tc>
        <w:tc>
          <w:tcPr>
            <w:tcW w:w="4968" w:type="dxa"/>
            <w:tcBorders>
              <w:top w:val="single" w:sz="4" w:space="0" w:color="D9D9D9"/>
              <w:left w:val="single" w:sz="4" w:space="0" w:color="D9D9D9"/>
              <w:bottom w:val="single" w:sz="4" w:space="0" w:color="D9D9D9"/>
              <w:right w:val="single" w:sz="4" w:space="0" w:color="D9D9D9"/>
            </w:tcBorders>
            <w:shd w:fill="FFFFFF"/>
          </w:tcPr>
          <w:p w14:paraId="0E3E6BEF"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 Management Board Chair</w:t>
            </w:r>
          </w:p>
        </w:tc>
      </w:tr>
      <w:tr w:rsidR="008D3618" w14:paraId="768B3AFA"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47CFF87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Bekzhan Pirmatov</w:t>
            </w:r>
          </w:p>
        </w:tc>
        <w:tc>
          <w:tcPr>
            <w:tcW w:w="4968" w:type="dxa"/>
            <w:tcBorders>
              <w:top w:val="single" w:sz="4" w:space="0" w:color="D9D9D9"/>
              <w:left w:val="single" w:sz="4" w:space="0" w:color="D9D9D9"/>
              <w:bottom w:val="single" w:sz="4" w:space="0" w:color="D9D9D9"/>
              <w:right w:val="single" w:sz="4" w:space="0" w:color="D9D9D9"/>
            </w:tcBorders>
            <w:shd w:fill="EFF6F0"/>
          </w:tcPr>
          <w:p w14:paraId="107BC041"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2293438F"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56627F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Yertai Salimov</w:t>
            </w:r>
          </w:p>
        </w:tc>
        <w:tc>
          <w:tcPr>
            <w:tcW w:w="4968" w:type="dxa"/>
            <w:tcBorders>
              <w:top w:val="single" w:sz="4" w:space="0" w:color="D9D9D9"/>
              <w:left w:val="single" w:sz="4" w:space="0" w:color="D9D9D9"/>
              <w:bottom w:val="single" w:sz="4" w:space="0" w:color="D9D9D9"/>
              <w:right w:val="single" w:sz="4" w:space="0" w:color="D9D9D9"/>
            </w:tcBorders>
            <w:shd w:fill="FFFFFF"/>
          </w:tcPr>
          <w:p w14:paraId="1BD3ACA7"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Board member</w:t>
            </w:r>
          </w:p>
        </w:tc>
      </w:tr>
      <w:tr w:rsidR="008D3618" w14:paraId="3035469F"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69383F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Konstantin Saroyan</w:t>
            </w:r>
          </w:p>
        </w:tc>
        <w:tc>
          <w:tcPr>
            <w:tcW w:w="4968" w:type="dxa"/>
            <w:tcBorders>
              <w:top w:val="single" w:sz="4" w:space="0" w:color="D9D9D9"/>
              <w:left w:val="single" w:sz="4" w:space="0" w:color="D9D9D9"/>
              <w:bottom w:val="single" w:sz="4" w:space="0" w:color="D9D9D9"/>
              <w:right w:val="single" w:sz="4" w:space="0" w:color="D9D9D9"/>
            </w:tcBorders>
            <w:shd w:fill="EFF6F0"/>
          </w:tcPr>
          <w:p w14:paraId="643A6B5A"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54ECBD81"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06E2FCF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Jan Willems</w:t>
            </w:r>
          </w:p>
        </w:tc>
        <w:tc>
          <w:tcPr>
            <w:tcW w:w="4968" w:type="dxa"/>
            <w:tcBorders>
              <w:top w:val="single" w:sz="4" w:space="0" w:color="D9D9D9"/>
              <w:left w:val="single" w:sz="4" w:space="0" w:color="D9D9D9"/>
              <w:bottom w:val="single" w:sz="4" w:space="0" w:color="D9D9D9"/>
              <w:right w:val="single" w:sz="4" w:space="0" w:color="D9D9D9"/>
            </w:tcBorders>
            <w:shd w:fill="FFFFFF"/>
          </w:tcPr>
          <w:p w14:paraId="4D0F0983"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Independent director</w:t>
            </w:r>
          </w:p>
        </w:tc>
      </w:tr>
      <w:tr w:rsidR="008D3618" w14:paraId="372CB5D7"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192EF2A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Nurzhan Tursunkhanov</w:t>
            </w:r>
          </w:p>
        </w:tc>
        <w:tc>
          <w:tcPr>
            <w:tcW w:w="4968" w:type="dxa"/>
            <w:tcBorders>
              <w:top w:val="single" w:sz="4" w:space="0" w:color="D9D9D9"/>
              <w:left w:val="single" w:sz="4" w:space="0" w:color="D9D9D9"/>
              <w:bottom w:val="single" w:sz="4" w:space="0" w:color="D9D9D9"/>
              <w:right w:val="single" w:sz="4" w:space="0" w:color="D9D9D9"/>
            </w:tcBorders>
            <w:shd w:fill="EFF6F0"/>
          </w:tcPr>
          <w:p w14:paraId="3920B782" w14:textId="77777777" w:rsidR="008D3618" w:rsidRDefault="00C842C4">
            <w:pPr>
              <w:keepNext w:val="0"/>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Board member</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official KASE management page [5], accessed 22 October 2026. Names in the retained roster are standardised to that page where necessary. The page is undated; the roster is supporting evidence rather than an archived proof of every seat at the 21 October cutoff.</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observed roster contains eleven directors, of whom five are explicitly described as independent. The resulting 45.5% proportion is an analyst calculation (5 / 11). Alia Moldabekova chairs the Board of Directors; Adil Mukhamejanov is also the Management Board chair. Independent status is not inferred for unlabelled members [5].</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2025 annual report describes strategic-planning, internal-audit and personnel/remuneration/sustainability oversight at the Exchange. KACC has its own governance and committee arrangements. Their committee titles and mandates should not be merged into one legal-entity structure [1, printed pp. 70–77].</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6.3  Management Board and leadership portraits</w:t>
      </w:r>
    </w:p>
    <w:tbl>
      <w:tblPr>
        <w:tblStyle w:val="LightShading-Accent1"/>
        <w:tblW w:w="0" w:type="auto"/>
        <w:tblLayout w:type="fixed"/>
        <w:tblLook w:val="04A0" w:firstRow="1" w:lastRow="0" w:firstColumn="1" w:lastColumn="0" w:noHBand="0" w:noVBand="1"/>
      </w:tblPr>
      <w:tblGrid>
        <w:gridCol w:w="4968"/>
        <w:gridCol w:w="4968"/>
      </w:tblGrid>
      <w:tr w:rsidR="008D3618" w14:paraId="1B63977E" w14:textId="77777777" w:rsidTr="008D3618">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038726"/>
          </w:tcPr>
          <w:p w14:paraId="3447ECF7" w14:textId="77777777" w:rsidR="008D3618" w:rsidRDefault="00C842C4">
            <w:pPr>
              <w:keepNext/>
              <w:widowControl/>
              <w:spacing w:before="40" w:after="60" w:line="250" w:lineRule="auto"/>
            </w:pPr>
            <w:r>
              <w:rPr>
                <w:rFonts w:ascii="Times New Roman" w:hAnsi="Times New Roman" w:eastAsia="Times New Roman" w:cs="Times New Roman"/>
                <w:b/>
                <w:color w:val="FFFFFF"/>
                <w:sz w:val="20"/>
              </w:rPr>
              <w:t>Member</w:t>
            </w:r>
          </w:p>
        </w:tc>
        <w:tc>
          <w:tcPr>
            <w:tcW w:w="4968" w:type="dxa"/>
            <w:tcBorders>
              <w:top w:val="single" w:sz="4" w:space="0" w:color="D9D9D9"/>
              <w:left w:val="single" w:sz="4" w:space="0" w:color="D9D9D9"/>
              <w:bottom w:val="single" w:sz="4" w:space="0" w:color="D9D9D9"/>
              <w:right w:val="single" w:sz="4" w:space="0" w:color="D9D9D9"/>
            </w:tcBorders>
            <w:shd w:fill="038726"/>
          </w:tcPr>
          <w:p w14:paraId="465A906E" w14:textId="77777777" w:rsidR="008D3618" w:rsidRDefault="00C842C4">
            <w:pPr>
              <w:keepNext/>
              <w:widowControl/>
              <w:spacing w:before="40" w:after="60" w:line="250"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eastAsia="Times New Roman" w:cs="Times New Roman"/>
                <w:b/>
                <w:color w:val="FFFFFF"/>
                <w:sz w:val="20"/>
              </w:rPr>
              <w:t>Position</w:t>
            </w:r>
          </w:p>
        </w:tc>
      </w:tr>
      <w:tr w:rsidR="008D3618" w14:paraId="06AEC9E1"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56B773D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Adil Mukhamejanov</w:t>
            </w:r>
          </w:p>
        </w:tc>
        <w:tc>
          <w:tcPr>
            <w:tcW w:w="4968" w:type="dxa"/>
            <w:tcBorders>
              <w:top w:val="single" w:sz="4" w:space="0" w:color="D9D9D9"/>
              <w:left w:val="single" w:sz="4" w:space="0" w:color="D9D9D9"/>
              <w:bottom w:val="single" w:sz="4" w:space="0" w:color="D9D9D9"/>
              <w:right w:val="single" w:sz="4" w:space="0" w:color="D9D9D9"/>
            </w:tcBorders>
            <w:shd w:fill="EFF6F0"/>
          </w:tcPr>
          <w:p w14:paraId="56E412B7"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Chairperson</w:t>
            </w:r>
          </w:p>
        </w:tc>
      </w:tr>
      <w:tr w:rsidR="008D3618" w14:paraId="7A4A6BD6"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7A83769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Dana Amanzholova</w:t>
            </w:r>
          </w:p>
        </w:tc>
        <w:tc>
          <w:tcPr>
            <w:tcW w:w="4968" w:type="dxa"/>
            <w:tcBorders>
              <w:top w:val="single" w:sz="4" w:space="0" w:color="D9D9D9"/>
              <w:left w:val="single" w:sz="4" w:space="0" w:color="D9D9D9"/>
              <w:bottom w:val="single" w:sz="4" w:space="0" w:color="D9D9D9"/>
              <w:right w:val="single" w:sz="4" w:space="0" w:color="D9D9D9"/>
            </w:tcBorders>
            <w:shd w:fill="FFFFFF"/>
          </w:tcPr>
          <w:p w14:paraId="206914A9"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191B82EB"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1417E5C8"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Mikhail Grishko</w:t>
            </w:r>
          </w:p>
        </w:tc>
        <w:tc>
          <w:tcPr>
            <w:tcW w:w="4968" w:type="dxa"/>
            <w:tcBorders>
              <w:top w:val="single" w:sz="4" w:space="0" w:color="D9D9D9"/>
              <w:left w:val="single" w:sz="4" w:space="0" w:color="D9D9D9"/>
              <w:bottom w:val="single" w:sz="4" w:space="0" w:color="D9D9D9"/>
              <w:right w:val="single" w:sz="4" w:space="0" w:color="D9D9D9"/>
            </w:tcBorders>
            <w:shd w:fill="EFF6F0"/>
          </w:tcPr>
          <w:p w14:paraId="73D6F901"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093D4E82"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4F7A260C"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Ainagul Iskakova</w:t>
            </w:r>
          </w:p>
        </w:tc>
        <w:tc>
          <w:tcPr>
            <w:tcW w:w="4968" w:type="dxa"/>
            <w:tcBorders>
              <w:top w:val="single" w:sz="4" w:space="0" w:color="D9D9D9"/>
              <w:left w:val="single" w:sz="4" w:space="0" w:color="D9D9D9"/>
              <w:bottom w:val="single" w:sz="4" w:space="0" w:color="D9D9D9"/>
              <w:right w:val="single" w:sz="4" w:space="0" w:color="D9D9D9"/>
            </w:tcBorders>
            <w:shd w:fill="FFFFFF"/>
          </w:tcPr>
          <w:p w14:paraId="1C126870" w14:textId="77777777" w:rsidR="008D3618" w:rsidRDefault="00C842C4">
            <w:pPr>
              <w:keepNext/>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4F619C67" w14:textId="77777777" w:rsidTr="008D361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EFF6F0"/>
          </w:tcPr>
          <w:p w14:paraId="0FF97F16"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Zhainar Sarzhakov</w:t>
            </w:r>
          </w:p>
        </w:tc>
        <w:tc>
          <w:tcPr>
            <w:tcW w:w="4968" w:type="dxa"/>
            <w:tcBorders>
              <w:top w:val="single" w:sz="4" w:space="0" w:color="D9D9D9"/>
              <w:left w:val="single" w:sz="4" w:space="0" w:color="D9D9D9"/>
              <w:bottom w:val="single" w:sz="4" w:space="0" w:color="D9D9D9"/>
              <w:right w:val="single" w:sz="4" w:space="0" w:color="D9D9D9"/>
            </w:tcBorders>
            <w:shd w:fill="EFF6F0"/>
          </w:tcPr>
          <w:p w14:paraId="718D28C2" w14:textId="77777777" w:rsidR="008D3618" w:rsidRDefault="00C842C4">
            <w:pPr>
              <w:keepNext/>
              <w:widowControl/>
              <w:spacing w:before="40" w:after="60" w:line="250"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eastAsia="Times New Roman" w:cs="Times New Roman"/>
                <w:color w:val="45464F"/>
                <w:sz w:val="20"/>
              </w:rPr>
              <w:t>Deputy Chairperson</w:t>
            </w:r>
          </w:p>
        </w:tc>
      </w:tr>
      <w:tr w:rsidR="008D3618" w14:paraId="71BF3997" w14:textId="77777777" w:rsidTr="008D3618">
        <w:trPr>
          <w:cantSplit/>
        </w:trPr>
        <w:tc>
          <w:tcPr>
            <w:cnfStyle w:val="001000000000" w:firstRow="0" w:lastRow="0" w:firstColumn="1" w:lastColumn="0" w:oddVBand="0" w:evenVBand="0" w:oddHBand="0" w:evenHBand="0" w:firstRowFirstColumn="0" w:firstRowLastColumn="0" w:lastRowFirstColumn="0" w:lastRowLastColumn="0"/>
            <w:tcW w:w="4968" w:type="dxa"/>
            <w:tcBorders>
              <w:top w:val="single" w:sz="4" w:space="0" w:color="D9D9D9"/>
              <w:left w:val="single" w:sz="4" w:space="0" w:color="D9D9D9"/>
              <w:bottom w:val="single" w:sz="4" w:space="0" w:color="D9D9D9"/>
              <w:right w:val="single" w:sz="4" w:space="0" w:color="D9D9D9"/>
            </w:tcBorders>
            <w:shd w:fill="FFFFFF"/>
          </w:tcPr>
          <w:p w14:paraId="6EB9F40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Natalya Khoroshevskaya</w:t>
            </w:r>
          </w:p>
        </w:tc>
        <w:tc>
          <w:tcPr>
            <w:tcW w:w="4968" w:type="dxa"/>
            <w:tcBorders>
              <w:top w:val="single" w:sz="4" w:space="0" w:color="D9D9D9"/>
              <w:left w:val="single" w:sz="4" w:space="0" w:color="D9D9D9"/>
              <w:bottom w:val="single" w:sz="4" w:space="0" w:color="D9D9D9"/>
              <w:right w:val="single" w:sz="4" w:space="0" w:color="D9D9D9"/>
            </w:tcBorders>
            <w:shd w:fill="FFFFFF"/>
          </w:tcPr>
          <w:p w14:paraId="6ED4B8B7" w14:textId="77777777" w:rsidR="008D3618" w:rsidRDefault="00C842C4">
            <w:pPr>
              <w:keepNext w:val="0"/>
              <w:widowControl/>
              <w:spacing w:before="40" w:after="60" w:line="250"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eastAsia="Times New Roman" w:cs="Times New Roman"/>
                <w:color w:val="45464F"/>
                <w:sz w:val="20"/>
              </w:rPr>
              <w:t>Deputy Chairperson</w:t>
            </w:r>
          </w:p>
        </w:tc>
      </w:tr>
    </w:tbl>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Source: [6], announcement of 30 July 2026, effective 1 August 2026. Six members are listed. Natalya Khoroshevskaya’s stated term runs through 1 July 2029; no subsequent change before the cutoff was independently identified.</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Board of Directors chair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Management Board chair</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Management Board deputy chair</w:t>
            </w:r>
          </w:p>
        </w:tc>
      </w:tr>
      <w:tr>
        <w:trPr>
          <w:cantSplit/>
        </w:trPr>
        <w:tc>
          <w:tcPr>
            <w:tcW w:type="dxa" w:w="3312"/>
            <w:shd w:fill="EFF6F0"/>
          </w:tcPr>
          <w:p w14:paraId="42357DF1"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drawing>
                <wp:inline distT="0" distB="0" distL="0" distR="0" wp14:anchorId="350525E5" wp14:editId="218B9F08">
                  <wp:extent cx="1170432" cy="8254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se_portrait_verified_1.png"/>
                          <pic:cNvPicPr/>
                        </pic:nvPicPr>
                        <pic:blipFill>
                          <a:blip r:embed="rId10"/>
                          <a:stretch>
                            <a:fillRect/>
                          </a:stretch>
                        </pic:blipFill>
                        <pic:spPr>
                          <a:xfrm>
                            <a:off x="0" y="0"/>
                            <a:ext cx="1170432" cy="825462"/>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Alia Moldabekova</w:t>
            </w:r>
          </w:p>
        </w:tc>
        <w:tc>
          <w:tcPr>
            <w:tcW w:type="dxa" w:w="3312"/>
            <w:shd w:fill="EFF6F0"/>
          </w:tcPr>
          <w:p w14:paraId="7BBDFAAC"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drawing>
                <wp:inline distT="0" distB="0" distL="0" distR="0" wp14:anchorId="0460AB69" wp14:editId="409B7D69">
                  <wp:extent cx="1170432" cy="81381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se_portrait_verified_2.png"/>
                          <pic:cNvPicPr/>
                        </pic:nvPicPr>
                        <pic:blipFill>
                          <a:blip r:embed="rId11"/>
                          <a:stretch>
                            <a:fillRect/>
                          </a:stretch>
                        </pic:blipFill>
                        <pic:spPr>
                          <a:xfrm>
                            <a:off x="0" y="0"/>
                            <a:ext cx="1170432" cy="813815"/>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Adil Mukhamejanov</w:t>
            </w:r>
          </w:p>
        </w:tc>
        <w:tc>
          <w:tcPr>
            <w:tcW w:type="dxa" w:w="3312"/>
            <w:shd w:fill="EFF6F0"/>
          </w:tcPr>
          <w:p w14:paraId="269389C2" w14:textId="77777777" w:rsidR="008D3618" w:rsidRDefault="00C842C4">
            <w:pPr>
              <w:keepNext w:val="0"/>
              <w:widowControl/>
              <w:spacing w:before="40" w:after="60" w:line="250" w:lineRule="auto"/>
            </w:pPr>
            <w:r>
              <w:rPr>
                <w:rFonts w:ascii="Times New Roman" w:hAnsi="Times New Roman" w:eastAsia="Times New Roman" w:cs="Times New Roman"/>
                <w:noProof/>
                <w:color w:val="45464F"/>
                <w:sz w:val="20"/>
              </w:rPr>
              <w:lastRenderedPageBreak/>
              <w:drawing>
                <wp:inline distT="0" distB="0" distL="0" distR="0" wp14:anchorId="0E520FDF" wp14:editId="7D378FFC">
                  <wp:extent cx="1170432" cy="820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se_portrait_verified_3.png"/>
                          <pic:cNvPicPr/>
                        </pic:nvPicPr>
                        <pic:blipFill>
                          <a:blip r:embed="rId12"/>
                          <a:stretch>
                            <a:fillRect/>
                          </a:stretch>
                        </pic:blipFill>
                        <pic:spPr>
                          <a:xfrm>
                            <a:off x="0" y="0"/>
                            <a:ext cx="1170432" cy="820224"/>
                          </a:xfrm>
                          <a:prstGeom prst="rect">
                            <a:avLst/>
                          </a:prstGeom>
                        </pic:spPr>
                      </pic:pic>
                    </a:graphicData>
                  </a:graphic>
                </wp:inline>
              </w:drawing>
            </w:r>
          </w:p>
          <w:p>
            <w:pPr>
              <w:keepNext w:val="0"/>
              <w:widowControl/>
              <w:spacing w:before="40" w:after="60" w:line="250" w:lineRule="auto"/>
            </w:pPr>
            <w:r>
              <w:rPr>
                <w:rFonts w:ascii="Times New Roman" w:hAnsi="Times New Roman" w:eastAsia="Times New Roman" w:cs="Times New Roman"/>
                <w:color w:val="45464F"/>
                <w:sz w:val="20"/>
              </w:rPr>
              <w:t>Dana Amanzholova</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Portraits: official KASE website screenshots supplied in the original report; attributed to KASE Management [5]. The annual report independently identifies the 2025 transition to Adil Mukhamejanov effective 31 March 2025 [1, printed pp. 72–73].</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6.4  Financial leadership: Dmitry Tskhay</w:t>
      </w:r>
    </w:p>
    <w:p w14:paraId="573D83C7" w14:textId="77777777" w:rsidR="008D3618" w:rsidRDefault="00C842C4">
      <w:pPr>
        <w:keepNext/>
        <w:keepLines w:val="0"/>
        <w:pageBreakBefore w:val="0"/>
        <w:widowControl/>
        <w:spacing w:line="252" w:lineRule="auto" w:after="80"/>
        <w:ind w:firstLine="0"/>
      </w:pPr>
      <w:r>
        <w:rPr>
          <w:rFonts w:ascii="Times New Roman" w:hAnsi="Times New Roman" w:eastAsia="Times New Roman" w:cs="Times New Roman"/>
          <w:noProof/>
          <w:color w:val="45464F"/>
          <w:sz w:val="24"/>
        </w:rPr>
        <w:drawing>
          <wp:inline distT="0" distB="0" distL="0" distR="0" wp14:anchorId="360336BA" wp14:editId="34576127">
            <wp:extent cx="1234440" cy="12344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o.jpg"/>
                    <pic:cNvPicPr/>
                  </pic:nvPicPr>
                  <pic:blipFill>
                    <a:blip r:embed="rId16"/>
                    <a:stretch>
                      <a:fillRect/>
                    </a:stretch>
                  </pic:blipFill>
                  <pic:spPr>
                    <a:xfrm>
                      <a:off x="0" y="0"/>
                      <a:ext cx="1234440" cy="1234440"/>
                    </a:xfrm>
                    <a:prstGeom prst="rect">
                      <a:avLst/>
                    </a:prstGeom>
                  </pic:spPr>
                </pic:pic>
              </a:graphicData>
            </a:graphic>
          </wp:inline>
        </w:drawing>
      </w:r>
    </w:p>
    <w:p>
      <w:pPr>
        <w:pStyle w:val="Caption"/>
        <w:keepNext w:val="0"/>
        <w:pageBreakBefore w:val="0"/>
        <w:widowControl/>
        <w:spacing w:line="252" w:lineRule="auto" w:after="80"/>
        <w:ind w:firstLine="0"/>
      </w:pPr>
      <w:r>
        <w:rPr>
          <w:rFonts w:ascii="Times New Roman" w:hAnsi="Times New Roman" w:eastAsia="Times New Roman" w:cs="Times New Roman"/>
          <w:color w:val="696969"/>
          <w:sz w:val="18"/>
        </w:rPr>
        <w:t>Photograph: B2B Events, named Dmitry Tskhay speaker profile [12], accessed 22 October 2026. Event-organiser portrait, not a KASE-issued photograph.</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Kursiv’s dated report of 23 January 2026 identifies Dmitry Tskhay as financial director and director of KASE’s finance department. The B2B Events profile identifies him as KASE financial director and describes experience in finance, pharmaceuticals, IT and energy. The profile is undated: it corroborates the role but cannot establish uninterrupted employment at the research cutoff. No appointment date, education or board membership is inferred [12–13].</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He is therefore presented among other senior executives and functional leaders, separately from both boards. Financial leadership is analytically relevant to the reconciliation of fee and interest income, liquidity restrictions, costs and capital commitments. These priorities are analyst interpretation, not an authenticated description of his individual mandate or a quotation.</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6.5  Executive remuneration and assurance</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For 2025, the annual report states that KASE JSC paid KZT 95,074,918 to members of its Board of Directors and KZT 300,837,751.03 to members of its Management Board. These are official aggregate amounts paid to the respective bodies, not an individual CFO salary and not KACC remuneration. The report describes salaries, bonuses and permitted one-off payments; it does not support allocating the aggregate to named individuals [1, printed pp. 72–73]. Personal declared income is omitted because it does not explain KASE’s compensation costs.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annual report attributes Fitch’s BBB−/Stable credit rating and Thomas Murray’s A+/Positive operational assessment to KACC. The assessments concern different dimensions and must not be treated as a single rating scale or as an issuer rating for KASE JSC [1, printed pp. 22–23].</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7  Enterprise risks, prevention and mitigation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The risk register and heat map are analyst assessments. Likelihood and impact are scored on ordinal scales from 1 to 5; the score equals likelihood multiplied by impact. They are not company-reported probabilities, measured expected losses or management risk limits. Proposed responsible functions do not constitute verified formal assignments.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Disclosed controls include continuity policies, business-impact analysis, backup and recovery arrangements, training, testing, compliance monitoring and independent internal audit. The 2025 annual report documents these activities at Group and legal-entity level [1, printed pp. 78–85]. The proposals below are incremental controls to consider against that framework; absence of operational detail in public disclosures is not evidence that a control is missing.</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7.1  Five-by-five heat map</w:t>
      </w:r>
    </w:p>
    <w:tbl>
      <w:tblPr>
        <w:tblW w:w="0" w:type="auto"/>
        <w:tblLayout w:type="fixed"/>
        <w:tblLook w:val="04A0" w:firstRow="1" w:lastRow="0" w:firstColumn="1" w:lastColumn="0" w:noHBand="0" w:noVBand="1"/>
      </w:tblPr>
      <w:tblGrid>
        <w:gridCol w:w="2630"/>
        <w:gridCol w:w="1461"/>
        <w:gridCol w:w="1461"/>
        <w:gridCol w:w="1461"/>
        <w:gridCol w:w="1461"/>
        <w:gridCol w:w="1461"/>
      </w:tblGrid>
      <w:tr w:rsidR="008D3618" w14:paraId="07ADDFDE" w14:textId="77777777">
        <w:trPr>
          <w:cantSplit/>
          <w:tblHeader/>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BF8875D"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Likelihood ↓  Impact →</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086DF4FF"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1</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7D5C9800"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64402F22"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0D5D245D"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4</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948C4AC" w14:textId="77777777" w:rsidR="008D3618" w:rsidRDefault="00C842C4">
            <w:pPr>
              <w:keepNext/>
              <w:widowControl/>
              <w:spacing w:before="40" w:after="60" w:line="250" w:lineRule="auto"/>
            </w:pPr>
            <w:r>
              <w:rPr>
                <w:rFonts w:ascii="Times New Roman" w:hAnsi="Times New Roman" w:eastAsia="Times New Roman" w:cs="Times New Roman"/>
                <w:b/>
                <w:color w:val="FFFFFF"/>
                <w:sz w:val="18"/>
              </w:rPr>
              <w:t>5</w:t>
            </w:r>
          </w:p>
        </w:tc>
      </w:tr>
      <w:tr w:rsidR="008D3618" w14:paraId="3BA63B5F"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471F1E9"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5</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25A3C3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2AC4787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4E4D9A4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224B971"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5EACC24"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r>
      <w:tr w:rsidR="008D3618" w14:paraId="18E99AD7"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340917C"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4</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F1A4A6B"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EA5B4D2"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3616E735"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R3</w:t>
            </w:r>
            <w:r>
              <w:rPr>
                <w:rFonts w:ascii="Times New Roman" w:hAnsi="Times New Roman" w:eastAsia="Times New Roman" w:cs="Times New Roman"/>
                <w:color w:val="45464F"/>
                <w:sz w:val="20"/>
              </w:rPr>
              <w:br/>
              <w:t>R8</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27B0AD1A"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R1</w:t>
            </w:r>
            <w:r>
              <w:rPr>
                <w:rFonts w:ascii="Times New Roman" w:hAnsi="Times New Roman" w:eastAsia="Times New Roman" w:cs="Times New Roman"/>
                <w:color w:val="45464F"/>
                <w:sz w:val="20"/>
              </w:rPr>
              <w:br/>
              <w:t>R2</w:t>
            </w:r>
            <w:r>
              <w:rPr>
                <w:rFonts w:ascii="Times New Roman" w:hAnsi="Times New Roman" w:eastAsia="Times New Roman" w:cs="Times New Roman"/>
                <w:color w:val="45464F"/>
                <w:sz w:val="20"/>
              </w:rPr>
              <w:br/>
              <w:t>R11</w:t>
            </w:r>
            <w:r>
              <w:rPr>
                <w:rFonts w:ascii="Times New Roman" w:hAnsi="Times New Roman" w:eastAsia="Times New Roman" w:cs="Times New Roman"/>
                <w:color w:val="45464F"/>
                <w:sz w:val="20"/>
              </w:rPr>
              <w:br/>
            </w:r>
            <w:r>
              <w:rPr>
                <w:rFonts w:ascii="Times New Roman" w:hAnsi="Times New Roman" w:eastAsia="Times New Roman" w:cs="Times New Roman"/>
                <w:color w:val="45464F"/>
                <w:sz w:val="20"/>
              </w:rPr>
              <w:t>R12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3FED97E9" w14:textId="77777777" w:rsidR="008D3618" w:rsidRDefault="00C842C4">
            <w:pPr>
              <w:keepNext/>
              <w:widowControl/>
              <w:spacing w:before="40" w:after="60" w:line="250" w:lineRule="auto"/>
            </w:pPr>
            <w:r>
              <w:rPr>
                <w:rFonts w:ascii="Times New Roman" w:hAnsi="Times New Roman" w:eastAsia="Times New Roman" w:cs="Times New Roman"/>
                <w:color w:val="FFFFFF"/>
                <w:sz w:val="20"/>
              </w:rPr>
              <w:t>—</w:t>
            </w:r>
          </w:p>
        </w:tc>
      </w:tr>
      <w:tr w:rsidR="008D3618" w14:paraId="6985A558"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4E5F1BC"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477AC04"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E0ECC73"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28C63E0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R13</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5847769A"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R7</w:t>
            </w:r>
            <w:r>
              <w:rPr>
                <w:rFonts w:ascii="Times New Roman" w:hAnsi="Times New Roman" w:eastAsia="Times New Roman" w:cs="Times New Roman"/>
                <w:color w:val="45464F"/>
                <w:sz w:val="20"/>
              </w:rPr>
              <w:br/>
              <w:t>R9</w:t>
            </w:r>
            <w:r>
              <w:rPr>
                <w:rFonts w:ascii="Times New Roman" w:hAnsi="Times New Roman" w:eastAsia="Times New Roman" w:cs="Times New Roman"/>
                <w:color w:val="45464F"/>
                <w:sz w:val="20"/>
              </w:rPr>
              <w:br/>
              <w:t>R10</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3CBD0D"/>
          </w:tcPr>
          <w:p w14:paraId="489DD1C7"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R4</w:t>
            </w:r>
            <w:r>
              <w:rPr>
                <w:rFonts w:ascii="Times New Roman" w:hAnsi="Times New Roman" w:eastAsia="Times New Roman" w:cs="Times New Roman"/>
                <w:color w:val="45464F"/>
                <w:sz w:val="20"/>
              </w:rPr>
              <w:br/>
              <w:t>R5</w:t>
            </w:r>
            <w:r>
              <w:rPr>
                <w:rFonts w:ascii="Times New Roman" w:hAnsi="Times New Roman" w:eastAsia="Times New Roman" w:cs="Times New Roman"/>
                <w:color w:val="45464F"/>
                <w:sz w:val="20"/>
              </w:rPr>
              <w:br/>
              <w:t>R6</w:t>
            </w:r>
          </w:p>
        </w:tc>
      </w:tr>
      <w:tr w:rsidR="008D3618" w14:paraId="0D6EA5F1"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2509F1" w14:textId="77777777" w:rsidR="008D3618" w:rsidRDefault="00C842C4">
            <w:pPr>
              <w:keepNext/>
              <w:widowControl/>
              <w:spacing w:before="40" w:after="60" w:line="250" w:lineRule="auto"/>
            </w:pPr>
            <w:r>
              <w:rPr>
                <w:rFonts w:ascii="Times New Roman" w:hAnsi="Times New Roman" w:eastAsia="Times New Roman" w:cs="Times New Roman"/>
                <w:color w:val="45464F"/>
                <w:sz w:val="18"/>
              </w:rPr>
              <w:t>2</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2FB4EBF"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E08DA5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AC22AE"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ABB2B19"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9ED110"/>
          </w:tcPr>
          <w:p w14:paraId="79715FA1" w14:textId="77777777" w:rsidR="008D3618" w:rsidRDefault="00C842C4">
            <w:pPr>
              <w:keepNext/>
              <w:widowControl/>
              <w:spacing w:before="40" w:after="60" w:line="250" w:lineRule="auto"/>
            </w:pPr>
            <w:r>
              <w:rPr>
                <w:rFonts w:ascii="Times New Roman" w:hAnsi="Times New Roman" w:eastAsia="Times New Roman" w:cs="Times New Roman"/>
                <w:color w:val="45464F"/>
                <w:sz w:val="20"/>
              </w:rPr>
              <w:t>—</w:t>
            </w:r>
          </w:p>
        </w:tc>
      </w:tr>
      <w:tr w:rsidR="008D3618" w14:paraId="10F23DC7" w14:textId="77777777">
        <w:trPr>
          <w:cantSplit/>
        </w:trPr>
        <w:tc>
          <w:tcPr>
            <w:tcW w:w="263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8E0CB2A" w14:textId="77777777" w:rsidR="008D3618" w:rsidRDefault="00C842C4">
            <w:pPr>
              <w:keepNext w:val="0"/>
              <w:widowControl/>
              <w:spacing w:before="40" w:after="60" w:line="250" w:lineRule="auto"/>
            </w:pPr>
            <w:r>
              <w:rPr>
                <w:rFonts w:ascii="Times New Roman" w:hAnsi="Times New Roman" w:eastAsia="Times New Roman" w:cs="Times New Roman"/>
                <w:color w:val="45464F"/>
                <w:sz w:val="18"/>
              </w:rPr>
              <w:t>1</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2DF0871"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153860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C49B679"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EA2A6E"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c>
          <w:tcPr>
            <w:tcW w:w="1461"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C6A9C13" w14:textId="77777777" w:rsidR="008D3618" w:rsidRDefault="00C842C4">
            <w:pPr>
              <w:keepNext w:val="0"/>
              <w:widowControl/>
              <w:spacing w:before="40" w:after="60" w:line="250" w:lineRule="auto"/>
            </w:pPr>
            <w:r>
              <w:rPr>
                <w:rFonts w:ascii="Times New Roman" w:hAnsi="Times New Roman" w:eastAsia="Times New Roman" w:cs="Times New Roman"/>
                <w:color w:val="45464F"/>
                <w:sz w:val="20"/>
              </w:rPr>
              <w:t>—</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Analyst judgments. Prioritisation bands: 1–6 lower, 7–12 moderate, 13–19 high, 20–25 very high. Risk IDs and placements match the register; empty cells contain no assigned risk.</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Monitoring identifies a developing exposure; prevention seeks to reduce the likelihood of an incident; mitigation limits disruption or loss while an incident unfolds; recovery restores service and reconciles obligations afterwards. These activities require different evidence and should not be collapsed into a generic recommendation.</w:t>
      </w:r>
    </w:p>
    <w:p>
      <w:pPr>
        <w:keepNext w:val="0"/>
        <w:keepLines w:val="0"/>
        <w:pageBreakBefore w:val="0"/>
        <w:widowControl/>
        <w:spacing w:line="252" w:lineRule="auto" w:after="80"/>
        <w:ind w:firstLine="0"/>
        <w:sectPr>
          <w:pgSz w:w="12240" w:h="15840"/>
          <w:pgMar w:left="1152" w:right="1152" w:top="1008" w:bottom="936" w:header="360" w:footer="360"/>
        </w:sectPr>
      </w:pP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7.2  Risk register and response plans</w:t>
      </w:r>
    </w:p>
    <w:tbl>
      <w:tblPr>
        <w:tblW w:w="0" w:type="auto"/>
        <w:tblLayout w:type="fixed"/>
        <w:tblLook w:val="04A0" w:firstRow="1" w:lastRow="0" w:firstColumn="1" w:lastColumn="0" w:noHBand="0" w:noVBand="1"/>
      </w:tblPr>
      <w:tblGrid>
        <w:gridCol w:w="1512"/>
        <w:gridCol w:w="1512"/>
        <w:gridCol w:w="1656"/>
        <w:gridCol w:w="360"/>
        <w:gridCol w:w="360"/>
        <w:gridCol w:w="1512"/>
        <w:gridCol w:w="1944"/>
        <w:gridCol w:w="3456"/>
        <w:gridCol w:w="1656"/>
      </w:tblGrid>
      <w:tr w:rsidR="008D3618" w14:paraId="2255EAAE"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531D5ED3"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Risk and score</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8CBB2E0"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Root cause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2999F645"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Transmission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2898611"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L</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0E8FB37"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I</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4FA39EF"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Early warning</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4E8D4E34"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Prevention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1DFE0C91"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Mitigation and recovery</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038726"/>
          </w:tcPr>
          <w:p w14:paraId="3634CAD4" w14:textId="77777777" w:rsidR="008D3618" w:rsidRDefault="00C842C4">
            <w:pPr>
              <w:keepNext/>
              <w:widowControl/>
              <w:spacing w:before="40" w:after="60" w:line="250" w:lineRule="auto"/>
            </w:pPr>
            <w:r>
              <w:rPr>
                <w:rFonts w:ascii="Times New Roman" w:hAnsi="Times New Roman" w:eastAsia="Times New Roman" w:cs="Times New Roman"/>
                <w:b/>
                <w:color w:val="FFFFFF"/>
                <w:sz w:val="17"/>
              </w:rPr>
              <w:t>Proposed owner</w:t>
            </w:r>
          </w:p>
        </w:tc>
      </w:tr>
      <w:tr w:rsidR="008D3618" w14:paraId="50657BB6"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518C983"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R1 Market liquidity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2F77830"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Thin depth and episodic flows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ACA9BDB"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Lower turnover reduces variable fees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9CA1945"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9383772"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CB3DFEB"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 xml:space="preserve">Spreads, active clients, segment </w:t>
            </w:r>
            <w:r>
              <w:rPr>
                <w:rFonts w:ascii="Times New Roman" w:hAnsi="Times New Roman" w:eastAsia="Times New Roman" w:cs="Times New Roman"/>
                <w:color w:val="45464F"/>
                <w:sz w:val="17"/>
              </w:rPr>
              <w:t>turnover</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BA1E321"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Market-maker design and participant diversification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C9361FF"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Mitigate: targeted access support. Recover: review tariffs and client reactivation.</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D235AF6" w14:textId="77777777" w:rsidR="008D3618" w:rsidRDefault="00C842C4">
            <w:pPr>
              <w:keepNext/>
              <w:widowControl/>
              <w:spacing w:before="40" w:after="60" w:line="250" w:lineRule="auto"/>
            </w:pPr>
            <w:r>
              <w:rPr>
                <w:rFonts w:ascii="Times New Roman" w:hAnsi="Times New Roman" w:eastAsia="Times New Roman" w:cs="Times New Roman"/>
                <w:color w:val="45464F"/>
                <w:sz w:val="17"/>
              </w:rPr>
              <w:t>Markets and finance</w:t>
            </w:r>
          </w:p>
        </w:tc>
      </w:tr>
      <w:tr w:rsidR="008D3618" w14:paraId="0DD33A0C"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47E82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R2 Rate sensitivity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1A1333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Assets reprice faster than funding</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36E78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Rate cuts reduce net </w:t>
            </w:r>
            <w:r>
              <w:rPr>
                <w:rFonts w:ascii="Times New Roman" w:hAnsi="Times New Roman" w:eastAsia="Times New Roman" w:cs="Times New Roman"/>
                <w:color w:val="45464F"/>
                <w:sz w:val="17"/>
              </w:rPr>
              <w:t>interest contribution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55BF28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37383B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1904A6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Net repricing gap and effective yield</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782821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Asset-liability limits and scenario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4C4B8A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rebalance within mandate. Recover: revise cost and earnings plans.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9ED409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Finance and treasury</w:t>
            </w:r>
          </w:p>
        </w:tc>
      </w:tr>
      <w:tr w:rsidR="008D3618" w14:paraId="2EFDDC4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B668E6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R3 Revenue concentration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7156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Large </w:t>
            </w:r>
            <w:r>
              <w:rPr>
                <w:rFonts w:ascii="Times New Roman" w:hAnsi="Times New Roman" w:eastAsia="Times New Roman" w:cs="Times New Roman"/>
                <w:color w:val="45464F"/>
                <w:sz w:val="17"/>
              </w:rPr>
              <w:t>interest and key product exposures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F0B04E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One income shock affects total earnings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4C8DB7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97C57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17E1A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Revenue mix and largest fee sources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DC89F0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Develop recurring data and service income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48A1B7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discretionary cost flexibility. Recover: adjust product portfolio.</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14DC14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Strategy and finance</w:t>
            </w:r>
          </w:p>
        </w:tc>
      </w:tr>
      <w:tr w:rsidR="008D3618" w14:paraId="55907E8A"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BF93F5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R4 Cyber and outage</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3FF4CB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Attack or critical system failure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42DC73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Trading interruption and recovery cost</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B415E0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5C2125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146192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Critical vulnerabilities and recovery tests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93FB19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Access controls, patching and penetration tests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B8C4E7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isolate incident and fail over. Recover: reconc</w:t>
            </w:r>
            <w:r>
              <w:rPr>
                <w:rFonts w:ascii="Times New Roman" w:hAnsi="Times New Roman" w:eastAsia="Times New Roman" w:cs="Times New Roman"/>
                <w:color w:val="45464F"/>
                <w:sz w:val="17"/>
              </w:rPr>
              <w:t>ile and restore against tolerances.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0AADA9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Technology and security</w:t>
            </w:r>
          </w:p>
        </w:tc>
      </w:tr>
      <w:tr w:rsidR="008D3618" w14:paraId="3D08EA1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3534A0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R5 Clearing counterparty</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D4AC1F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Member default and collateral gap</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800AE2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Liquidity strain and default-management losses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D26AEB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0098F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D0267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Margin breaches and stressed exposures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1612D6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Member limits, collateral </w:t>
            </w:r>
            <w:r>
              <w:rPr>
                <w:rFonts w:ascii="Times New Roman" w:hAnsi="Times New Roman" w:eastAsia="Times New Roman" w:cs="Times New Roman"/>
                <w:color w:val="45464F"/>
                <w:sz w:val="17"/>
              </w:rPr>
              <w:t>haircuts and stress tests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8169CE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apply default procedures. Recover: replenish resources and review limits.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68E52B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KACC risk and clearing</w:t>
            </w:r>
          </w:p>
        </w:tc>
      </w:tr>
      <w:tr w:rsidR="008D3618" w14:paraId="58002E5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A0833A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R6 Sanctions access</w:t>
            </w:r>
            <w:r>
              <w:rPr>
                <w:rFonts w:ascii="Times New Roman" w:hAnsi="Times New Roman" w:eastAsia="Times New Roman" w:cs="Times New Roman"/>
                <w:color w:val="45464F"/>
                <w:sz w:val="17"/>
              </w:rPr>
              <w:br/>
              <w:t>Score 15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B1ED8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Restricted entities or infrastructure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FF20A7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Settlement channels and partners unavailable</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38765F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C5EC70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5</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B06811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Screening alerts and blocked transactions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393C4A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Entity screening and vendor dependency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6ECC87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lawful alternative routes. Recover: reconcile stranded transactions with counsel.</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4D41A4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Compliance and legal</w:t>
            </w:r>
          </w:p>
        </w:tc>
      </w:tr>
      <w:tr w:rsidR="008D3618" w14:paraId="51B384C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9FDB93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R7 Governance conflicts</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5B61F2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Shareholder and user interests overlap</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6D62EA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Suboptimal tariffs or capital allocation</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1C79BF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1B67B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0A7809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Related-party matters and recusals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4FC2D1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Conflict register and independent challenge</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5AB3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independent committee review. Recover: reassess affected decisions.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799C8A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Board and secre</w:t>
            </w:r>
            <w:r>
              <w:rPr>
                <w:rFonts w:ascii="Times New Roman" w:hAnsi="Times New Roman" w:eastAsia="Times New Roman" w:cs="Times New Roman"/>
                <w:color w:val="45464F"/>
                <w:sz w:val="17"/>
              </w:rPr>
              <w:t>tary</w:t>
            </w:r>
          </w:p>
        </w:tc>
      </w:tr>
      <w:tr w:rsidR="008D3618" w14:paraId="6B847111"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EF8FB5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R8 AIX competition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D0066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and investor venue choice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792CC1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Fee pressure or lost listings and flows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5ABDE4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D7A25E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20DC56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Matched-product share and issuer retention</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55B8F4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Service quality and product economics review</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494AF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Mitigate: targeted retention and access </w:t>
            </w:r>
            <w:r>
              <w:rPr>
                <w:rFonts w:ascii="Times New Roman" w:hAnsi="Times New Roman" w:eastAsia="Times New Roman" w:cs="Times New Roman"/>
                <w:color w:val="45464F"/>
                <w:sz w:val="17"/>
              </w:rPr>
              <w:t>improvements. Recover: revise pricing and product mix.</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712138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Markets and strategy</w:t>
            </w:r>
          </w:p>
        </w:tc>
      </w:tr>
      <w:tr w:rsidR="008D3618" w14:paraId="087AB1BD"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2F2948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R9 Regulatory change</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F38187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New or revised obligations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60F73E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Implementation costs and delayed launches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9DD791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07B7F4F"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CCFE1A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Obligation deadlines and overdue actions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E0F8E7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Legal inventory and product </w:t>
            </w:r>
            <w:r>
              <w:rPr>
                <w:rFonts w:ascii="Times New Roman" w:hAnsi="Times New Roman" w:eastAsia="Times New Roman" w:cs="Times New Roman"/>
                <w:color w:val="45464F"/>
                <w:sz w:val="17"/>
              </w:rPr>
              <w:t>approval gates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5DA49A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reprioritize delivery. Recover: remediate and validate compliance.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49136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Legal and compliance</w:t>
            </w:r>
          </w:p>
        </w:tc>
      </w:tr>
      <w:tr w:rsidR="008D3618" w14:paraId="4258868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601462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lastRenderedPageBreak/>
              <w:t>R10 Reputation</w:t>
            </w:r>
            <w:r>
              <w:rPr>
                <w:rFonts w:ascii="Times New Roman" w:hAnsi="Times New Roman" w:eastAsia="Times New Roman" w:cs="Times New Roman"/>
                <w:color w:val="45464F"/>
                <w:sz w:val="17"/>
              </w:rPr>
              <w:br/>
              <w:t>Score 12</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9EDEDC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Misleading disclosure or executive conduct issue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7C71B4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Trust loss affects participation and access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C6E003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30AB87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3D52699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Complaints and </w:t>
            </w:r>
            <w:r>
              <w:rPr>
                <w:rFonts w:ascii="Times New Roman" w:hAnsi="Times New Roman" w:eastAsia="Times New Roman" w:cs="Times New Roman"/>
                <w:color w:val="45464F"/>
                <w:sz w:val="17"/>
              </w:rPr>
              <w:t>disclosure corrections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DA9BBF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Disclosure checks and conduct controls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139BF09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verified incident communication. Recover: independent review and remedial disclosure.</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60694A6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Communications and compliance</w:t>
            </w:r>
          </w:p>
        </w:tc>
      </w:tr>
      <w:tr w:rsidR="008D3618" w14:paraId="5A06D52F"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592D772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R11 Macro and FX</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0400C86"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Commodity shock and </w:t>
            </w:r>
            <w:r>
              <w:rPr>
                <w:rFonts w:ascii="Times New Roman" w:hAnsi="Times New Roman" w:eastAsia="Times New Roman" w:cs="Times New Roman"/>
                <w:color w:val="45464F"/>
                <w:sz w:val="17"/>
              </w:rPr>
              <w:t>capital-flow reversal</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42D3AD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Turnover spikes then contraction; collateral stress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637DD05"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826CD3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39BFDB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FX volatility, oil and member funding stress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603E0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Joint market and liquidity stress scenarios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1394EF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exposure limits and liquidity readiness. Recover: recalibrate stress assumption</w:t>
            </w:r>
            <w:r>
              <w:rPr>
                <w:rFonts w:ascii="Times New Roman" w:hAnsi="Times New Roman" w:eastAsia="Times New Roman" w:cs="Times New Roman"/>
                <w:color w:val="45464F"/>
                <w:sz w:val="17"/>
              </w:rPr>
              <w:t>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E97363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Risk and finance</w:t>
            </w:r>
          </w:p>
        </w:tc>
      </w:tr>
      <w:tr w:rsidR="008D3618" w14:paraId="557C5B0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32D5A2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R12 Technology delivery</w:t>
            </w:r>
            <w:r>
              <w:rPr>
                <w:rFonts w:ascii="Times New Roman" w:hAnsi="Times New Roman" w:eastAsia="Times New Roman" w:cs="Times New Roman"/>
                <w:color w:val="45464F"/>
                <w:sz w:val="17"/>
              </w:rPr>
              <w:br/>
              <w:t>Score 16</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DE980A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Vendor concentration and complex migration</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1F9A717"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Cost overruns, outages or delayed benefits</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18BF312"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20F8F1F3"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4</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0966CD39"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Milestone slippage and unresolved defects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47DBC44C"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Stage gates, parallel runs and exit planning</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5506611D"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Mitigate: </w:t>
            </w:r>
            <w:r>
              <w:rPr>
                <w:rFonts w:ascii="Times New Roman" w:hAnsi="Times New Roman" w:eastAsia="Times New Roman" w:cs="Times New Roman"/>
                <w:color w:val="45464F"/>
                <w:sz w:val="17"/>
              </w:rPr>
              <w:t>rollback and alternate capacity. Recover: reconcile data and rebaseline delivery.</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FFFFFF"/>
          </w:tcPr>
          <w:p w14:paraId="70C876A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Technology and procurement</w:t>
            </w:r>
          </w:p>
        </w:tc>
      </w:tr>
      <w:tr w:rsidR="008D3618" w14:paraId="30F1BFD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EBBFEB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R13 Climate and issuers</w:t>
            </w:r>
            <w:r>
              <w:rPr>
                <w:rFonts w:ascii="Times New Roman" w:hAnsi="Times New Roman" w:eastAsia="Times New Roman" w:cs="Times New Roman"/>
                <w:color w:val="45464F"/>
                <w:sz w:val="17"/>
              </w:rPr>
              <w:br/>
              <w:t>Score 9</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2D27AC04"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Concentrated carbon-intensive exposures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65FEE0C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weakness affects listing and collateral quality</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7E013B01"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36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0418EFA"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3</w:t>
            </w:r>
          </w:p>
        </w:tc>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3E16B8CE"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 xml:space="preserve">Sector </w:t>
            </w:r>
            <w:r>
              <w:rPr>
                <w:rFonts w:ascii="Times New Roman" w:hAnsi="Times New Roman" w:eastAsia="Times New Roman" w:cs="Times New Roman"/>
                <w:color w:val="45464F"/>
                <w:sz w:val="17"/>
              </w:rPr>
              <w:t>exposure and ESG disclosure gaps</w:t>
            </w:r>
          </w:p>
        </w:tc>
        <w:tc>
          <w:tcPr>
            <w:tcW w:w="19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08BC8238"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Issuer monitoring and verified green claims</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42DC477B"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Mitigate: exposure and collateral adjustments. Recover: revise issuer assumptions.</w:t>
            </w:r>
          </w:p>
        </w:tc>
        <w:tc>
          <w:tcPr>
            <w:tcW w:w="16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shd w:fill="EFF6F0"/>
          </w:tcPr>
          <w:p w14:paraId="17AF08D0" w14:textId="77777777" w:rsidR="008D3618" w:rsidRDefault="00C842C4">
            <w:pPr>
              <w:keepNext w:val="0"/>
              <w:widowControl/>
              <w:spacing w:before="40" w:after="60" w:line="250" w:lineRule="auto"/>
            </w:pPr>
            <w:r>
              <w:rPr>
                <w:rFonts w:ascii="Times New Roman" w:hAnsi="Times New Roman" w:eastAsia="Times New Roman" w:cs="Times New Roman"/>
                <w:color w:val="45464F"/>
                <w:sz w:val="17"/>
              </w:rPr>
              <w:t>Listing and KACC risk</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All thirteen scores were recalculated and all heat-map positions checked. Proposed actions and responsible functions are analyst proposals; the annual report supplies the disclosed-control context [1].</w:t>
      </w:r>
    </w:p>
    <w:p>
      <w:pPr>
        <w:keepNext w:val="0"/>
        <w:keepLines w:val="0"/>
        <w:pageBreakBefore w:val="0"/>
        <w:widowControl/>
        <w:spacing w:line="252" w:lineRule="auto" w:after="80"/>
        <w:ind w:firstLine="0"/>
        <w:sectPr>
          <w:pgSz w:w="15840" w:h="12240" w:orient="landscape"/>
          <w:pgMar w:left="936" w:right="936" w:top="1008" w:bottom="936" w:header="360" w:footer="360"/>
        </w:sectPr>
      </w:pP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8  Recent news and leadership interviews</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Publication / evidence type</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Verified content and attribution</w:t>
            </w:r>
          </w:p>
        </w:tc>
        <w:tc>
          <w:tcPr>
            <w:tcW w:type="dxa" w:w="3312"/>
            <w:shd w:fill="038726"/>
          </w:tcPr>
          <w:p>
            <w:pPr>
              <w:keepNext/>
              <w:widowControl/>
              <w:spacing w:before="40" w:after="60" w:line="250" w:lineRule="auto"/>
            </w:pPr>
            <w:r>
              <w:rPr>
                <w:rFonts w:ascii="Times New Roman" w:hAnsi="Times New Roman" w:eastAsia="Times New Roman" w:cs="Times New Roman"/>
                <w:b/>
                <w:color w:val="FFFFFF"/>
                <w:sz w:val="20"/>
              </w:rPr>
              <w:t>Analytical relevance</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6 Oct 2026 — official account of forum remarks [15]</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Adil Mukhamejanov, KASE Management Board chair, described tokenised capital-market instruments and the roles of KASE, Solana and BitGo.</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Access and distribution opportunity; the announcement does not establish realised product revenue or unrestricted instrument eligibility.</w:t>
            </w:r>
          </w:p>
        </w:tc>
      </w:tr>
      <w:tr>
        <w:trPr>
          <w:cantSplit/>
        </w:trPr>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8 Oct 2026 — official account of conference remarks [16]</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Idel Sabitov spoke as KACC deputy Management Board chair. EUR/KZT and CNY/KZT futures were added on 5 October; broker distribution was the next focus.</w:t>
            </w:r>
          </w:p>
        </w:tc>
        <w:tc>
          <w:tcPr>
            <w:tcW w:type="dxa" w:w="3312"/>
            <w:shd w:fill="FFFFFF"/>
          </w:tcPr>
          <w:p>
            <w:pPr>
              <w:keepNext/>
              <w:widowControl/>
              <w:spacing w:before="40" w:after="60" w:line="250" w:lineRule="auto"/>
            </w:pPr>
            <w:r>
              <w:rPr>
                <w:rFonts w:ascii="Times New Roman" w:hAnsi="Times New Roman" w:eastAsia="Times New Roman" w:cs="Times New Roman"/>
                <w:color w:val="45464F"/>
                <w:sz w:val="20"/>
              </w:rPr>
              <w:t>Distinguish a KACC officer from a KASE executive; monitor adoption, liquidity and support costs.</w:t>
            </w:r>
          </w:p>
        </w:tc>
      </w:tr>
      <w:tr>
        <w:trPr>
          <w:cantSplit/>
        </w:trPr>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15 Oct 2026 — official partnership announcement [17]</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KASE announced cooperation with ReportiX and PKF Tax &amp; Legal Kazakhstan on tax education and potential services.</w:t>
            </w:r>
          </w:p>
        </w:tc>
        <w:tc>
          <w:tcPr>
            <w:tcW w:type="dxa" w:w="3312"/>
            <w:shd w:fill="EFF6F0"/>
          </w:tcPr>
          <w:p>
            <w:pPr>
              <w:keepNext/>
              <w:widowControl/>
              <w:spacing w:before="40" w:after="60" w:line="250" w:lineRule="auto"/>
            </w:pPr>
            <w:r>
              <w:rPr>
                <w:rFonts w:ascii="Times New Roman" w:hAnsi="Times New Roman" w:eastAsia="Times New Roman" w:cs="Times New Roman"/>
                <w:color w:val="45464F"/>
                <w:sz w:val="20"/>
              </w:rPr>
              <w:t>May reduce participation barriers; pricing, scope and uptake remain unproven.</w:t>
            </w:r>
          </w:p>
        </w:tc>
      </w:tr>
      <w:tr>
        <w:trPr>
          <w:cantSplit/>
        </w:trPr>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15 Oct 2026 — official event report [18]</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Alla Li, KACC deputy Management Board chair, presented at FEAS/ConFEAS in Oman.</w:t>
            </w:r>
          </w:p>
        </w:tc>
        <w:tc>
          <w:tcPr>
            <w:tcW w:type="dxa" w:w="3312"/>
            <w:shd w:fill="FFFFFF"/>
          </w:tcPr>
          <w:p>
            <w:pPr>
              <w:keepNext w:val="0"/>
              <w:widowControl/>
              <w:spacing w:before="40" w:after="60" w:line="250" w:lineRule="auto"/>
            </w:pPr>
            <w:r>
              <w:rPr>
                <w:rFonts w:ascii="Times New Roman" w:hAnsi="Times New Roman" w:eastAsia="Times New Roman" w:cs="Times New Roman"/>
                <w:color w:val="45464F"/>
                <w:sz w:val="20"/>
              </w:rPr>
              <w:t>International outreach; promotional market totals are not the Exchange’s operating income.</w:t>
            </w:r>
          </w:p>
        </w:tc>
      </w:tr>
    </w:tbl>
    <w:p>
      <w:pPr>
        <w:pStyle w:val="Caption"/>
        <w:keepNext w:val="0"/>
        <w:keepLines w:val="0"/>
        <w:pageBreakBefore w:val="0"/>
        <w:widowControl/>
        <w:spacing w:line="252" w:lineRule="auto" w:after="80"/>
        <w:ind w:firstLine="0"/>
      </w:pPr>
      <w:r>
        <w:rPr>
          <w:rFonts w:ascii="Times New Roman" w:hAnsi="Times New Roman" w:eastAsia="Times New Roman" w:cs="Times New Roman"/>
          <w:color w:val="45464F"/>
          <w:sz w:val="24"/>
        </w:rPr>
        <w:t>Source publication dates, not website clock or update dates. Interpretations are analyst assessments, not an event study or a representative sentiment sample.</w:t>
      </w:r>
    </w:p>
    <w:p>
      <w:pPr>
        <w:pStyle w:val="Heading2"/>
        <w:keepNext/>
        <w:keepLines/>
        <w:pageBreakBefore w:val="0"/>
        <w:widowControl/>
        <w:spacing w:line="252" w:lineRule="auto" w:after="80"/>
        <w:ind w:firstLine="0"/>
        <w:jc w:val="left"/>
      </w:pPr>
      <w:r>
        <w:rPr>
          <w:rFonts w:ascii="Times New Roman" w:hAnsi="Times New Roman" w:eastAsia="Times New Roman" w:cs="Times New Roman"/>
          <w:b/>
          <w:color w:val="038726"/>
          <w:sz w:val="28"/>
        </w:rPr>
        <w:t>8.1  Full interviews and role-specific interpretation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Alia Moldabekova’s Kapital.kz interview was published on 21 September 2026. She spoke as National Bank deputy governor, explaining the exchange rate through foreign-currency supply, export conditions, external corporate borrowing and nonresident securities demand. Her policy explanation is relevant to KASE’s liquidity environment; it is not Exchange earnings guidance [14].</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Financier No. 1 (41), 2026 carries a full interview with Alina Aldambergen, explicitly identified as former KASE chair. She discusses issuer development, retail access, digital brokerage and clearing infrastructure. The issue supplies a year but no exact publication day, so it is retained as 2026 historical context rather than precisely dated cutoff news. Retrospective commentary is not evidence of current operational results [19].</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No authenticated full CFO interview or video transcript was located in the reviewed source set. Forum reports above are labelled as reported remarks. No price reaction, avoided loss or new-product profit is inferred from an announcement.</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9  Conclusion</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KASE’s institutional strength comes from the interaction of domestic trading, funding and post-trade services. Its principal financial challenge is to sustain fee income and control infrastructure costs while gross interest receipts remain material. Reliable collateral and recovery processes, transparent capital allocation and credible issuer access are central to that task. The evidence supports a source-specific historical assessment; it does not support a valuation conclusion or a mechanical prediction of profit from changes in the policy rate.</w:t>
      </w:r>
    </w:p>
    <w:p>
      <w:pPr>
        <w:pStyle w:val="Heading1"/>
        <w:keepNext/>
        <w:keepLines/>
        <w:pageBreakBefore w:val="0"/>
        <w:widowControl/>
        <w:spacing w:line="252" w:lineRule="auto" w:after="80"/>
        <w:ind w:firstLine="0"/>
        <w:jc w:val="left"/>
      </w:pPr>
      <w:r>
        <w:rPr>
          <w:rFonts w:ascii="Times New Roman" w:hAnsi="Times New Roman" w:eastAsia="Times New Roman" w:cs="Times New Roman"/>
          <w:b/>
          <w:color w:val="038726"/>
          <w:sz w:val="34"/>
        </w:rPr>
        <w:t>10  References</w:t>
      </w:r>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 KASE Group Annual Report 2025. Supplied English edition; reporting period 2025. Printed pages cited in the text. The official public link opens the Russian edition. </w:t>
      </w:r>
      <w:hyperlink r:id="rId1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[2] KASE JSC consolidated financial statements for 2024 with independent auditor’s report. Published 5 June 2025; 2023 comparative restated. Printed p. 2 (PDF p. 8). </w:t>
      </w:r>
      <w:hyperlink r:id="rId53">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[3] KASE. AGM decisions, 28 May 2026: approved 2025 profit allocation and dividend. </w:t>
      </w:r>
      <w:hyperlink r:id="rId54">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[4] KASE. Shareholder disclosure dated 1 August 2026; accessed 22 October 2026. </w:t>
      </w:r>
      <w:hyperlink r:id="rId55">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[5] KASE. Management page, undated; accessed 22 October 2026. </w:t>
      </w:r>
      <w:hyperlink r:id="rId19">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[6] KASE. Management Board composition, 30 July 2026, effective 1 August 2026. </w:t>
      </w:r>
      <w:hyperlink r:id="rId20">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[7] National Bank of Kazakhstan. Governor’s base-rate statement, 4 September 2026. </w:t>
      </w:r>
      <w:hyperlink r:id="rId56">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[8] Bureau of National Statistics. Inflation in Kazakhstan, September 2026. </w:t>
      </w:r>
      <w:hyperlink r:id="rId2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[9] AIX. Shareholders, undated; accessed 22 October 2026. </w:t>
      </w:r>
      <w:hyperlink r:id="rId35">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[10] AIX. Overview, undated; accessed 22 October 2026. </w:t>
      </w:r>
      <w:hyperlink r:id="rId5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[11] AIX CSD. Overview, undated; accessed 22 October 2026. </w:t>
      </w:r>
      <w:hyperlink r:id="rId58">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[12] B2B Events. Dmitry Tskhay speaker profile and photograph, undated; accessed 22 October 2026. </w:t>
      </w:r>
      <w:hyperlink r:id="rId32">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[13] Kursiv. Dated reporting identifying Dmitry Tskhay’s KASE finance role, 23 January 2026. </w:t>
      </w:r>
      <w:hyperlink r:id="rId33">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[14] Kapital.kz. Full interview with NBK deputy governor Alia Moldabekova, 21 September 2026. </w:t>
      </w:r>
      <w:hyperlink r:id="rId46">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[15] KASE. Adil Mukhamejanov at Capital Markets Forum, 6 October 2026. </w:t>
      </w:r>
      <w:hyperlink r:id="rId44">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[16] KASE. Futures and broker distribution; reported Idel Sabitov remarks, 8 October 2026. </w:t>
      </w:r>
      <w:hyperlink r:id="rId40">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[17] KASE. ReportiX/PKF cooperation announcement, 15 October 2026. </w:t>
      </w:r>
      <w:hyperlink r:id="rId38">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[18] KASE. FEAS/ConFEAS participation and Alla Li presentation, 15 October 2026. </w:t>
      </w:r>
      <w:hyperlink r:id="rId39">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[19] Financier No. 1 (41), 2026. Full interview with former KASE chair Alina Aldambergen; exact publication day unavailable. </w:t>
      </w:r>
      <w:hyperlink r:id="rId47">
        <w:r>
          <w:rPr>
            <w:rStyle w:val="Hyperlink"/>
          </w:rPr>
          <w:t>Open source</w:t>
        </w:r>
      </w:hyperlink>
    </w:p>
    <w:p>
      <w:pPr>
        <w:keepNext w:val="0"/>
        <w:keepLines w:val="0"/>
        <w:pageBreakBefore w:val="0"/>
        <w:widowControl/>
        <w:spacing w:line="252" w:lineRule="auto" w:after="80"/>
        <w:ind w:firstLine="0"/>
      </w:pPr>
      <w:r>
        <w:rPr>
          <w:rFonts w:ascii="Times New Roman" w:hAnsi="Times New Roman" w:eastAsia="Times New Roman" w:cs="Times New Roman"/>
          <w:color w:val="45464F"/>
          <w:sz w:val="24"/>
        </w:rPr>
        <w:t xml:space="preserve">[20] KASE. Corporate identity and logo-use rules, palette p. 9 and typography p. 10. Applied to report presentation. </w:t>
      </w:r>
      <w:hyperlink r:id="rId31">
        <w:r>
          <w:rPr>
            <w:rStyle w:val="Hyperlink"/>
          </w:rPr>
          <w:t>Open source</w:t>
        </w:r>
      </w:hyperlink>
    </w:p>
    <w:sectPr>
      <w:pgSz w:w="12240" w:h="15840"/>
      <w:pgMar w:left="1152" w:right="1152" w:top="1008" w:bottom="936" w:header="360" w:footer="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B86B7D" w14:textId="77777777" w:rsidR="00C842C4" w:rsidRDefault="00C842C4">
      <w:pPr>
        <w:spacing w:after="0" w:line="240" w:lineRule="auto"/>
      </w:pPr>
      <w:r>
        <w:separator/>
      </w:r>
    </w:p>
  </w:endnote>
  <w:endnote w:type="continuationSeparator" w:id="0">
    <w:p w14:paraId="60FDCC08" w14:textId="77777777" w:rsidR="00C842C4" w:rsidRDefault="00C84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67BD8" w14:textId="77777777" w:rsidR="008D3618" w:rsidRDefault="00C842C4">
    <w:pPr>
      <w:pStyle w:val="Footer"/>
      <w:jc w:val="center"/>
    </w:pPr>
    <w:r>
      <w:t xml:space="preserve">KASE institutional research | 21 October 2026 | </w:t>
    </w:r>
    <w:r>
      <w:t>Evidence-led, not investment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9F61E" w14:textId="77777777" w:rsidR="00C842C4" w:rsidRDefault="00C842C4">
      <w:pPr>
        <w:spacing w:after="0" w:line="240" w:lineRule="auto"/>
      </w:pPr>
      <w:r>
        <w:separator/>
      </w:r>
    </w:p>
  </w:footnote>
  <w:footnote w:type="continuationSeparator" w:id="0">
    <w:p w14:paraId="385FF168" w14:textId="77777777" w:rsidR="00C842C4" w:rsidRDefault="00C84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B30BF" w14:textId="77777777" w:rsidR="008D3618" w:rsidRDefault="008D3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3618"/>
    <w:rsid w:val="009F1EAD"/>
    <w:rsid w:val="00AA1D8D"/>
    <w:rsid w:val="00B47730"/>
    <w:rsid w:val="00C842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D2B42"/>
  <w14:defaultImageDpi w14:val="300"/>
  <w15:docId w15:val="{25FE20EA-2561-4054-8355-F98F0D72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120" w:line="269" w:lineRule="auto"/>
    </w:pPr>
    <w:rPr>
      <w:rFonts w:ascii="Times New Roman" w:hAnsi="Times New Roman" w:eastAsia="Times New Roman" w:cs="Times New Roman"/>
      <w:color w:val="45464F"/>
      <w:sz w:val="24"/>
    </w:rPr>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color w:val="038726"/>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eastAsia="Times New Roman" w:cs="Times New Roman"/>
      <w:b/>
      <w:bCs/>
      <w:color w:val="038726"/>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imes New Roman" w:hAnsi="Times New Roman" w:eastAsia="Times New Roman" w:cs="Times New Roman"/>
      <w:b/>
      <w:bCs/>
      <w:color w:val="0387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keepLines/>
      <w:spacing w:after="120" w:line="240" w:lineRule="auto" w:before="280"/>
      <w:contextualSpacing/>
    </w:pPr>
    <w:rPr>
      <w:rFonts w:ascii="Times New Roman" w:hAnsi="Times New Roman" w:eastAsia="Times New Roman" w:cs="Times New Roman"/>
      <w:b/>
      <w:color w:val="038726"/>
      <w:spacing w:val="5"/>
      <w:kern w:val="28"/>
      <w:sz w:val="50"/>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80" w:after="120"/>
    </w:pPr>
    <w:rPr>
      <w:rFonts w:ascii="Times New Roman" w:hAnsi="Times New Roman" w:eastAsia="Times New Roman" w:cs="Times New Roman"/>
      <w:b/>
      <w:i/>
      <w:iCs/>
      <w:color w:val="038726"/>
      <w:spacing w:val="15"/>
      <w:sz w:val="28"/>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696969"/>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kase.kz/ru/about/stockholders" TargetMode="External"/><Relationship Id="rId26" Type="http://schemas.openxmlformats.org/officeDocument/2006/relationships/hyperlink" Target="https://nationalbank.kz/en/news/press-relizy/20266" TargetMode="External"/><Relationship Id="rId39" Type="http://schemas.openxmlformats.org/officeDocument/2006/relationships/hyperlink" Target="https://kase.kz/ru/media-center/events/o2oh3o3uf1aytp1bwplli5vq" TargetMode="External"/><Relationship Id="rId21" Type="http://schemas.openxmlformats.org/officeDocument/2006/relationships/hyperlink" Target="https://kase.kz/en/media-center/events/ltor268etv7q7gcorbzoxwt1" TargetMode="External"/><Relationship Id="rId34" Type="http://schemas.openxmlformats.org/officeDocument/2006/relationships/hyperlink" Target="https://documents.worldbank.org/curated/en/106851468765283747/pdf/wps3183.pdf" TargetMode="External"/><Relationship Id="rId42" Type="http://schemas.openxmlformats.org/officeDocument/2006/relationships/hyperlink" Target="https://forbes.kz/articles/kapitalizatsiya-rynka-aktsiy-kazahstana-prevysila-50-trln-tenge-14207c" TargetMode="External"/><Relationship Id="rId47" Type="http://schemas.openxmlformats.org/officeDocument/2006/relationships/hyperlink" Target="https://fbroker.kz/journal/1-41-2026-ru-2/interviu-alina-aldambergen-kase-ru-2" TargetMode="External"/><Relationship Id="rId50" Type="http://schemas.openxmlformats.org/officeDocument/2006/relationships/hyperlink" Target="https://kacc.kase.kz/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yperlink" Target="https://kase.kz/ru/information/news/show/1530627/" TargetMode="External"/><Relationship Id="rId11" Type="http://schemas.openxmlformats.org/officeDocument/2006/relationships/image" Target="media/image4.png"/><Relationship Id="rId24" Type="http://schemas.openxmlformats.org/officeDocument/2006/relationships/hyperlink" Target="https://kase.kz/files/for_shareholders/structure_corp_eng.pdf" TargetMode="External"/><Relationship Id="rId32" Type="http://schemas.openxmlformats.org/officeDocument/2006/relationships/hyperlink" Target="https://b2bevents.pro/ru/expert/dmitry-tskhai/" TargetMode="External"/><Relationship Id="rId37" Type="http://schemas.openxmlformats.org/officeDocument/2006/relationships/hyperlink" Target="https://www.aixkz.com/en/pages/news/view/aix-presents-its-results-for-3q2026-aix-increased-trading-turnover-by-more-than-70" TargetMode="External"/><Relationship Id="rId40" Type="http://schemas.openxmlformats.org/officeDocument/2006/relationships/hyperlink" Target="https://kase.kz/ru/media-center/events/f97icj6mhgz733k2n0uv8ohj" TargetMode="External"/><Relationship Id="rId45" Type="http://schemas.openxmlformats.org/officeDocument/2006/relationships/hyperlink" Target="https://nationalbusiness.kz/news/kto-smozhet-tokenizirovat-tsennie-bumagi-na-kase-i-poluchitsya-li-ih-vernut-iz-tsifri/" TargetMode="Externa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hyperlink" Target="https://kase.kz/uploads/29_05_2025_gosa_eng_10ad80d92e.pdf" TargetMode="External"/><Relationship Id="rId28" Type="http://schemas.openxmlformats.org/officeDocument/2006/relationships/hyperlink" Target="https://home.treasury.gov/news/press-releases/jy2404" TargetMode="External"/><Relationship Id="rId36" Type="http://schemas.openxmlformats.org/officeDocument/2006/relationships/hyperlink" Target="https://www.borsaistanbul.com/en/investor-relations/corporate-governance" TargetMode="External"/><Relationship Id="rId49" Type="http://schemas.openxmlformats.org/officeDocument/2006/relationships/hyperlink" Target="https://kase.kz/en/information/news/show/1567073" TargetMode="External"/><Relationship Id="rId10" Type="http://schemas.openxmlformats.org/officeDocument/2006/relationships/image" Target="media/image3.png"/><Relationship Id="rId19" Type="http://schemas.openxmlformats.org/officeDocument/2006/relationships/hyperlink" Target="https://kase.kz/en/about/management" TargetMode="External"/><Relationship Id="rId31" Type="http://schemas.openxmlformats.org/officeDocument/2006/relationships/hyperlink" Target="https://kase.kz/uploads/Pravila_KASE_logo_82222dd79b.pdf" TargetMode="External"/><Relationship Id="rId44" Type="http://schemas.openxmlformats.org/officeDocument/2006/relationships/hyperlink" Target="https://kase.kz/ru/media-center/events/tgd5o8221ir5hr0p06q460py"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yperlink" Target="https://assets.fitchratings.com/downloadFile?reportType=doddFrank&amp;sfReport=false&amp;slug=non-bank-financial-institutions%2Ffitch-rates-kase-clearing-center-bbb-outlook-stable-04-08-2025" TargetMode="External"/><Relationship Id="rId27" Type="http://schemas.openxmlformats.org/officeDocument/2006/relationships/hyperlink" Target="https://stat.gov.kz/en/industries/economy/prices/publications/517844/" TargetMode="External"/><Relationship Id="rId30" Type="http://schemas.openxmlformats.org/officeDocument/2006/relationships/hyperlink" Target="https://primeminister.kz/ru/news/rost-vvp-kazahstana-po-itogam-devyati-mesyacev-tekushchego-goda-sostavil-42-31989" TargetMode="External"/><Relationship Id="rId35" Type="http://schemas.openxmlformats.org/officeDocument/2006/relationships/hyperlink" Target="https://www.aixkz.com/en/pages/shareholders" TargetMode="External"/><Relationship Id="rId43" Type="http://schemas.openxmlformats.org/officeDocument/2006/relationships/hyperlink" Target="https://kapital.kz/finance/153674/nacbank-postavil-na-pauzu-zerkalirovanie-operacij-s-nacfondom.html" TargetMode="External"/><Relationship Id="rId48" Type="http://schemas.openxmlformats.org/officeDocument/2006/relationships/hyperlink" Target="https://kapital.kz/naznacheniya/148514/eks-glava-kase-alina-aldambergen-poluchila-novuyu-dolzhnost.html"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kase.kz/files/reports/Annual_report_2025.pdf" TargetMode="External"/><Relationship Id="rId25" Type="http://schemas.openxmlformats.org/officeDocument/2006/relationships/hyperlink" Target="https://kase.kz/files/reports/ESG_2025_eng.pdf" TargetMode="External"/><Relationship Id="rId33" Type="http://schemas.openxmlformats.org/officeDocument/2006/relationships/hyperlink" Target="https://kz.kursiv.media/2026-01-23/fvfv-top-menedzher-kazahstanskoy-fondovoy-birzhi-zarabotal-23-8-mln-tenge-v-2024-godu/" TargetMode="External"/><Relationship Id="rId38" Type="http://schemas.openxmlformats.org/officeDocument/2006/relationships/hyperlink" Target="https://kase.kz/ru/media-center/events/j8rxriv13g9seyiy27pm4y0f" TargetMode="External"/><Relationship Id="rId46" Type="http://schemas.openxmlformats.org/officeDocument/2006/relationships/hyperlink" Target="https://kapital.kz/finance/153188/v-nacbanke-obuyasnili-anomalnoe-ukreplenie-tengge.html" TargetMode="External"/><Relationship Id="rId20" Type="http://schemas.openxmlformats.org/officeDocument/2006/relationships/hyperlink" Target="https://kase.kz/ru/information/news/show/1572362" TargetMode="External"/><Relationship Id="rId41" Type="http://schemas.openxmlformats.org/officeDocument/2006/relationships/hyperlink" Target="https://kase.kz/ru/media-center/events/a13wridlx6ecujsncoo4pq55" TargetMode="External"/><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hyperlink" Target="https://kase.kz/uploads/kasef6_2024_cons_0b310589ea.pdf" TargetMode="External"/><Relationship Id="rId54" Type="http://schemas.openxmlformats.org/officeDocument/2006/relationships/hyperlink" Target="https://kase.kz/en/information/news/show/1567470" TargetMode="External"/><Relationship Id="rId55" Type="http://schemas.openxmlformats.org/officeDocument/2006/relationships/hyperlink" Target="https://kase.kz/en/about/stockholders" TargetMode="External"/><Relationship Id="rId56" Type="http://schemas.openxmlformats.org/officeDocument/2006/relationships/hyperlink" Target="https://nationalbank.kz/ru/news/informacionnye-soobshcheniya/20272" TargetMode="External"/><Relationship Id="rId57" Type="http://schemas.openxmlformats.org/officeDocument/2006/relationships/hyperlink" Target="https://www.aixkz.com/en/pages/about" TargetMode="External"/><Relationship Id="rId58" Type="http://schemas.openxmlformats.org/officeDocument/2006/relationships/hyperlink" Target="https://www.aixkz.com/en/pages/overview-csd"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doughnutChart>
        <c:varyColors val="0"/>
        <c:ser>
          <c:idx val="0"/>
          <c:order val="0"/>
          <c:dPt>
            <c:idx val="0"/>
            <c:bubble3D val="0"/>
            <c:spPr>
              <a:solidFill>
                <a:srgbClr val="038726"/>
              </a:solidFill>
              <a:ln>
                <a:solidFill>
                  <a:srgbClr val="FFFFFF"/>
                </a:solidFill>
              </a:ln>
            </c:spPr>
            <c:extLst>
              <c:ext xmlns:c16="http://schemas.microsoft.com/office/drawing/2014/chart" uri="{C3380CC4-5D6E-409C-BE32-E72D297353CC}">
                <c16:uniqueId val="{00000001-23CC-4FB0-9479-BA53C40205A6}"/>
              </c:ext>
            </c:extLst>
          </c:dPt>
          <c:dPt>
            <c:idx val="1"/>
            <c:bubble3D val="0"/>
            <c:spPr>
              <a:solidFill>
                <a:srgbClr val="3CBD0D"/>
              </a:solidFill>
              <a:ln>
                <a:solidFill>
                  <a:srgbClr val="FFFFFF"/>
                </a:solidFill>
              </a:ln>
            </c:spPr>
            <c:extLst>
              <c:ext xmlns:c16="http://schemas.microsoft.com/office/drawing/2014/chart" uri="{C3380CC4-5D6E-409C-BE32-E72D297353CC}">
                <c16:uniqueId val="{00000003-23CC-4FB0-9479-BA53C40205A6}"/>
              </c:ext>
            </c:extLst>
          </c:dPt>
          <c:dPt>
            <c:idx val="2"/>
            <c:bubble3D val="0"/>
            <c:spPr>
              <a:solidFill>
                <a:srgbClr val="9ED110"/>
              </a:solidFill>
              <a:ln>
                <a:solidFill>
                  <a:srgbClr val="FFFFFF"/>
                </a:solidFill>
              </a:ln>
            </c:spPr>
            <c:extLst>
              <c:ext xmlns:c16="http://schemas.microsoft.com/office/drawing/2014/chart" uri="{C3380CC4-5D6E-409C-BE32-E72D297353CC}">
                <c16:uniqueId val="{00000005-23CC-4FB0-9479-BA53C40205A6}"/>
              </c:ext>
            </c:extLst>
          </c:dPt>
          <c:dPt>
            <c:idx val="3"/>
            <c:bubble3D val="0"/>
            <c:spPr>
              <a:solidFill>
                <a:srgbClr val="FECC00"/>
              </a:solidFill>
              <a:ln>
                <a:solidFill>
                  <a:srgbClr val="FFFFFF"/>
                </a:solidFill>
              </a:ln>
            </c:spPr>
            <c:extLst>
              <c:ext xmlns:c16="http://schemas.microsoft.com/office/drawing/2014/chart" uri="{C3380CC4-5D6E-409C-BE32-E72D297353CC}">
                <c16:uniqueId val="{00000007-23CC-4FB0-9479-BA53C40205A6}"/>
              </c:ext>
            </c:extLst>
          </c:dPt>
          <c:dPt>
            <c:idx val="4"/>
            <c:bubble3D val="0"/>
            <c:spPr>
              <a:solidFill>
                <a:srgbClr val="EF7F1A"/>
              </a:solidFill>
              <a:ln>
                <a:solidFill>
                  <a:srgbClr val="FFFFFF"/>
                </a:solidFill>
              </a:ln>
            </c:spPr>
            <c:extLst>
              <c:ext xmlns:c16="http://schemas.microsoft.com/office/drawing/2014/chart" uri="{C3380CC4-5D6E-409C-BE32-E72D297353CC}">
                <c16:uniqueId val="{00000009-23CC-4FB0-9479-BA53C40205A6}"/>
              </c:ext>
            </c:extLst>
          </c:dPt>
          <c:dLbls>
            <c:numFmt formatCode="0.00&quot;%&quot;" sourceLinked="0"/>
            <c:spPr>
              <a:noFill/>
              <a:ln>
                <a:noFill/>
              </a:ln>
              <a:effectLst/>
            </c:spPr>
            <c:showLegendKey val="0"/>
            <c:showVal val="1"/>
            <c:showCatName val="0"/>
            <c:showSerName val="0"/>
            <c:showPercent val="0"/>
            <c:showBubbleSize val="1"/>
            <c:showLeaderLines val="1"/>
            <c:extLst>
              <c:ext xmlns:c15="http://schemas.microsoft.com/office/drawing/2012/chart" uri="{CE6537A1-D6FC-4f65-9D91-7224C49458BB}"/>
            </c:extLst>
          </c:dLbls>
          <c:cat>
            <c:strRef>
              <c:f>Ownership!$A$2:$A$6</c:f>
              <c:strCache>
                <c:ptCount val="5"/>
                <c:pt idx="0">
                  <c:v>National Bank</c:v>
                </c:pt>
                <c:pt idx="1">
                  <c:v>Second-tier banks</c:v>
                </c:pt>
                <c:pt idx="2">
                  <c:v>Brokers</c:v>
                </c:pt>
                <c:pt idx="3">
                  <c:v>Retail investors</c:v>
                </c:pt>
                <c:pt idx="4">
                  <c:v>Other shareholders</c:v>
                </c:pt>
              </c:strCache>
            </c:strRef>
          </c:cat>
          <c:val>
            <c:numRef>
              <c:f>Ownership!$B$2:$B$6</c:f>
              <c:numCache>
                <c:formatCode>0.00</c:formatCode>
                <c:ptCount val="5"/>
                <c:pt idx="0">
                  <c:v>47</c:v>
                </c:pt>
                <c:pt idx="1">
                  <c:v>34.159999999999997</c:v>
                </c:pt>
                <c:pt idx="2">
                  <c:v>5.24</c:v>
                </c:pt>
                <c:pt idx="3">
                  <c:v>5.46</c:v>
                </c:pt>
                <c:pt idx="4">
                  <c:v>8.1199999999999992</c:v>
                </c:pt>
              </c:numCache>
            </c:numRef>
          </c:val>
          <c:extLst>
            <c:ext xmlns:c16="http://schemas.microsoft.com/office/drawing/2014/chart" uri="{C3380CC4-5D6E-409C-BE32-E72D297353CC}">
              <c16:uniqueId val="{0000000A-23CC-4FB0-9479-BA53C40205A6}"/>
            </c:ext>
          </c:extLst>
        </c:ser>
        <c:dLbls>
          <c:showLegendKey val="0"/>
          <c:showVal val="1"/>
          <c:showCatName val="0"/>
          <c:showSerName val="0"/>
          <c:showPercent val="0"/>
          <c:showBubbleSize val="1"/>
          <c:showLeaderLines val="1"/>
        </c:dLbls>
        <c:firstSliceAng val="270"/>
        <c:holeSize val="50"/>
      </c:doughnutChart>
    </c:plotArea>
    <c:legend>
      <c:legendPos val="r"/>
      <c:overlay val="0"/>
    </c:legend>
    <c:plotVisOnly val="1"/>
    <c:dispBlanksAs val="zero"/>
    <c:showDLblsOverMax val="1"/>
  </c:chart>
  <c:txPr>
    <a:bodyPr/>
    <a:lstStyle/>
    <a:p>
      <a:pPr>
        <a:defRPr sz="1100">
          <a:latin typeface="Times New Roman"/>
        </a:defRPr>
      </a:pPr>
      <a:endParaRPr lang="ru-RU"/>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7844</Words>
  <Characters>44715</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KASE Institutional Research Report — Revised</dc:title>
  <dc:subject/>
  <dc:creator>python-docx</dc:creator>
  <cp:keywords/>
  <dc:description>generated by python-docx</dc:description>
  <cp:lastModifiedBy>Sabina</cp:lastModifiedBy>
  <cp:revision>2</cp:revision>
  <dcterms:created xsi:type="dcterms:W3CDTF">2013-12-23T23:15:00Z</dcterms:created>
  <dcterms:modified xsi:type="dcterms:W3CDTF">2026-10-22T14:19:00Z</dcterms:modified>
  <cp:category/>
</cp:coreProperties>
</file>