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064E3B"/>
          <w:sz w:val="56"/>
        </w:rPr>
        <w:t>RAPPORT DE PROJET</w:t>
      </w:r>
    </w:p>
    <w:p>
      <w:pPr>
        <w:jc w:val="center"/>
      </w:pPr>
      <w:r>
        <w:rPr>
          <w:b/>
          <w:color w:val="064E3B"/>
          <w:sz w:val="44"/>
        </w:rPr>
        <w:t>MicrofinanceHub</w:t>
      </w:r>
    </w:p>
    <w:p/>
    <w:p>
      <w:pPr>
        <w:jc w:val="center"/>
      </w:pPr>
      <w:r>
        <w:rPr>
          <w:sz w:val="28"/>
        </w:rPr>
        <w:t>Plateforme Microservices de Gestion de Microfinance</w:t>
      </w:r>
    </w:p>
    <w:p/>
    <w:p/>
    <w:p>
      <w:pPr>
        <w:jc w:val="center"/>
      </w:pPr>
      <w:r>
        <w:rPr>
          <w:sz w:val="24"/>
        </w:rPr>
        <w:t>Date : 15 May 2026</w:t>
      </w:r>
    </w:p>
    <w:p/>
    <w:p>
      <w:pPr>
        <w:jc w:val="center"/>
      </w:pPr>
      <w:r>
        <w:rPr>
          <w:sz w:val="22"/>
        </w:rPr>
        <w:t>Architecture : Microservices Spring Boot | Frontend : React</w:t>
      </w:r>
    </w:p>
    <w:p>
      <w:r>
        <w:br w:type="page"/>
      </w:r>
    </w:p>
    <w:p>
      <w:pPr>
        <w:pStyle w:val="Heading1"/>
        <w:spacing w:before="240" w:after="120"/>
      </w:pPr>
      <w:r>
        <w:rPr>
          <w:color w:val="064E3B"/>
        </w:rPr>
        <w:t>Table des Matieres</w:t>
      </w:r>
    </w:p>
    <w:p>
      <w:pPr>
        <w:spacing w:after="40"/>
      </w:pPr>
      <w:r>
        <w:rPr>
          <w:sz w:val="22"/>
        </w:rPr>
        <w:t>1.  Introduction et Contexte</w:t>
      </w:r>
    </w:p>
    <w:p>
      <w:pPr>
        <w:spacing w:after="40"/>
      </w:pPr>
      <w:r>
        <w:rPr>
          <w:sz w:val="22"/>
        </w:rPr>
        <w:t>2.  Presentation du Projet</w:t>
      </w:r>
    </w:p>
    <w:p>
      <w:pPr>
        <w:spacing w:after="40"/>
      </w:pPr>
      <w:r>
        <w:rPr>
          <w:sz w:val="22"/>
        </w:rPr>
        <w:t>3.  Architecture Globale</w:t>
      </w:r>
    </w:p>
    <w:p>
      <w:pPr>
        <w:spacing w:after="40"/>
      </w:pPr>
      <w:r>
        <w:rPr>
          <w:sz w:val="22"/>
        </w:rPr>
        <w:t>4.  Architecture Technique — Stack</w:t>
      </w:r>
    </w:p>
    <w:p>
      <w:pPr>
        <w:spacing w:after="40"/>
      </w:pPr>
      <w:r>
        <w:rPr>
          <w:sz w:val="22"/>
        </w:rPr>
        <w:t>5.  Diagrammes UML</w:t>
      </w:r>
    </w:p>
    <w:p>
      <w:pPr>
        <w:spacing w:after="40"/>
      </w:pPr>
      <w:r>
        <w:rPr>
          <w:sz w:val="22"/>
        </w:rPr>
        <w:t xml:space="preserve">  5.1.  Cas d'Utilisation</w:t>
      </w:r>
    </w:p>
    <w:p>
      <w:pPr>
        <w:spacing w:after="40"/>
      </w:pPr>
      <w:r>
        <w:rPr>
          <w:sz w:val="22"/>
        </w:rPr>
        <w:t xml:space="preserve">  5.2.  Sequence — Authentification JWT</w:t>
      </w:r>
    </w:p>
    <w:p>
      <w:pPr>
        <w:spacing w:after="40"/>
      </w:pPr>
      <w:r>
        <w:rPr>
          <w:sz w:val="22"/>
        </w:rPr>
        <w:t xml:space="preserve">  5.3.  Sequence — Demande de Pret</w:t>
      </w:r>
    </w:p>
    <w:p>
      <w:pPr>
        <w:spacing w:after="40"/>
      </w:pPr>
      <w:r>
        <w:rPr>
          <w:sz w:val="22"/>
        </w:rPr>
        <w:t xml:space="preserve">  5.4.  Sequence — Transaction (depot)</w:t>
      </w:r>
    </w:p>
    <w:p>
      <w:pPr>
        <w:spacing w:after="40"/>
      </w:pPr>
      <w:r>
        <w:rPr>
          <w:sz w:val="22"/>
        </w:rPr>
        <w:t xml:space="preserve">  5.5.  Classes Globales</w:t>
      </w:r>
    </w:p>
    <w:p>
      <w:pPr>
        <w:spacing w:after="40"/>
      </w:pPr>
      <w:r>
        <w:rPr>
          <w:sz w:val="22"/>
        </w:rPr>
        <w:t xml:space="preserve">  5.6.  Architecture par Couche (service typique)</w:t>
      </w:r>
    </w:p>
    <w:p>
      <w:pPr>
        <w:spacing w:after="40"/>
      </w:pPr>
      <w:r>
        <w:rPr>
          <w:sz w:val="22"/>
        </w:rPr>
        <w:t xml:space="preserve">  5.7.  Etats — Compte Bancaire</w:t>
      </w:r>
    </w:p>
    <w:p>
      <w:pPr>
        <w:spacing w:after="40"/>
      </w:pPr>
      <w:r>
        <w:rPr>
          <w:sz w:val="22"/>
        </w:rPr>
        <w:t xml:space="preserve">  5.8.  Etats — Pret</w:t>
      </w:r>
    </w:p>
    <w:p>
      <w:pPr>
        <w:spacing w:after="40"/>
      </w:pPr>
      <w:r>
        <w:rPr>
          <w:sz w:val="22"/>
        </w:rPr>
        <w:t xml:space="preserve">  5.9.  Etats — Paiement/Remboursement</w:t>
      </w:r>
    </w:p>
    <w:p>
      <w:pPr>
        <w:spacing w:after="40"/>
      </w:pPr>
      <w:r>
        <w:rPr>
          <w:sz w:val="22"/>
        </w:rPr>
        <w:t>6.  Communication Inter-Services (RabbitMQ)</w:t>
      </w:r>
    </w:p>
    <w:p>
      <w:pPr>
        <w:spacing w:after="40"/>
      </w:pPr>
      <w:r>
        <w:rPr>
          <w:sz w:val="22"/>
        </w:rPr>
        <w:t>7.  Modele de Donnees</w:t>
      </w:r>
    </w:p>
    <w:p>
      <w:pPr>
        <w:spacing w:after="40"/>
      </w:pPr>
      <w:r>
        <w:rPr>
          <w:sz w:val="22"/>
        </w:rPr>
        <w:t>8.  Securite et Authentification</w:t>
      </w:r>
    </w:p>
    <w:p>
      <w:pPr>
        <w:spacing w:after="40"/>
      </w:pPr>
      <w:r>
        <w:rPr>
          <w:sz w:val="22"/>
        </w:rPr>
        <w:t>9.  Services Developpes</w:t>
      </w:r>
    </w:p>
    <w:p>
      <w:pPr>
        <w:spacing w:after="40"/>
      </w:pPr>
      <w:r>
        <w:rPr>
          <w:sz w:val="22"/>
        </w:rPr>
        <w:t>10.  Interface Utilisateur</w:t>
      </w:r>
    </w:p>
    <w:p>
      <w:pPr>
        <w:spacing w:after="40"/>
      </w:pPr>
      <w:r>
        <w:rPr>
          <w:sz w:val="22"/>
        </w:rPr>
        <w:t>11.  Deploiement et Infrastructure</w:t>
      </w:r>
    </w:p>
    <w:p>
      <w:pPr>
        <w:spacing w:after="40"/>
      </w:pPr>
      <w:r>
        <w:rPr>
          <w:sz w:val="22"/>
        </w:rPr>
        <w:t>12.  Conclusion et Perspectives</w:t>
      </w:r>
    </w:p>
    <w:p>
      <w:r>
        <w:br w:type="page"/>
      </w:r>
    </w:p>
    <w:p>
      <w:pPr>
        <w:pStyle w:val="Heading1"/>
        <w:spacing w:before="240" w:after="120"/>
      </w:pPr>
      <w:r>
        <w:rPr>
          <w:color w:val="064E3B"/>
        </w:rPr>
        <w:t>1. Introduction et Contexte</w:t>
      </w:r>
    </w:p>
    <w:p>
      <w:pPr>
        <w:spacing w:after="120"/>
      </w:pPr>
      <w:r>
        <w:rPr>
          <w:b w:val="0"/>
          <w:sz w:val="22"/>
        </w:rPr>
        <w:t>Le secteur de la microfinance joue un role crucial dans l'inclusion financiere, notamment dans les economies emergentes. Les institutions de microfinance (IMF) gerent quotidiennement une grande diversite d'operations : gestion des clients, des comptes bancaires, des prets, des remboursements et des paiements mobiles. Ce volume d'operations necessite un systeme d'information robuste, scalable et securise.</w:t>
      </w:r>
    </w:p>
    <w:p>
      <w:pPr>
        <w:spacing w:after="120"/>
      </w:pPr>
      <w:r>
        <w:rPr>
          <w:b w:val="0"/>
          <w:sz w:val="22"/>
        </w:rPr>
        <w:t>C'est dans ce contexte que s'inscrit MicrofinanceHub : une plateforme complete de gestion de microfinance construite sur une architecture microservices moderne. Le projet repond aux exigences de performance, de maintenabilite et d'evolutivite des systemes d'information contemporains.</w:t>
      </w:r>
    </w:p>
    <w:p>
      <w:pPr>
        <w:pStyle w:val="Heading2"/>
        <w:spacing w:before="240" w:after="120"/>
      </w:pPr>
      <w:r>
        <w:rPr>
          <w:color w:val="064E3B"/>
        </w:rPr>
        <w:t>Objectifs du Projet</w:t>
      </w:r>
    </w:p>
    <w:p>
      <w:pPr>
        <w:pStyle w:val="ListBullet"/>
        <w:spacing w:after="60"/>
      </w:pPr>
      <w:r>
        <w:rPr>
          <w:sz w:val="21"/>
        </w:rPr>
        <w:t>Digitaliser l'ensemble du cycle de vie d'une institution de microfinance</w:t>
      </w:r>
    </w:p>
    <w:p>
      <w:pPr>
        <w:pStyle w:val="ListBullet"/>
        <w:spacing w:after="60"/>
      </w:pPr>
      <w:r>
        <w:rPr>
          <w:sz w:val="21"/>
        </w:rPr>
        <w:t>Garantir la separation des responsabilites via une architecture microservices</w:t>
      </w:r>
    </w:p>
    <w:p>
      <w:pPr>
        <w:pStyle w:val="ListBullet"/>
        <w:spacing w:after="60"/>
      </w:pPr>
      <w:r>
        <w:rPr>
          <w:sz w:val="21"/>
        </w:rPr>
        <w:t>Assurer une securite robuste basee sur JWT et RBAC (4 roles : Admin, Directeur, Agent, Client)</w:t>
      </w:r>
    </w:p>
    <w:p>
      <w:pPr>
        <w:pStyle w:val="ListBullet"/>
        <w:spacing w:after="60"/>
      </w:pPr>
      <w:r>
        <w:rPr>
          <w:sz w:val="21"/>
        </w:rPr>
        <w:t>Integrer les paiements mobiles (Mobile Money via CamPay)</w:t>
      </w:r>
    </w:p>
    <w:p>
      <w:pPr>
        <w:pStyle w:val="ListBullet"/>
        <w:spacing w:after="60"/>
      </w:pPr>
      <w:r>
        <w:rPr>
          <w:sz w:val="21"/>
        </w:rPr>
        <w:t>Offrir des tableaux de bord adaptes a chaque role utilisateur</w:t>
      </w:r>
    </w:p>
    <w:p>
      <w:pPr>
        <w:pStyle w:val="ListBullet"/>
        <w:spacing w:after="60"/>
      </w:pPr>
      <w:r>
        <w:rPr>
          <w:sz w:val="21"/>
        </w:rPr>
        <w:t>Deployer l'ensemble via Docker Compose pour une portabilite maximale</w:t>
      </w:r>
    </w:p>
    <w:p>
      <w:r>
        <w:br w:type="page"/>
      </w:r>
    </w:p>
    <w:p>
      <w:pPr>
        <w:pStyle w:val="Heading1"/>
        <w:spacing w:before="240" w:after="120"/>
      </w:pPr>
      <w:r>
        <w:rPr>
          <w:color w:val="064E3B"/>
        </w:rPr>
        <w:t>2. Presentation du Projet</w:t>
      </w:r>
    </w:p>
    <w:p>
      <w:pPr>
        <w:spacing w:after="120"/>
      </w:pPr>
      <w:r>
        <w:rPr>
          <w:b w:val="0"/>
          <w:sz w:val="22"/>
        </w:rPr>
        <w:t>MicrofinanceHub est une application web full-stack composee de 12 microservices backend et d'un frontend React. Elle couvre l'ensemble du perimetre fonctionnel d'une IMF moderne : de la creation du profil client jusqu'au reporting financier avance.</w:t>
      </w:r>
    </w:p>
    <w:p>
      <w:pPr>
        <w:pStyle w:val="Heading2"/>
        <w:spacing w:before="240" w:after="120"/>
      </w:pPr>
      <w:r>
        <w:rPr>
          <w:color w:val="064E3B"/>
        </w:rPr>
        <w:t>2.1 Roles Utilisateurs</w:t>
      </w:r>
    </w:p>
    <w:tbl>
      <w:tblPr>
        <w:tblStyle w:val="LightShading-Accent6"/>
        <w:tblW w:type="auto" w:w="0"/>
        <w:jc w:val="center"/>
        <w:tblLook w:firstColumn="1" w:firstRow="1" w:lastColumn="0" w:lastRow="0" w:noHBand="0" w:noVBand="1" w:val="04A0"/>
      </w:tblPr>
      <w:tblGrid>
        <w:gridCol w:w="3022"/>
        <w:gridCol w:w="3022"/>
        <w:gridCol w:w="3022"/>
      </w:tblGrid>
      <w:tr>
        <w:tc>
          <w:tcPr>
            <w:tcW w:type="dxa" w:w="3022"/>
          </w:tcPr>
          <w:p>
            <w:r>
              <w:rPr>
                <w:b/>
                <w:sz w:val="19"/>
              </w:rPr>
              <w:t>Role</w:t>
            </w:r>
          </w:p>
        </w:tc>
        <w:tc>
          <w:tcPr>
            <w:tcW w:type="dxa" w:w="3022"/>
          </w:tcPr>
          <w:p>
            <w:r>
              <w:rPr>
                <w:b/>
                <w:sz w:val="19"/>
              </w:rPr>
              <w:t>Responsabilites</w:t>
            </w:r>
          </w:p>
        </w:tc>
        <w:tc>
          <w:tcPr>
            <w:tcW w:type="dxa" w:w="3022"/>
          </w:tcPr>
          <w:p>
            <w:r>
              <w:rPr>
                <w:b/>
                <w:sz w:val="19"/>
              </w:rPr>
              <w:t>Acces</w:t>
            </w:r>
          </w:p>
        </w:tc>
      </w:tr>
      <w:tr>
        <w:tc>
          <w:tcPr>
            <w:tcW w:type="dxa" w:w="3022"/>
          </w:tcPr>
          <w:p>
            <w:r>
              <w:rPr>
                <w:sz w:val="18"/>
              </w:rPr>
              <w:t>Administrateur</w:t>
            </w:r>
          </w:p>
        </w:tc>
        <w:tc>
          <w:tcPr>
            <w:tcW w:type="dxa" w:w="3022"/>
          </w:tcPr>
          <w:p>
            <w:r>
              <w:rPr>
                <w:sz w:val="18"/>
              </w:rPr>
              <w:t>Gestion globale : utilisateurs, agences, validations</w:t>
            </w:r>
          </w:p>
        </w:tc>
        <w:tc>
          <w:tcPr>
            <w:tcW w:type="dxa" w:w="3022"/>
          </w:tcPr>
          <w:p>
            <w:r>
              <w:rPr>
                <w:sz w:val="18"/>
              </w:rPr>
              <w:t>Toutes sections, toutes agences</w:t>
            </w:r>
          </w:p>
        </w:tc>
      </w:tr>
      <w:tr>
        <w:tc>
          <w:tcPr>
            <w:tcW w:type="dxa" w:w="3022"/>
          </w:tcPr>
          <w:p>
            <w:r>
              <w:rPr>
                <w:sz w:val="18"/>
              </w:rPr>
              <w:t>Directeur d'Agence</w:t>
            </w:r>
          </w:p>
        </w:tc>
        <w:tc>
          <w:tcPr>
            <w:tcW w:type="dxa" w:w="3022"/>
          </w:tcPr>
          <w:p>
            <w:r>
              <w:rPr>
                <w:sz w:val="18"/>
              </w:rPr>
              <w:t>Supervision agence : clients, agents, validations, prets</w:t>
            </w:r>
          </w:p>
        </w:tc>
        <w:tc>
          <w:tcPr>
            <w:tcW w:type="dxa" w:w="3022"/>
          </w:tcPr>
          <w:p>
            <w:r>
              <w:rPr>
                <w:sz w:val="18"/>
              </w:rPr>
              <w:t>Donnees de son agence uniquement</w:t>
            </w:r>
          </w:p>
        </w:tc>
      </w:tr>
      <w:tr>
        <w:tc>
          <w:tcPr>
            <w:tcW w:type="dxa" w:w="3022"/>
          </w:tcPr>
          <w:p>
            <w:r>
              <w:rPr>
                <w:sz w:val="18"/>
              </w:rPr>
              <w:t>Agent de Terrain</w:t>
            </w:r>
          </w:p>
        </w:tc>
        <w:tc>
          <w:tcPr>
            <w:tcW w:type="dxa" w:w="3022"/>
          </w:tcPr>
          <w:p>
            <w:r>
              <w:rPr>
                <w:sz w:val="18"/>
              </w:rPr>
              <w:t>Operations quotidiennes : clients, comptes, guichet</w:t>
            </w:r>
          </w:p>
        </w:tc>
        <w:tc>
          <w:tcPr>
            <w:tcW w:type="dxa" w:w="3022"/>
          </w:tcPr>
          <w:p>
            <w:r>
              <w:rPr>
                <w:sz w:val="18"/>
              </w:rPr>
              <w:t>Ses clients assignes</w:t>
            </w:r>
          </w:p>
        </w:tc>
      </w:tr>
      <w:tr>
        <w:tc>
          <w:tcPr>
            <w:tcW w:type="dxa" w:w="3022"/>
          </w:tcPr>
          <w:p>
            <w:r>
              <w:rPr>
                <w:sz w:val="18"/>
              </w:rPr>
              <w:t>Client</w:t>
            </w:r>
          </w:p>
        </w:tc>
        <w:tc>
          <w:tcPr>
            <w:tcW w:type="dxa" w:w="3022"/>
          </w:tcPr>
          <w:p>
            <w:r>
              <w:rPr>
                <w:sz w:val="18"/>
              </w:rPr>
              <w:t>Consultation, paiements, suivi des prets</w:t>
            </w:r>
          </w:p>
        </w:tc>
        <w:tc>
          <w:tcPr>
            <w:tcW w:type="dxa" w:w="3022"/>
          </w:tcPr>
          <w:p>
            <w:r>
              <w:rPr>
                <w:sz w:val="18"/>
              </w:rPr>
              <w:t>Son profil uniquement</w:t>
            </w:r>
          </w:p>
        </w:tc>
      </w:tr>
    </w:tbl>
    <w:p/>
    <w:p>
      <w:pPr>
        <w:pStyle w:val="Heading2"/>
        <w:spacing w:before="240" w:after="120"/>
      </w:pPr>
      <w:r>
        <w:rPr>
          <w:color w:val="064E3B"/>
        </w:rPr>
        <w:t>2.2 Fonctionnalites Cles</w:t>
      </w:r>
    </w:p>
    <w:p>
      <w:pPr>
        <w:pStyle w:val="ListBullet"/>
        <w:spacing w:after="60"/>
      </w:pPr>
      <w:r>
        <w:rPr>
          <w:sz w:val="21"/>
        </w:rPr>
        <w:t>Gestion complete des clients (KYC, documents, score credit)</w:t>
      </w:r>
    </w:p>
    <w:p>
      <w:pPr>
        <w:pStyle w:val="ListBullet"/>
        <w:spacing w:after="60"/>
      </w:pPr>
      <w:r>
        <w:rPr>
          <w:sz w:val="21"/>
        </w:rPr>
        <w:t>Ouverture et gestion de comptes bancaires (Courant, Epargne, Micro-epargne)</w:t>
      </w:r>
    </w:p>
    <w:p>
      <w:pPr>
        <w:pStyle w:val="ListBullet"/>
        <w:spacing w:after="60"/>
      </w:pPr>
      <w:r>
        <w:rPr>
          <w:sz w:val="21"/>
        </w:rPr>
        <w:t>Cycle de pret complet : demande -&gt; eligibilite -&gt; approbation -&gt; decaissement -&gt; remboursement</w:t>
      </w:r>
    </w:p>
    <w:p>
      <w:pPr>
        <w:pStyle w:val="ListBullet"/>
        <w:spacing w:after="60"/>
      </w:pPr>
      <w:r>
        <w:rPr>
          <w:sz w:val="21"/>
        </w:rPr>
        <w:t>Calcul automatique du plan d'amortissement</w:t>
      </w:r>
    </w:p>
    <w:p>
      <w:pPr>
        <w:pStyle w:val="ListBullet"/>
        <w:spacing w:after="60"/>
      </w:pPr>
      <w:r>
        <w:rPr>
          <w:sz w:val="21"/>
        </w:rPr>
        <w:t>Paiements Multi-canal : Especes, Mobile Money (CamPay), Virement, Cheque</w:t>
      </w:r>
    </w:p>
    <w:p>
      <w:pPr>
        <w:pStyle w:val="ListBullet"/>
        <w:spacing w:after="60"/>
      </w:pPr>
      <w:r>
        <w:rPr>
          <w:sz w:val="21"/>
        </w:rPr>
        <w:t>Notifications temps reel : Email (Thymeleaf) + SMS (Twilio)</w:t>
      </w:r>
    </w:p>
    <w:p>
      <w:pPr>
        <w:pStyle w:val="ListBullet"/>
        <w:spacing w:after="60"/>
      </w:pPr>
      <w:r>
        <w:rPr>
          <w:sz w:val="21"/>
        </w:rPr>
        <w:t>Transactions financieres : Depot, Retrait, Virement inter-comptes</w:t>
      </w:r>
    </w:p>
    <w:p>
      <w:pPr>
        <w:pStyle w:val="ListBullet"/>
        <w:spacing w:after="60"/>
      </w:pPr>
      <w:r>
        <w:rPr>
          <w:sz w:val="21"/>
        </w:rPr>
        <w:t>Rapports et tableaux de bord par agence et globaux</w:t>
      </w:r>
    </w:p>
    <w:p>
      <w:pPr>
        <w:pStyle w:val="ListBullet"/>
        <w:spacing w:after="60"/>
      </w:pPr>
      <w:r>
        <w:rPr>
          <w:sz w:val="21"/>
        </w:rPr>
        <w:t>Gestion multi-agences avec hierarchie Directeur/Agent</w:t>
      </w:r>
    </w:p>
    <w:p>
      <w:pPr>
        <w:pStyle w:val="ListBullet"/>
        <w:spacing w:after="60"/>
      </w:pPr>
      <w:r>
        <w:rPr>
          <w:sz w:val="21"/>
        </w:rPr>
        <w:t>Stockage documents KYC sur Google Drive</w:t>
      </w:r>
    </w:p>
    <w:p>
      <w:r>
        <w:br w:type="page"/>
      </w:r>
    </w:p>
    <w:p>
      <w:pPr>
        <w:pStyle w:val="Heading1"/>
        <w:spacing w:before="240" w:after="120"/>
      </w:pPr>
      <w:r>
        <w:rPr>
          <w:color w:val="064E3B"/>
        </w:rPr>
        <w:t>3. Architecture Globale</w:t>
      </w:r>
    </w:p>
    <w:p>
      <w:pPr>
        <w:spacing w:after="120"/>
      </w:pPr>
      <w:r>
        <w:rPr>
          <w:b w:val="0"/>
          <w:sz w:val="22"/>
        </w:rPr>
        <w:t>Le systeme adopte une architecture microservices ou chaque service est independant, deployable separement et responsable d'un domaine metier precis. Les services communiquent via REST (synchrone) et RabbitMQ (asynchrone).</w:t>
      </w:r>
    </w:p>
    <w:p>
      <w:r>
        <w:drawing>
          <wp:inline xmlns:a="http://schemas.openxmlformats.org/drawingml/2006/main" xmlns:pic="http://schemas.openxmlformats.org/drawingml/2006/picture">
            <wp:extent cx="5943600" cy="387434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874347"/>
                    </a:xfrm>
                    <a:prstGeom prst="rect"/>
                  </pic:spPr>
                </pic:pic>
              </a:graphicData>
            </a:graphic>
          </wp:inline>
        </w:drawing>
      </w:r>
    </w:p>
    <w:p>
      <w:pPr>
        <w:jc w:val="center"/>
      </w:pPr>
      <w:r>
        <w:rPr>
          <w:i/>
          <w:color w:val="444444"/>
          <w:sz w:val="18"/>
        </w:rPr>
        <w:t>Figure 1 — Architecture Globale MicrofinanceHub</w:t>
      </w:r>
    </w:p>
    <w:p/>
    <w:p>
      <w:pPr>
        <w:pStyle w:val="Heading2"/>
        <w:spacing w:before="240" w:after="120"/>
      </w:pPr>
      <w:r>
        <w:rPr>
          <w:color w:val="064E3B"/>
        </w:rPr>
        <w:t>3.1 Inventaire des Services</w:t>
      </w:r>
    </w:p>
    <w:tbl>
      <w:tblPr>
        <w:tblStyle w:val="LightShading-Accent6"/>
        <w:tblW w:type="auto" w:w="0"/>
        <w:jc w:val="center"/>
        <w:tblLook w:firstColumn="1" w:firstRow="1" w:lastColumn="0" w:lastRow="0" w:noHBand="0" w:noVBand="1" w:val="04A0"/>
      </w:tblPr>
      <w:tblGrid>
        <w:gridCol w:w="2266"/>
        <w:gridCol w:w="2266"/>
        <w:gridCol w:w="2266"/>
        <w:gridCol w:w="2266"/>
      </w:tblGrid>
      <w:tr>
        <w:tc>
          <w:tcPr>
            <w:tcW w:type="dxa" w:w="2266"/>
          </w:tcPr>
          <w:p>
            <w:r>
              <w:rPr>
                <w:b/>
                <w:sz w:val="19"/>
              </w:rPr>
              <w:t>Service</w:t>
            </w:r>
          </w:p>
        </w:tc>
        <w:tc>
          <w:tcPr>
            <w:tcW w:type="dxa" w:w="2266"/>
          </w:tcPr>
          <w:p>
            <w:r>
              <w:rPr>
                <w:b/>
                <w:sz w:val="19"/>
              </w:rPr>
              <w:t>Port</w:t>
            </w:r>
          </w:p>
        </w:tc>
        <w:tc>
          <w:tcPr>
            <w:tcW w:type="dxa" w:w="2266"/>
          </w:tcPr>
          <w:p>
            <w:r>
              <w:rPr>
                <w:b/>
                <w:sz w:val="19"/>
              </w:rPr>
              <w:t>Role</w:t>
            </w:r>
          </w:p>
        </w:tc>
        <w:tc>
          <w:tcPr>
            <w:tcW w:type="dxa" w:w="2266"/>
          </w:tcPr>
          <w:p>
            <w:r>
              <w:rPr>
                <w:b/>
                <w:sz w:val="19"/>
              </w:rPr>
              <w:t>Base de donnees</w:t>
            </w:r>
          </w:p>
        </w:tc>
      </w:tr>
      <w:tr>
        <w:tc>
          <w:tcPr>
            <w:tcW w:type="dxa" w:w="2266"/>
          </w:tcPr>
          <w:p>
            <w:r>
              <w:rPr>
                <w:sz w:val="18"/>
              </w:rPr>
              <w:t>config-service</w:t>
            </w:r>
          </w:p>
        </w:tc>
        <w:tc>
          <w:tcPr>
            <w:tcW w:type="dxa" w:w="2266"/>
          </w:tcPr>
          <w:p>
            <w:r>
              <w:rPr>
                <w:sz w:val="18"/>
              </w:rPr>
              <w:t>8000</w:t>
            </w:r>
          </w:p>
        </w:tc>
        <w:tc>
          <w:tcPr>
            <w:tcW w:type="dxa" w:w="2266"/>
          </w:tcPr>
          <w:p>
            <w:r>
              <w:rPr>
                <w:sz w:val="18"/>
              </w:rPr>
              <w:t>Serveur de configuration centralise (Spring Cloud Config)</w:t>
            </w:r>
          </w:p>
        </w:tc>
        <w:tc>
          <w:tcPr>
            <w:tcW w:type="dxa" w:w="2266"/>
          </w:tcPr>
          <w:p>
            <w:r>
              <w:rPr>
                <w:sz w:val="18"/>
              </w:rPr>
              <w:t>—</w:t>
            </w:r>
          </w:p>
        </w:tc>
      </w:tr>
      <w:tr>
        <w:tc>
          <w:tcPr>
            <w:tcW w:type="dxa" w:w="2266"/>
          </w:tcPr>
          <w:p>
            <w:r>
              <w:rPr>
                <w:sz w:val="18"/>
              </w:rPr>
              <w:t>registry-service</w:t>
            </w:r>
          </w:p>
        </w:tc>
        <w:tc>
          <w:tcPr>
            <w:tcW w:type="dxa" w:w="2266"/>
          </w:tcPr>
          <w:p>
            <w:r>
              <w:rPr>
                <w:sz w:val="18"/>
              </w:rPr>
              <w:t>8761</w:t>
            </w:r>
          </w:p>
        </w:tc>
        <w:tc>
          <w:tcPr>
            <w:tcW w:type="dxa" w:w="2266"/>
          </w:tcPr>
          <w:p>
            <w:r>
              <w:rPr>
                <w:sz w:val="18"/>
              </w:rPr>
              <w:t>Service Discovery (Eureka)</w:t>
            </w:r>
          </w:p>
        </w:tc>
        <w:tc>
          <w:tcPr>
            <w:tcW w:type="dxa" w:w="2266"/>
          </w:tcPr>
          <w:p>
            <w:r>
              <w:rPr>
                <w:sz w:val="18"/>
              </w:rPr>
              <w:t>—</w:t>
            </w:r>
          </w:p>
        </w:tc>
      </w:tr>
      <w:tr>
        <w:tc>
          <w:tcPr>
            <w:tcW w:type="dxa" w:w="2266"/>
          </w:tcPr>
          <w:p>
            <w:r>
              <w:rPr>
                <w:sz w:val="18"/>
              </w:rPr>
              <w:t>api-gateway</w:t>
            </w:r>
          </w:p>
        </w:tc>
        <w:tc>
          <w:tcPr>
            <w:tcW w:type="dxa" w:w="2266"/>
          </w:tcPr>
          <w:p>
            <w:r>
              <w:rPr>
                <w:sz w:val="18"/>
              </w:rPr>
              <w:t>8091</w:t>
            </w:r>
          </w:p>
        </w:tc>
        <w:tc>
          <w:tcPr>
            <w:tcW w:type="dxa" w:w="2266"/>
          </w:tcPr>
          <w:p>
            <w:r>
              <w:rPr>
                <w:sz w:val="18"/>
              </w:rPr>
              <w:t>Point d'entree unique, routage, CORS</w:t>
            </w:r>
          </w:p>
        </w:tc>
        <w:tc>
          <w:tcPr>
            <w:tcW w:type="dxa" w:w="2266"/>
          </w:tcPr>
          <w:p>
            <w:r>
              <w:rPr>
                <w:sz w:val="18"/>
              </w:rPr>
              <w:t>—</w:t>
            </w:r>
          </w:p>
        </w:tc>
      </w:tr>
      <w:tr>
        <w:tc>
          <w:tcPr>
            <w:tcW w:type="dxa" w:w="2266"/>
          </w:tcPr>
          <w:p>
            <w:r>
              <w:rPr>
                <w:sz w:val="18"/>
              </w:rPr>
              <w:t>auth-service</w:t>
            </w:r>
          </w:p>
        </w:tc>
        <w:tc>
          <w:tcPr>
            <w:tcW w:type="dxa" w:w="2266"/>
          </w:tcPr>
          <w:p>
            <w:r>
              <w:rPr>
                <w:sz w:val="18"/>
              </w:rPr>
              <w:t>8080</w:t>
            </w:r>
          </w:p>
        </w:tc>
        <w:tc>
          <w:tcPr>
            <w:tcW w:type="dxa" w:w="2266"/>
          </w:tcPr>
          <w:p>
            <w:r>
              <w:rPr>
                <w:sz w:val="18"/>
              </w:rPr>
              <w:t>Authentification, JWT, sessions Redis</w:t>
            </w:r>
          </w:p>
        </w:tc>
        <w:tc>
          <w:tcPr>
            <w:tcW w:type="dxa" w:w="2266"/>
          </w:tcPr>
          <w:p>
            <w:r>
              <w:rPr>
                <w:sz w:val="18"/>
              </w:rPr>
              <w:t>microfinancehub_auth</w:t>
            </w:r>
          </w:p>
        </w:tc>
      </w:tr>
      <w:tr>
        <w:tc>
          <w:tcPr>
            <w:tcW w:type="dxa" w:w="2266"/>
          </w:tcPr>
          <w:p>
            <w:r>
              <w:rPr>
                <w:sz w:val="18"/>
              </w:rPr>
              <w:t>client-service</w:t>
            </w:r>
          </w:p>
        </w:tc>
        <w:tc>
          <w:tcPr>
            <w:tcW w:type="dxa" w:w="2266"/>
          </w:tcPr>
          <w:p>
            <w:r>
              <w:rPr>
                <w:sz w:val="18"/>
              </w:rPr>
              <w:t>8081</w:t>
            </w:r>
          </w:p>
        </w:tc>
        <w:tc>
          <w:tcPr>
            <w:tcW w:type="dxa" w:w="2266"/>
          </w:tcPr>
          <w:p>
            <w:r>
              <w:rPr>
                <w:sz w:val="18"/>
              </w:rPr>
              <w:t>Profils clients, documents KYC, score credit</w:t>
            </w:r>
          </w:p>
        </w:tc>
        <w:tc>
          <w:tcPr>
            <w:tcW w:type="dxa" w:w="2266"/>
          </w:tcPr>
          <w:p>
            <w:r>
              <w:rPr>
                <w:sz w:val="18"/>
              </w:rPr>
              <w:t>microfinancehub_client</w:t>
            </w:r>
          </w:p>
        </w:tc>
      </w:tr>
      <w:tr>
        <w:tc>
          <w:tcPr>
            <w:tcW w:type="dxa" w:w="2266"/>
          </w:tcPr>
          <w:p>
            <w:r>
              <w:rPr>
                <w:sz w:val="18"/>
              </w:rPr>
              <w:t>account-service</w:t>
            </w:r>
          </w:p>
        </w:tc>
        <w:tc>
          <w:tcPr>
            <w:tcW w:type="dxa" w:w="2266"/>
          </w:tcPr>
          <w:p>
            <w:r>
              <w:rPr>
                <w:sz w:val="18"/>
              </w:rPr>
              <w:t>8082</w:t>
            </w:r>
          </w:p>
        </w:tc>
        <w:tc>
          <w:tcPr>
            <w:tcW w:type="dxa" w:w="2266"/>
          </w:tcPr>
          <w:p>
            <w:r>
              <w:rPr>
                <w:sz w:val="18"/>
              </w:rPr>
              <w:t>Comptes bancaires, operations</w:t>
            </w:r>
          </w:p>
        </w:tc>
        <w:tc>
          <w:tcPr>
            <w:tcW w:type="dxa" w:w="2266"/>
          </w:tcPr>
          <w:p>
            <w:r>
              <w:rPr>
                <w:sz w:val="18"/>
              </w:rPr>
              <w:t>microfinancehub_account</w:t>
            </w:r>
          </w:p>
        </w:tc>
      </w:tr>
      <w:tr>
        <w:tc>
          <w:tcPr>
            <w:tcW w:type="dxa" w:w="2266"/>
          </w:tcPr>
          <w:p>
            <w:r>
              <w:rPr>
                <w:sz w:val="18"/>
              </w:rPr>
              <w:t>loan-service</w:t>
            </w:r>
          </w:p>
        </w:tc>
        <w:tc>
          <w:tcPr>
            <w:tcW w:type="dxa" w:w="2266"/>
          </w:tcPr>
          <w:p>
            <w:r>
              <w:rPr>
                <w:sz w:val="18"/>
              </w:rPr>
              <w:t>8083</w:t>
            </w:r>
          </w:p>
        </w:tc>
        <w:tc>
          <w:tcPr>
            <w:tcW w:type="dxa" w:w="2266"/>
          </w:tcPr>
          <w:p>
            <w:r>
              <w:rPr>
                <w:sz w:val="18"/>
              </w:rPr>
              <w:t>Prets, amortissement, eligibilite</w:t>
            </w:r>
          </w:p>
        </w:tc>
        <w:tc>
          <w:tcPr>
            <w:tcW w:type="dxa" w:w="2266"/>
          </w:tcPr>
          <w:p>
            <w:r>
              <w:rPr>
                <w:sz w:val="18"/>
              </w:rPr>
              <w:t>microfinancehub_loan</w:t>
            </w:r>
          </w:p>
        </w:tc>
      </w:tr>
      <w:tr>
        <w:tc>
          <w:tcPr>
            <w:tcW w:type="dxa" w:w="2266"/>
          </w:tcPr>
          <w:p>
            <w:r>
              <w:rPr>
                <w:sz w:val="18"/>
              </w:rPr>
              <w:t>repayment-service</w:t>
            </w:r>
          </w:p>
        </w:tc>
        <w:tc>
          <w:tcPr>
            <w:tcW w:type="dxa" w:w="2266"/>
          </w:tcPr>
          <w:p>
            <w:r>
              <w:rPr>
                <w:sz w:val="18"/>
              </w:rPr>
              <w:t>8084</w:t>
            </w:r>
          </w:p>
        </w:tc>
        <w:tc>
          <w:tcPr>
            <w:tcW w:type="dxa" w:w="2266"/>
          </w:tcPr>
          <w:p>
            <w:r>
              <w:rPr>
                <w:sz w:val="18"/>
              </w:rPr>
              <w:t>Remboursements, validation paiements</w:t>
            </w:r>
          </w:p>
        </w:tc>
        <w:tc>
          <w:tcPr>
            <w:tcW w:type="dxa" w:w="2266"/>
          </w:tcPr>
          <w:p>
            <w:r>
              <w:rPr>
                <w:sz w:val="18"/>
              </w:rPr>
              <w:t>microfinancehub_repayment</w:t>
            </w:r>
          </w:p>
        </w:tc>
      </w:tr>
      <w:tr>
        <w:tc>
          <w:tcPr>
            <w:tcW w:type="dxa" w:w="2266"/>
          </w:tcPr>
          <w:p>
            <w:r>
              <w:rPr>
                <w:sz w:val="18"/>
              </w:rPr>
              <w:t>reporting-service</w:t>
            </w:r>
          </w:p>
        </w:tc>
        <w:tc>
          <w:tcPr>
            <w:tcW w:type="dxa" w:w="2266"/>
          </w:tcPr>
          <w:p>
            <w:r>
              <w:rPr>
                <w:sz w:val="18"/>
              </w:rPr>
              <w:t>8085</w:t>
            </w:r>
          </w:p>
        </w:tc>
        <w:tc>
          <w:tcPr>
            <w:tcW w:type="dxa" w:w="2266"/>
          </w:tcPr>
          <w:p>
            <w:r>
              <w:rPr>
                <w:sz w:val="18"/>
              </w:rPr>
              <w:t>Rapports Excel/PDF, statistiques</w:t>
            </w:r>
          </w:p>
        </w:tc>
        <w:tc>
          <w:tcPr>
            <w:tcW w:type="dxa" w:w="2266"/>
          </w:tcPr>
          <w:p>
            <w:r>
              <w:rPr>
                <w:sz w:val="18"/>
              </w:rPr>
              <w:t>microfinancehub_reporting</w:t>
            </w:r>
          </w:p>
        </w:tc>
      </w:tr>
      <w:tr>
        <w:tc>
          <w:tcPr>
            <w:tcW w:type="dxa" w:w="2266"/>
          </w:tcPr>
          <w:p>
            <w:r>
              <w:rPr>
                <w:sz w:val="18"/>
              </w:rPr>
              <w:t>agency-service</w:t>
            </w:r>
          </w:p>
        </w:tc>
        <w:tc>
          <w:tcPr>
            <w:tcW w:type="dxa" w:w="2266"/>
          </w:tcPr>
          <w:p>
            <w:r>
              <w:rPr>
                <w:sz w:val="18"/>
              </w:rPr>
              <w:t>8086</w:t>
            </w:r>
          </w:p>
        </w:tc>
        <w:tc>
          <w:tcPr>
            <w:tcW w:type="dxa" w:w="2266"/>
          </w:tcPr>
          <w:p>
            <w:r>
              <w:rPr>
                <w:sz w:val="18"/>
              </w:rPr>
              <w:t>Agences, agents, directeurs</w:t>
            </w:r>
          </w:p>
        </w:tc>
        <w:tc>
          <w:tcPr>
            <w:tcW w:type="dxa" w:w="2266"/>
          </w:tcPr>
          <w:p>
            <w:r>
              <w:rPr>
                <w:sz w:val="18"/>
              </w:rPr>
              <w:t>microfinancehub_agency</w:t>
            </w:r>
          </w:p>
        </w:tc>
      </w:tr>
      <w:tr>
        <w:tc>
          <w:tcPr>
            <w:tcW w:type="dxa" w:w="2266"/>
          </w:tcPr>
          <w:p>
            <w:r>
              <w:rPr>
                <w:sz w:val="18"/>
              </w:rPr>
              <w:t>configuration-service</w:t>
            </w:r>
          </w:p>
        </w:tc>
        <w:tc>
          <w:tcPr>
            <w:tcW w:type="dxa" w:w="2266"/>
          </w:tcPr>
          <w:p>
            <w:r>
              <w:rPr>
                <w:sz w:val="18"/>
              </w:rPr>
              <w:t>8087</w:t>
            </w:r>
          </w:p>
        </w:tc>
        <w:tc>
          <w:tcPr>
            <w:tcW w:type="dxa" w:w="2266"/>
          </w:tcPr>
          <w:p>
            <w:r>
              <w:rPr>
                <w:sz w:val="18"/>
              </w:rPr>
              <w:t>Parametrage metier MFI</w:t>
            </w:r>
          </w:p>
        </w:tc>
        <w:tc>
          <w:tcPr>
            <w:tcW w:type="dxa" w:w="2266"/>
          </w:tcPr>
          <w:p>
            <w:r>
              <w:rPr>
                <w:sz w:val="18"/>
              </w:rPr>
              <w:t>microfinancehub_configuration</w:t>
            </w:r>
          </w:p>
        </w:tc>
      </w:tr>
      <w:tr>
        <w:tc>
          <w:tcPr>
            <w:tcW w:type="dxa" w:w="2266"/>
          </w:tcPr>
          <w:p>
            <w:r>
              <w:rPr>
                <w:sz w:val="18"/>
              </w:rPr>
              <w:t>transaction-service</w:t>
            </w:r>
          </w:p>
        </w:tc>
        <w:tc>
          <w:tcPr>
            <w:tcW w:type="dxa" w:w="2266"/>
          </w:tcPr>
          <w:p>
            <w:r>
              <w:rPr>
                <w:sz w:val="18"/>
              </w:rPr>
              <w:t>8088</w:t>
            </w:r>
          </w:p>
        </w:tc>
        <w:tc>
          <w:tcPr>
            <w:tcW w:type="dxa" w:w="2266"/>
          </w:tcPr>
          <w:p>
            <w:r>
              <w:rPr>
                <w:sz w:val="18"/>
              </w:rPr>
              <w:t>Depots, retraits, virements, CamPay</w:t>
            </w:r>
          </w:p>
        </w:tc>
        <w:tc>
          <w:tcPr>
            <w:tcW w:type="dxa" w:w="2266"/>
          </w:tcPr>
          <w:p>
            <w:r>
              <w:rPr>
                <w:sz w:val="18"/>
              </w:rPr>
              <w:t>microfinancehub_transaction</w:t>
            </w:r>
          </w:p>
        </w:tc>
      </w:tr>
      <w:tr>
        <w:tc>
          <w:tcPr>
            <w:tcW w:type="dxa" w:w="2266"/>
          </w:tcPr>
          <w:p>
            <w:r>
              <w:rPr>
                <w:sz w:val="18"/>
              </w:rPr>
              <w:t>notification-service</w:t>
            </w:r>
          </w:p>
        </w:tc>
        <w:tc>
          <w:tcPr>
            <w:tcW w:type="dxa" w:w="2266"/>
          </w:tcPr>
          <w:p>
            <w:r>
              <w:rPr>
                <w:sz w:val="18"/>
              </w:rPr>
              <w:t>8089</w:t>
            </w:r>
          </w:p>
        </w:tc>
        <w:tc>
          <w:tcPr>
            <w:tcW w:type="dxa" w:w="2266"/>
          </w:tcPr>
          <w:p>
            <w:r>
              <w:rPr>
                <w:sz w:val="18"/>
              </w:rPr>
              <w:t>Emails Thymeleaf, SMS Twilio, WebSocket</w:t>
            </w:r>
          </w:p>
        </w:tc>
        <w:tc>
          <w:tcPr>
            <w:tcW w:type="dxa" w:w="2266"/>
          </w:tcPr>
          <w:p>
            <w:r>
              <w:rPr>
                <w:sz w:val="18"/>
              </w:rPr>
              <w:t>microfinancehub_notification</w:t>
            </w:r>
          </w:p>
        </w:tc>
      </w:tr>
      <w:tr>
        <w:tc>
          <w:tcPr>
            <w:tcW w:type="dxa" w:w="2266"/>
          </w:tcPr>
          <w:p>
            <w:r>
              <w:rPr>
                <w:sz w:val="18"/>
              </w:rPr>
              <w:t>app-frontend</w:t>
            </w:r>
          </w:p>
        </w:tc>
        <w:tc>
          <w:tcPr>
            <w:tcW w:type="dxa" w:w="2266"/>
          </w:tcPr>
          <w:p>
            <w:r>
              <w:rPr>
                <w:sz w:val="18"/>
              </w:rPr>
              <w:t>3000</w:t>
            </w:r>
          </w:p>
        </w:tc>
        <w:tc>
          <w:tcPr>
            <w:tcW w:type="dxa" w:w="2266"/>
          </w:tcPr>
          <w:p>
            <w:r>
              <w:rPr>
                <w:sz w:val="18"/>
              </w:rPr>
              <w:t>SPA React (Nginx en production)</w:t>
            </w:r>
          </w:p>
        </w:tc>
        <w:tc>
          <w:tcPr>
            <w:tcW w:type="dxa" w:w="2266"/>
          </w:tcPr>
          <w:p>
            <w:r>
              <w:rPr>
                <w:sz w:val="18"/>
              </w:rPr>
              <w:t>—</w:t>
            </w:r>
          </w:p>
        </w:tc>
      </w:tr>
    </w:tbl>
    <w:p/>
    <w:p>
      <w:r>
        <w:br w:type="page"/>
      </w:r>
    </w:p>
    <w:p>
      <w:pPr>
        <w:pStyle w:val="Heading1"/>
        <w:spacing w:before="240" w:after="120"/>
      </w:pPr>
      <w:r>
        <w:rPr>
          <w:color w:val="064E3B"/>
        </w:rPr>
        <w:t>4. Architecture Technique — Stack Technologique</w:t>
      </w:r>
    </w:p>
    <w:p>
      <w:r>
        <w:drawing>
          <wp:inline xmlns:a="http://schemas.openxmlformats.org/drawingml/2006/main" xmlns:pic="http://schemas.openxmlformats.org/drawingml/2006/picture">
            <wp:extent cx="5669280" cy="340088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3400884"/>
                    </a:xfrm>
                    <a:prstGeom prst="rect"/>
                  </pic:spPr>
                </pic:pic>
              </a:graphicData>
            </a:graphic>
          </wp:inline>
        </w:drawing>
      </w:r>
    </w:p>
    <w:p>
      <w:pPr>
        <w:jc w:val="center"/>
      </w:pPr>
      <w:r>
        <w:rPr>
          <w:i/>
          <w:color w:val="444444"/>
          <w:sz w:val="18"/>
        </w:rPr>
        <w:t>Figure 2 — Stack Technologique par couche</w:t>
      </w:r>
    </w:p>
    <w:p/>
    <w:p>
      <w:pPr>
        <w:pStyle w:val="Heading2"/>
        <w:spacing w:before="240" w:after="120"/>
      </w:pPr>
      <w:r>
        <w:rPr>
          <w:color w:val="064E3B"/>
        </w:rPr>
        <w:t>4.1 Technologies Backend</w:t>
      </w:r>
    </w:p>
    <w:tbl>
      <w:tblPr>
        <w:tblStyle w:val="LightShading-Accent6"/>
        <w:tblW w:type="auto" w:w="0"/>
        <w:jc w:val="center"/>
        <w:tblLook w:firstColumn="1" w:firstRow="1" w:lastColumn="0" w:lastRow="0" w:noHBand="0" w:noVBand="1" w:val="04A0"/>
      </w:tblPr>
      <w:tblGrid>
        <w:gridCol w:w="3022"/>
        <w:gridCol w:w="3022"/>
        <w:gridCol w:w="3022"/>
      </w:tblGrid>
      <w:tr>
        <w:tc>
          <w:tcPr>
            <w:tcW w:type="dxa" w:w="3022"/>
          </w:tcPr>
          <w:p>
            <w:r>
              <w:rPr>
                <w:b/>
                <w:sz w:val="19"/>
              </w:rPr>
              <w:t>Technologie</w:t>
            </w:r>
          </w:p>
        </w:tc>
        <w:tc>
          <w:tcPr>
            <w:tcW w:type="dxa" w:w="3022"/>
          </w:tcPr>
          <w:p>
            <w:r>
              <w:rPr>
                <w:b/>
                <w:sz w:val="19"/>
              </w:rPr>
              <w:t>Version</w:t>
            </w:r>
          </w:p>
        </w:tc>
        <w:tc>
          <w:tcPr>
            <w:tcW w:type="dxa" w:w="3022"/>
          </w:tcPr>
          <w:p>
            <w:r>
              <w:rPr>
                <w:b/>
                <w:sz w:val="19"/>
              </w:rPr>
              <w:t>Usage</w:t>
            </w:r>
          </w:p>
        </w:tc>
      </w:tr>
      <w:tr>
        <w:tc>
          <w:tcPr>
            <w:tcW w:type="dxa" w:w="3022"/>
          </w:tcPr>
          <w:p>
            <w:r>
              <w:rPr>
                <w:sz w:val="18"/>
              </w:rPr>
              <w:t>Spring Boot</w:t>
            </w:r>
          </w:p>
        </w:tc>
        <w:tc>
          <w:tcPr>
            <w:tcW w:type="dxa" w:w="3022"/>
          </w:tcPr>
          <w:p>
            <w:r>
              <w:rPr>
                <w:sz w:val="18"/>
              </w:rPr>
              <w:t>3.4.4</w:t>
            </w:r>
          </w:p>
        </w:tc>
        <w:tc>
          <w:tcPr>
            <w:tcW w:type="dxa" w:w="3022"/>
          </w:tcPr>
          <w:p>
            <w:r>
              <w:rPr>
                <w:sz w:val="18"/>
              </w:rPr>
              <w:t>Framework principal de chaque microservice</w:t>
            </w:r>
          </w:p>
        </w:tc>
      </w:tr>
      <w:tr>
        <w:tc>
          <w:tcPr>
            <w:tcW w:type="dxa" w:w="3022"/>
          </w:tcPr>
          <w:p>
            <w:r>
              <w:rPr>
                <w:sz w:val="18"/>
              </w:rPr>
              <w:t>Spring Cloud</w:t>
            </w:r>
          </w:p>
        </w:tc>
        <w:tc>
          <w:tcPr>
            <w:tcW w:type="dxa" w:w="3022"/>
          </w:tcPr>
          <w:p>
            <w:r>
              <w:rPr>
                <w:sz w:val="18"/>
              </w:rPr>
              <w:t>2024.0.0</w:t>
            </w:r>
          </w:p>
        </w:tc>
        <w:tc>
          <w:tcPr>
            <w:tcW w:type="dxa" w:w="3022"/>
          </w:tcPr>
          <w:p>
            <w:r>
              <w:rPr>
                <w:sz w:val="18"/>
              </w:rPr>
              <w:t>Config Server, Eureka, OpenFeign, Gateway</w:t>
            </w:r>
          </w:p>
        </w:tc>
      </w:tr>
      <w:tr>
        <w:tc>
          <w:tcPr>
            <w:tcW w:type="dxa" w:w="3022"/>
          </w:tcPr>
          <w:p>
            <w:r>
              <w:rPr>
                <w:sz w:val="18"/>
              </w:rPr>
              <w:t>Spring Security</w:t>
            </w:r>
          </w:p>
        </w:tc>
        <w:tc>
          <w:tcPr>
            <w:tcW w:type="dxa" w:w="3022"/>
          </w:tcPr>
          <w:p>
            <w:r>
              <w:rPr>
                <w:sz w:val="18"/>
              </w:rPr>
              <w:t>6.x</w:t>
            </w:r>
          </w:p>
        </w:tc>
        <w:tc>
          <w:tcPr>
            <w:tcW w:type="dxa" w:w="3022"/>
          </w:tcPr>
          <w:p>
            <w:r>
              <w:rPr>
                <w:sz w:val="18"/>
              </w:rPr>
              <w:t>Authentification, autorisation par role (RBAC)</w:t>
            </w:r>
          </w:p>
        </w:tc>
      </w:tr>
      <w:tr>
        <w:tc>
          <w:tcPr>
            <w:tcW w:type="dxa" w:w="3022"/>
          </w:tcPr>
          <w:p>
            <w:r>
              <w:rPr>
                <w:sz w:val="18"/>
              </w:rPr>
              <w:t>Spring Data JPA</w:t>
            </w:r>
          </w:p>
        </w:tc>
        <w:tc>
          <w:tcPr>
            <w:tcW w:type="dxa" w:w="3022"/>
          </w:tcPr>
          <w:p>
            <w:r>
              <w:rPr>
                <w:sz w:val="18"/>
              </w:rPr>
              <w:t>3.x</w:t>
            </w:r>
          </w:p>
        </w:tc>
        <w:tc>
          <w:tcPr>
            <w:tcW w:type="dxa" w:w="3022"/>
          </w:tcPr>
          <w:p>
            <w:r>
              <w:rPr>
                <w:sz w:val="18"/>
              </w:rPr>
              <w:t>ORM avec Hibernate, acces base de donnees</w:t>
            </w:r>
          </w:p>
        </w:tc>
      </w:tr>
      <w:tr>
        <w:tc>
          <w:tcPr>
            <w:tcW w:type="dxa" w:w="3022"/>
          </w:tcPr>
          <w:p>
            <w:r>
              <w:rPr>
                <w:sz w:val="18"/>
              </w:rPr>
              <w:t>JJWT</w:t>
            </w:r>
          </w:p>
        </w:tc>
        <w:tc>
          <w:tcPr>
            <w:tcW w:type="dxa" w:w="3022"/>
          </w:tcPr>
          <w:p>
            <w:r>
              <w:rPr>
                <w:sz w:val="18"/>
              </w:rPr>
              <w:t>0.12.6</w:t>
            </w:r>
          </w:p>
        </w:tc>
        <w:tc>
          <w:tcPr>
            <w:tcW w:type="dxa" w:w="3022"/>
          </w:tcPr>
          <w:p>
            <w:r>
              <w:rPr>
                <w:sz w:val="18"/>
              </w:rPr>
              <w:t>Generation et validation des tokens JWT</w:t>
            </w:r>
          </w:p>
        </w:tc>
      </w:tr>
      <w:tr>
        <w:tc>
          <w:tcPr>
            <w:tcW w:type="dxa" w:w="3022"/>
          </w:tcPr>
          <w:p>
            <w:r>
              <w:rPr>
                <w:sz w:val="18"/>
              </w:rPr>
              <w:t>OpenFeign</w:t>
            </w:r>
          </w:p>
        </w:tc>
        <w:tc>
          <w:tcPr>
            <w:tcW w:type="dxa" w:w="3022"/>
          </w:tcPr>
          <w:p>
            <w:r>
              <w:rPr>
                <w:sz w:val="18"/>
              </w:rPr>
              <w:t>4.x</w:t>
            </w:r>
          </w:p>
        </w:tc>
        <w:tc>
          <w:tcPr>
            <w:tcW w:type="dxa" w:w="3022"/>
          </w:tcPr>
          <w:p>
            <w:r>
              <w:rPr>
                <w:sz w:val="18"/>
              </w:rPr>
              <w:t>Appels REST inter-services declaratifs</w:t>
            </w:r>
          </w:p>
        </w:tc>
      </w:tr>
      <w:tr>
        <w:tc>
          <w:tcPr>
            <w:tcW w:type="dxa" w:w="3022"/>
          </w:tcPr>
          <w:p>
            <w:r>
              <w:rPr>
                <w:sz w:val="18"/>
              </w:rPr>
              <w:t>RabbitMQ (AMQP)</w:t>
            </w:r>
          </w:p>
        </w:tc>
        <w:tc>
          <w:tcPr>
            <w:tcW w:type="dxa" w:w="3022"/>
          </w:tcPr>
          <w:p>
            <w:r>
              <w:rPr>
                <w:sz w:val="18"/>
              </w:rPr>
              <w:t>3.13</w:t>
            </w:r>
          </w:p>
        </w:tc>
        <w:tc>
          <w:tcPr>
            <w:tcW w:type="dxa" w:w="3022"/>
          </w:tcPr>
          <w:p>
            <w:r>
              <w:rPr>
                <w:sz w:val="18"/>
              </w:rPr>
              <w:t>Messagerie asynchrone entre services</w:t>
            </w:r>
          </w:p>
        </w:tc>
      </w:tr>
      <w:tr>
        <w:tc>
          <w:tcPr>
            <w:tcW w:type="dxa" w:w="3022"/>
          </w:tcPr>
          <w:p>
            <w:r>
              <w:rPr>
                <w:sz w:val="18"/>
              </w:rPr>
              <w:t>PostgreSQL</w:t>
            </w:r>
          </w:p>
        </w:tc>
        <w:tc>
          <w:tcPr>
            <w:tcW w:type="dxa" w:w="3022"/>
          </w:tcPr>
          <w:p>
            <w:r>
              <w:rPr>
                <w:sz w:val="18"/>
              </w:rPr>
              <w:t>16</w:t>
            </w:r>
          </w:p>
        </w:tc>
        <w:tc>
          <w:tcPr>
            <w:tcW w:type="dxa" w:w="3022"/>
          </w:tcPr>
          <w:p>
            <w:r>
              <w:rPr>
                <w:sz w:val="18"/>
              </w:rPr>
              <w:t>Base de donnees relationnelle (une par service)</w:t>
            </w:r>
          </w:p>
        </w:tc>
      </w:tr>
      <w:tr>
        <w:tc>
          <w:tcPr>
            <w:tcW w:type="dxa" w:w="3022"/>
          </w:tcPr>
          <w:p>
            <w:r>
              <w:rPr>
                <w:sz w:val="18"/>
              </w:rPr>
              <w:t>Redis</w:t>
            </w:r>
          </w:p>
        </w:tc>
        <w:tc>
          <w:tcPr>
            <w:tcW w:type="dxa" w:w="3022"/>
          </w:tcPr>
          <w:p>
            <w:r>
              <w:rPr>
                <w:sz w:val="18"/>
              </w:rPr>
              <w:t>7</w:t>
            </w:r>
          </w:p>
        </w:tc>
        <w:tc>
          <w:tcPr>
            <w:tcW w:type="dxa" w:w="3022"/>
          </w:tcPr>
          <w:p>
            <w:r>
              <w:rPr>
                <w:sz w:val="18"/>
              </w:rPr>
              <w:t>Cache sessions, rate limiting</w:t>
            </w:r>
          </w:p>
        </w:tc>
      </w:tr>
      <w:tr>
        <w:tc>
          <w:tcPr>
            <w:tcW w:type="dxa" w:w="3022"/>
          </w:tcPr>
          <w:p>
            <w:r>
              <w:rPr>
                <w:sz w:val="18"/>
              </w:rPr>
              <w:t>Lombok</w:t>
            </w:r>
          </w:p>
        </w:tc>
        <w:tc>
          <w:tcPr>
            <w:tcW w:type="dxa" w:w="3022"/>
          </w:tcPr>
          <w:p>
            <w:r>
              <w:rPr>
                <w:sz w:val="18"/>
              </w:rPr>
              <w:t>1.18</w:t>
            </w:r>
          </w:p>
        </w:tc>
        <w:tc>
          <w:tcPr>
            <w:tcW w:type="dxa" w:w="3022"/>
          </w:tcPr>
          <w:p>
            <w:r>
              <w:rPr>
                <w:sz w:val="18"/>
              </w:rPr>
              <w:t>Reduction du code boilerplate Java</w:t>
            </w:r>
          </w:p>
        </w:tc>
      </w:tr>
      <w:tr>
        <w:tc>
          <w:tcPr>
            <w:tcW w:type="dxa" w:w="3022"/>
          </w:tcPr>
          <w:p>
            <w:r>
              <w:rPr>
                <w:sz w:val="18"/>
              </w:rPr>
              <w:t>Thymeleaf</w:t>
            </w:r>
          </w:p>
        </w:tc>
        <w:tc>
          <w:tcPr>
            <w:tcW w:type="dxa" w:w="3022"/>
          </w:tcPr>
          <w:p>
            <w:r>
              <w:rPr>
                <w:sz w:val="18"/>
              </w:rPr>
              <w:t>3.x</w:t>
            </w:r>
          </w:p>
        </w:tc>
        <w:tc>
          <w:tcPr>
            <w:tcW w:type="dxa" w:w="3022"/>
          </w:tcPr>
          <w:p>
            <w:r>
              <w:rPr>
                <w:sz w:val="18"/>
              </w:rPr>
              <w:t>Templates HTML pour emails</w:t>
            </w:r>
          </w:p>
        </w:tc>
      </w:tr>
    </w:tbl>
    <w:p/>
    <w:p>
      <w:pPr>
        <w:pStyle w:val="Heading2"/>
        <w:spacing w:before="240" w:after="120"/>
      </w:pPr>
      <w:r>
        <w:rPr>
          <w:color w:val="064E3B"/>
        </w:rPr>
        <w:t>4.2 Technologies Frontend</w:t>
      </w:r>
    </w:p>
    <w:tbl>
      <w:tblPr>
        <w:tblStyle w:val="LightShading-Accent6"/>
        <w:tblW w:type="auto" w:w="0"/>
        <w:jc w:val="center"/>
        <w:tblLook w:firstColumn="1" w:firstRow="1" w:lastColumn="0" w:lastRow="0" w:noHBand="0" w:noVBand="1" w:val="04A0"/>
      </w:tblPr>
      <w:tblGrid>
        <w:gridCol w:w="4533"/>
        <w:gridCol w:w="4533"/>
      </w:tblGrid>
      <w:tr>
        <w:tc>
          <w:tcPr>
            <w:tcW w:type="dxa" w:w="4533"/>
          </w:tcPr>
          <w:p>
            <w:r>
              <w:rPr>
                <w:b/>
                <w:sz w:val="19"/>
              </w:rPr>
              <w:t>Technologie</w:t>
            </w:r>
          </w:p>
        </w:tc>
        <w:tc>
          <w:tcPr>
            <w:tcW w:type="dxa" w:w="4533"/>
          </w:tcPr>
          <w:p>
            <w:r>
              <w:rPr>
                <w:b/>
                <w:sz w:val="19"/>
              </w:rPr>
              <w:t>Usage</w:t>
            </w:r>
          </w:p>
        </w:tc>
      </w:tr>
      <w:tr>
        <w:tc>
          <w:tcPr>
            <w:tcW w:type="dxa" w:w="4533"/>
          </w:tcPr>
          <w:p>
            <w:r>
              <w:rPr>
                <w:sz w:val="18"/>
              </w:rPr>
              <w:t>React 18</w:t>
            </w:r>
          </w:p>
        </w:tc>
        <w:tc>
          <w:tcPr>
            <w:tcW w:type="dxa" w:w="4533"/>
          </w:tcPr>
          <w:p>
            <w:r>
              <w:rPr>
                <w:sz w:val="18"/>
              </w:rPr>
              <w:t>Framework SPA, gestion etat local et hooks</w:t>
            </w:r>
          </w:p>
        </w:tc>
      </w:tr>
      <w:tr>
        <w:tc>
          <w:tcPr>
            <w:tcW w:type="dxa" w:w="4533"/>
          </w:tcPr>
          <w:p>
            <w:r>
              <w:rPr>
                <w:sz w:val="18"/>
              </w:rPr>
              <w:t>Axios</w:t>
            </w:r>
          </w:p>
        </w:tc>
        <w:tc>
          <w:tcPr>
            <w:tcW w:type="dxa" w:w="4533"/>
          </w:tcPr>
          <w:p>
            <w:r>
              <w:rPr>
                <w:sz w:val="18"/>
              </w:rPr>
              <w:t>Client HTTP pour appels REST, intercepteurs JWT</w:t>
            </w:r>
          </w:p>
        </w:tc>
      </w:tr>
      <w:tr>
        <w:tc>
          <w:tcPr>
            <w:tcW w:type="dxa" w:w="4533"/>
          </w:tcPr>
          <w:p>
            <w:r>
              <w:rPr>
                <w:sz w:val="18"/>
              </w:rPr>
              <w:t>Tailwind CSS</w:t>
            </w:r>
          </w:p>
        </w:tc>
        <w:tc>
          <w:tcPr>
            <w:tcW w:type="dxa" w:w="4533"/>
          </w:tcPr>
          <w:p>
            <w:r>
              <w:rPr>
                <w:sz w:val="18"/>
              </w:rPr>
              <w:t>Framework CSS utilitaire, design system</w:t>
            </w:r>
          </w:p>
        </w:tc>
      </w:tr>
      <w:tr>
        <w:tc>
          <w:tcPr>
            <w:tcW w:type="dxa" w:w="4533"/>
          </w:tcPr>
          <w:p>
            <w:r>
              <w:rPr>
                <w:sz w:val="18"/>
              </w:rPr>
              <w:t>React Router v6</w:t>
            </w:r>
          </w:p>
        </w:tc>
        <w:tc>
          <w:tcPr>
            <w:tcW w:type="dxa" w:w="4533"/>
          </w:tcPr>
          <w:p>
            <w:r>
              <w:rPr>
                <w:sz w:val="18"/>
              </w:rPr>
              <w:t>Navigation SPA, routes protegees par role</w:t>
            </w:r>
          </w:p>
        </w:tc>
      </w:tr>
      <w:tr>
        <w:tc>
          <w:tcPr>
            <w:tcW w:type="dxa" w:w="4533"/>
          </w:tcPr>
          <w:p>
            <w:r>
              <w:rPr>
                <w:sz w:val="18"/>
              </w:rPr>
              <w:t>Lucide React</w:t>
            </w:r>
          </w:p>
        </w:tc>
        <w:tc>
          <w:tcPr>
            <w:tcW w:type="dxa" w:w="4533"/>
          </w:tcPr>
          <w:p>
            <w:r>
              <w:rPr>
                <w:sz w:val="18"/>
              </w:rPr>
              <w:t>Bibliotheque d'icones SVG</w:t>
            </w:r>
          </w:p>
        </w:tc>
      </w:tr>
      <w:tr>
        <w:tc>
          <w:tcPr>
            <w:tcW w:type="dxa" w:w="4533"/>
          </w:tcPr>
          <w:p>
            <w:r>
              <w:rPr>
                <w:sz w:val="18"/>
              </w:rPr>
              <w:t>LocalStorage</w:t>
            </w:r>
          </w:p>
        </w:tc>
        <w:tc>
          <w:tcPr>
            <w:tcW w:type="dxa" w:w="4533"/>
          </w:tcPr>
          <w:p>
            <w:r>
              <w:rPr>
                <w:sz w:val="18"/>
              </w:rPr>
              <w:t>Persistance session (token JWT + profil utilisateur)</w:t>
            </w:r>
          </w:p>
        </w:tc>
      </w:tr>
    </w:tbl>
    <w:p/>
    <w:p>
      <w:r>
        <w:br w:type="page"/>
      </w:r>
    </w:p>
    <w:p>
      <w:pPr>
        <w:pStyle w:val="Heading1"/>
        <w:spacing w:before="240" w:after="120"/>
      </w:pPr>
      <w:r>
        <w:rPr>
          <w:color w:val="064E3B"/>
        </w:rPr>
        <w:t>5. Diagrammes UML</w:t>
      </w:r>
    </w:p>
    <w:p>
      <w:pPr>
        <w:pStyle w:val="Heading2"/>
        <w:spacing w:before="240" w:after="120"/>
      </w:pPr>
      <w:r>
        <w:rPr>
          <w:color w:val="064E3B"/>
        </w:rPr>
        <w:t>5.1 Diagramme de Cas d'Utilisation</w:t>
      </w:r>
    </w:p>
    <w:p>
      <w:pPr>
        <w:spacing w:after="120"/>
      </w:pPr>
      <w:r>
        <w:rPr>
          <w:b w:val="0"/>
          <w:sz w:val="22"/>
        </w:rPr>
        <w:t>Le diagramme suivant represente les interactions entre les 4 acteurs principaux du systeme et les fonctionnalites auxquelles ils ont acces.</w:t>
      </w:r>
    </w:p>
    <w:p>
      <w:r>
        <w:drawing>
          <wp:inline xmlns:a="http://schemas.openxmlformats.org/drawingml/2006/main" xmlns:pic="http://schemas.openxmlformats.org/drawingml/2006/picture">
            <wp:extent cx="5943600" cy="421712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4217126"/>
                    </a:xfrm>
                    <a:prstGeom prst="rect"/>
                  </pic:spPr>
                </pic:pic>
              </a:graphicData>
            </a:graphic>
          </wp:inline>
        </w:drawing>
      </w:r>
    </w:p>
    <w:p>
      <w:pPr>
        <w:jc w:val="center"/>
      </w:pPr>
      <w:r>
        <w:rPr>
          <w:i/>
          <w:color w:val="444444"/>
          <w:sz w:val="18"/>
        </w:rPr>
        <w:t>Figure 3 — Diagramme de Cas d'Utilisation</w:t>
      </w:r>
    </w:p>
    <w:p/>
    <w:p>
      <w:r>
        <w:br w:type="page"/>
      </w:r>
    </w:p>
    <w:p>
      <w:pPr>
        <w:pStyle w:val="Heading2"/>
        <w:spacing w:before="240" w:after="120"/>
      </w:pPr>
      <w:r>
        <w:rPr>
          <w:color w:val="064E3B"/>
        </w:rPr>
        <w:t>5.2 Diagramme de Sequence — Authentification JWT</w:t>
      </w:r>
    </w:p>
    <w:p>
      <w:pPr>
        <w:spacing w:after="120"/>
      </w:pPr>
      <w:r>
        <w:rPr>
          <w:b w:val="0"/>
          <w:sz w:val="22"/>
        </w:rPr>
        <w:t>Ce diagramme illustre le flux complet d'authentification : depuis la saisie des identifiants jusqu'au stockage du JWT et a la redirection vers le dashboard approprie. Le token contient : l'email, le role, les noms et l'agencyId de l'utilisateur.</w:t>
      </w:r>
    </w:p>
    <w:p>
      <w:r>
        <w:drawing>
          <wp:inline xmlns:a="http://schemas.openxmlformats.org/drawingml/2006/main" xmlns:pic="http://schemas.openxmlformats.org/drawingml/2006/picture">
            <wp:extent cx="5669280" cy="340088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3400884"/>
                    </a:xfrm>
                    <a:prstGeom prst="rect"/>
                  </pic:spPr>
                </pic:pic>
              </a:graphicData>
            </a:graphic>
          </wp:inline>
        </w:drawing>
      </w:r>
    </w:p>
    <w:p>
      <w:pPr>
        <w:jc w:val="center"/>
      </w:pPr>
      <w:r>
        <w:rPr>
          <w:i/>
          <w:color w:val="444444"/>
          <w:sz w:val="18"/>
        </w:rPr>
        <w:t>Figure 4 — Sequence Authentification JWT</w:t>
      </w:r>
    </w:p>
    <w:p/>
    <w:p>
      <w:pPr>
        <w:pStyle w:val="Heading2"/>
        <w:spacing w:before="240" w:after="120"/>
      </w:pPr>
      <w:r>
        <w:rPr>
          <w:color w:val="064E3B"/>
        </w:rPr>
        <w:t>5.3 Diagramme de Sequence — Demande de Pret</w:t>
      </w:r>
    </w:p>
    <w:p>
      <w:pPr>
        <w:spacing w:after="120"/>
      </w:pPr>
      <w:r>
        <w:rPr>
          <w:b w:val="0"/>
          <w:sz w:val="22"/>
        </w:rPr>
        <w:t>Ce diagramme montre le flux complet de traitement d'une demande de pret, incluant la verification JWT, la consultation du profil client, le calcul de l'amortissement et la notification asynchrone via RabbitMQ.</w:t>
      </w:r>
    </w:p>
    <w:p>
      <w:r>
        <w:drawing>
          <wp:inline xmlns:a="http://schemas.openxmlformats.org/drawingml/2006/main" xmlns:pic="http://schemas.openxmlformats.org/drawingml/2006/picture">
            <wp:extent cx="5943600" cy="3852333"/>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3852333"/>
                    </a:xfrm>
                    <a:prstGeom prst="rect"/>
                  </pic:spPr>
                </pic:pic>
              </a:graphicData>
            </a:graphic>
          </wp:inline>
        </w:drawing>
      </w:r>
    </w:p>
    <w:p>
      <w:pPr>
        <w:jc w:val="center"/>
      </w:pPr>
      <w:r>
        <w:rPr>
          <w:i/>
          <w:color w:val="444444"/>
          <w:sz w:val="18"/>
        </w:rPr>
        <w:t>Figure 5 — Sequence Demande de Pret</w:t>
      </w:r>
    </w:p>
    <w:p/>
    <w:p>
      <w:r>
        <w:br w:type="page"/>
      </w:r>
    </w:p>
    <w:p>
      <w:pPr>
        <w:pStyle w:val="Heading2"/>
        <w:spacing w:before="240" w:after="120"/>
      </w:pPr>
      <w:r>
        <w:rPr>
          <w:color w:val="064E3B"/>
        </w:rPr>
        <w:t>5.4 Diagramme de Sequence — Transaction (Depot d'Argent)</w:t>
      </w:r>
    </w:p>
    <w:p>
      <w:pPr>
        <w:spacing w:after="120"/>
      </w:pPr>
      <w:r>
        <w:rPr>
          <w:b w:val="0"/>
          <w:sz w:val="22"/>
        </w:rPr>
        <w:t>Ce diagramme illustre le flux d'un depot d'argent effectue par un agent ou directeur. La requete transite par l'API Gateway (validation JWT), puis le Transaction Service credits le compte via un appel interne Feign vers l'Account Service, enregistre la transaction et publie un evenement asynchrone vers le Notification Service.</w:t>
      </w:r>
    </w:p>
    <w:p>
      <w:r>
        <w:drawing>
          <wp:inline xmlns:a="http://schemas.openxmlformats.org/drawingml/2006/main" xmlns:pic="http://schemas.openxmlformats.org/drawingml/2006/picture">
            <wp:extent cx="5943600" cy="3852333"/>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3852333"/>
                    </a:xfrm>
                    <a:prstGeom prst="rect"/>
                  </pic:spPr>
                </pic:pic>
              </a:graphicData>
            </a:graphic>
          </wp:inline>
        </w:drawing>
      </w:r>
    </w:p>
    <w:p>
      <w:pPr>
        <w:jc w:val="center"/>
      </w:pPr>
      <w:r>
        <w:rPr>
          <w:i/>
          <w:color w:val="444444"/>
          <w:sz w:val="18"/>
        </w:rPr>
        <w:t>Figure 6 — Sequence Depot d'Argent (Transaction Service)</w:t>
      </w:r>
    </w:p>
    <w:p/>
    <w:p>
      <w:r>
        <w:br w:type="page"/>
      </w:r>
    </w:p>
    <w:p>
      <w:pPr>
        <w:pStyle w:val="Heading2"/>
        <w:spacing w:before="240" w:after="120"/>
      </w:pPr>
      <w:r>
        <w:rPr>
          <w:color w:val="064E3B"/>
        </w:rPr>
        <w:t>5.5 Diagramme de Classes Global</w:t>
      </w:r>
    </w:p>
    <w:p>
      <w:pPr>
        <w:spacing w:after="120"/>
      </w:pPr>
      <w:r>
        <w:rPr>
          <w:b w:val="0"/>
          <w:sz w:val="22"/>
        </w:rPr>
        <w:t>Ce diagramme regroupe la totalite des entites metier de tous les microservices. Chaque zone coloree correspond a un service avec sa propre base de donnees PostgreSQL (pattern Database per Service). Les references cross-services utilisent des IDs simples (String/Long) plutot que des jointures JPA.</w:t>
      </w:r>
    </w:p>
    <w:p>
      <w:r>
        <w:drawing>
          <wp:inline xmlns:a="http://schemas.openxmlformats.org/drawingml/2006/main" xmlns:pic="http://schemas.openxmlformats.org/drawingml/2006/picture">
            <wp:extent cx="5943600" cy="4544114"/>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4544114"/>
                    </a:xfrm>
                    <a:prstGeom prst="rect"/>
                  </pic:spPr>
                </pic:pic>
              </a:graphicData>
            </a:graphic>
          </wp:inline>
        </w:drawing>
      </w:r>
    </w:p>
    <w:p>
      <w:pPr>
        <w:jc w:val="center"/>
      </w:pPr>
      <w:r>
        <w:rPr>
          <w:i/>
          <w:color w:val="444444"/>
          <w:sz w:val="18"/>
        </w:rPr>
        <w:t>Figure 7 — Diagramme de Classes Global (10 microservices)</w:t>
      </w:r>
    </w:p>
    <w:p/>
    <w:p>
      <w:r>
        <w:br w:type="page"/>
      </w:r>
    </w:p>
    <w:p>
      <w:pPr>
        <w:pStyle w:val="Heading2"/>
        <w:spacing w:before="240" w:after="120"/>
      </w:pPr>
      <w:r>
        <w:rPr>
          <w:color w:val="064E3B"/>
        </w:rPr>
        <w:t>5.6 Diagrammes de Classes par Service</w:t>
      </w:r>
    </w:p>
    <w:p>
      <w:pPr>
        <w:spacing w:after="120"/>
      </w:pPr>
      <w:r>
        <w:rPr>
          <w:b w:val="0"/>
          <w:sz w:val="22"/>
        </w:rPr>
        <w:t>Les diagrammes suivants detaillent les entites (avec tous les attributs) et les enumerations de chaque microservice.</w:t>
      </w:r>
    </w:p>
    <w:p>
      <w:pPr>
        <w:pStyle w:val="Heading3"/>
        <w:spacing w:before="240" w:after="120"/>
      </w:pPr>
      <w:r>
        <w:rPr>
          <w:color w:val="064E3B"/>
        </w:rPr>
        <w:t>5.6.1 auth-service (:8080)</w:t>
      </w:r>
    </w:p>
    <w:p>
      <w:r>
        <w:drawing>
          <wp:inline xmlns:a="http://schemas.openxmlformats.org/drawingml/2006/main" xmlns:pic="http://schemas.openxmlformats.org/drawingml/2006/picture">
            <wp:extent cx="5943600" cy="440406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4404069"/>
                    </a:xfrm>
                    <a:prstGeom prst="rect"/>
                  </pic:spPr>
                </pic:pic>
              </a:graphicData>
            </a:graphic>
          </wp:inline>
        </w:drawing>
      </w:r>
    </w:p>
    <w:p>
      <w:pPr>
        <w:jc w:val="center"/>
      </w:pPr>
      <w:r>
        <w:rPr>
          <w:i/>
          <w:color w:val="444444"/>
          <w:sz w:val="18"/>
        </w:rPr>
        <w:t>Figure 8a — auth-service : User, Role, Privilege, RefreshToken, UserSession, AuditLog, PasswordResetToken</w:t>
      </w:r>
    </w:p>
    <w:p/>
    <w:p>
      <w:r>
        <w:br w:type="page"/>
      </w:r>
    </w:p>
    <w:p>
      <w:pPr>
        <w:pStyle w:val="Heading3"/>
        <w:spacing w:before="240" w:after="120"/>
      </w:pPr>
      <w:r>
        <w:rPr>
          <w:color w:val="064E3B"/>
        </w:rPr>
        <w:t>5.6.2 client-service (:8081)</w:t>
      </w:r>
    </w:p>
    <w:p>
      <w:r>
        <w:drawing>
          <wp:inline xmlns:a="http://schemas.openxmlformats.org/drawingml/2006/main" xmlns:pic="http://schemas.openxmlformats.org/drawingml/2006/picture">
            <wp:extent cx="5943600" cy="4394031"/>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3600" cy="4394031"/>
                    </a:xfrm>
                    <a:prstGeom prst="rect"/>
                  </pic:spPr>
                </pic:pic>
              </a:graphicData>
            </a:graphic>
          </wp:inline>
        </w:drawing>
      </w:r>
    </w:p>
    <w:p>
      <w:pPr>
        <w:jc w:val="center"/>
      </w:pPr>
      <w:r>
        <w:rPr>
          <w:i/>
          <w:color w:val="444444"/>
          <w:sz w:val="18"/>
        </w:rPr>
        <w:t>Figure 8b — client-service : Client, Document</w:t>
      </w:r>
    </w:p>
    <w:p/>
    <w:p>
      <w:r>
        <w:br w:type="page"/>
      </w:r>
    </w:p>
    <w:p>
      <w:pPr>
        <w:pStyle w:val="Heading3"/>
        <w:spacing w:before="240" w:after="120"/>
      </w:pPr>
      <w:r>
        <w:rPr>
          <w:color w:val="064E3B"/>
        </w:rPr>
        <w:t>5.6.3 account-service (:8082)</w:t>
      </w:r>
    </w:p>
    <w:p>
      <w:r>
        <w:drawing>
          <wp:inline xmlns:a="http://schemas.openxmlformats.org/drawingml/2006/main" xmlns:pic="http://schemas.openxmlformats.org/drawingml/2006/picture">
            <wp:extent cx="5943600" cy="510941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5109410"/>
                    </a:xfrm>
                    <a:prstGeom prst="rect"/>
                  </pic:spPr>
                </pic:pic>
              </a:graphicData>
            </a:graphic>
          </wp:inline>
        </w:drawing>
      </w:r>
    </w:p>
    <w:p>
      <w:pPr>
        <w:jc w:val="center"/>
      </w:pPr>
      <w:r>
        <w:rPr>
          <w:i/>
          <w:color w:val="444444"/>
          <w:sz w:val="18"/>
        </w:rPr>
        <w:t>Figure 8c — account-service : Compte</w:t>
      </w:r>
    </w:p>
    <w:p/>
    <w:p>
      <w:r>
        <w:br w:type="page"/>
      </w:r>
    </w:p>
    <w:p>
      <w:pPr>
        <w:pStyle w:val="Heading3"/>
        <w:spacing w:before="240" w:after="120"/>
      </w:pPr>
      <w:r>
        <w:rPr>
          <w:color w:val="064E3B"/>
        </w:rPr>
        <w:t>5.6.4 agency-service (:8086)</w:t>
      </w:r>
    </w:p>
    <w:p>
      <w:r>
        <w:drawing>
          <wp:inline xmlns:a="http://schemas.openxmlformats.org/drawingml/2006/main" xmlns:pic="http://schemas.openxmlformats.org/drawingml/2006/picture">
            <wp:extent cx="5943600" cy="3852333"/>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3852333"/>
                    </a:xfrm>
                    <a:prstGeom prst="rect"/>
                  </pic:spPr>
                </pic:pic>
              </a:graphicData>
            </a:graphic>
          </wp:inline>
        </w:drawing>
      </w:r>
    </w:p>
    <w:p>
      <w:pPr>
        <w:jc w:val="center"/>
      </w:pPr>
      <w:r>
        <w:rPr>
          <w:i/>
          <w:color w:val="444444"/>
          <w:sz w:val="18"/>
        </w:rPr>
        <w:t>Figure 8d — agency-service : Agency, AgentAssignment, AgencyStats, AgencyConfiguration</w:t>
      </w:r>
    </w:p>
    <w:p/>
    <w:p>
      <w:r>
        <w:br w:type="page"/>
      </w:r>
    </w:p>
    <w:p>
      <w:pPr>
        <w:pStyle w:val="Heading3"/>
        <w:spacing w:before="240" w:after="120"/>
      </w:pPr>
      <w:r>
        <w:rPr>
          <w:color w:val="064E3B"/>
        </w:rPr>
        <w:t>5.6.5 loan-service (:8083)</w:t>
      </w:r>
    </w:p>
    <w:p>
      <w:r>
        <w:drawing>
          <wp:inline xmlns:a="http://schemas.openxmlformats.org/drawingml/2006/main" xmlns:pic="http://schemas.openxmlformats.org/drawingml/2006/picture">
            <wp:extent cx="5943600" cy="3875861"/>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43600" cy="3875861"/>
                    </a:xfrm>
                    <a:prstGeom prst="rect"/>
                  </pic:spPr>
                </pic:pic>
              </a:graphicData>
            </a:graphic>
          </wp:inline>
        </w:drawing>
      </w:r>
    </w:p>
    <w:p>
      <w:pPr>
        <w:jc w:val="center"/>
      </w:pPr>
      <w:r>
        <w:rPr>
          <w:i/>
          <w:color w:val="444444"/>
          <w:sz w:val="18"/>
        </w:rPr>
        <w:t>Figure 8e — loan-service : LoanProduct, LoanApplication, Loan, AmortizationSchedule, Schedule</w:t>
      </w:r>
    </w:p>
    <w:p/>
    <w:p>
      <w:r>
        <w:br w:type="page"/>
      </w:r>
    </w:p>
    <w:p>
      <w:pPr>
        <w:pStyle w:val="Heading3"/>
        <w:spacing w:before="240" w:after="120"/>
      </w:pPr>
      <w:r>
        <w:rPr>
          <w:color w:val="064E3B"/>
        </w:rPr>
        <w:t>5.6.6 repayment-service (:8084)</w:t>
      </w:r>
    </w:p>
    <w:p>
      <w:r>
        <w:drawing>
          <wp:inline xmlns:a="http://schemas.openxmlformats.org/drawingml/2006/main" xmlns:pic="http://schemas.openxmlformats.org/drawingml/2006/picture">
            <wp:extent cx="5943600" cy="4078172"/>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43600" cy="4078172"/>
                    </a:xfrm>
                    <a:prstGeom prst="rect"/>
                  </pic:spPr>
                </pic:pic>
              </a:graphicData>
            </a:graphic>
          </wp:inline>
        </w:drawing>
      </w:r>
    </w:p>
    <w:p>
      <w:pPr>
        <w:jc w:val="center"/>
      </w:pPr>
      <w:r>
        <w:rPr>
          <w:i/>
          <w:color w:val="444444"/>
          <w:sz w:val="18"/>
        </w:rPr>
        <w:t>Figure 8f — repayment-service : Repayment, Payment, Schedule, Penalty</w:t>
      </w:r>
    </w:p>
    <w:p/>
    <w:p>
      <w:r>
        <w:br w:type="page"/>
      </w:r>
    </w:p>
    <w:p>
      <w:pPr>
        <w:pStyle w:val="Heading3"/>
        <w:spacing w:before="240" w:after="120"/>
      </w:pPr>
      <w:r>
        <w:rPr>
          <w:color w:val="064E3B"/>
        </w:rPr>
        <w:t>5.6.7 transaction-service (:8088)</w:t>
      </w:r>
    </w:p>
    <w:p>
      <w:r>
        <w:drawing>
          <wp:inline xmlns:a="http://schemas.openxmlformats.org/drawingml/2006/main" xmlns:pic="http://schemas.openxmlformats.org/drawingml/2006/picture">
            <wp:extent cx="5943600" cy="4394031"/>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4394031"/>
                    </a:xfrm>
                    <a:prstGeom prst="rect"/>
                  </pic:spPr>
                </pic:pic>
              </a:graphicData>
            </a:graphic>
          </wp:inline>
        </w:drawing>
      </w:r>
    </w:p>
    <w:p>
      <w:pPr>
        <w:jc w:val="center"/>
      </w:pPr>
      <w:r>
        <w:rPr>
          <w:i/>
          <w:color w:val="444444"/>
          <w:sz w:val="18"/>
        </w:rPr>
        <w:t>Figure 8g — transaction-service : Transaction</w:t>
      </w:r>
    </w:p>
    <w:p/>
    <w:p>
      <w:r>
        <w:br w:type="page"/>
      </w:r>
    </w:p>
    <w:p>
      <w:pPr>
        <w:pStyle w:val="Heading3"/>
        <w:spacing w:before="240" w:after="120"/>
      </w:pPr>
      <w:r>
        <w:rPr>
          <w:color w:val="064E3B"/>
        </w:rPr>
        <w:t>5.6.8 notification-service (:8089)</w:t>
      </w:r>
    </w:p>
    <w:p>
      <w:r>
        <w:drawing>
          <wp:inline xmlns:a="http://schemas.openxmlformats.org/drawingml/2006/main" xmlns:pic="http://schemas.openxmlformats.org/drawingml/2006/picture">
            <wp:extent cx="5943600" cy="4578773"/>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4578773"/>
                    </a:xfrm>
                    <a:prstGeom prst="rect"/>
                  </pic:spPr>
                </pic:pic>
              </a:graphicData>
            </a:graphic>
          </wp:inline>
        </w:drawing>
      </w:r>
    </w:p>
    <w:p>
      <w:pPr>
        <w:jc w:val="center"/>
      </w:pPr>
      <w:r>
        <w:rPr>
          <w:i/>
          <w:color w:val="444444"/>
          <w:sz w:val="18"/>
        </w:rPr>
        <w:t>Figure 8h — notification-service : Notification, NotificationTemplate</w:t>
      </w:r>
    </w:p>
    <w:p/>
    <w:p>
      <w:r>
        <w:br w:type="page"/>
      </w:r>
    </w:p>
    <w:p>
      <w:pPr>
        <w:pStyle w:val="Heading3"/>
        <w:spacing w:before="240" w:after="120"/>
      </w:pPr>
      <w:r>
        <w:rPr>
          <w:color w:val="064E3B"/>
        </w:rPr>
        <w:t>5.6.9 reporting-service (:8085)</w:t>
      </w:r>
    </w:p>
    <w:p>
      <w:r>
        <w:drawing>
          <wp:inline xmlns:a="http://schemas.openxmlformats.org/drawingml/2006/main" xmlns:pic="http://schemas.openxmlformats.org/drawingml/2006/picture">
            <wp:extent cx="5943600" cy="4394031"/>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943600" cy="4394031"/>
                    </a:xfrm>
                    <a:prstGeom prst="rect"/>
                  </pic:spPr>
                </pic:pic>
              </a:graphicData>
            </a:graphic>
          </wp:inline>
        </w:drawing>
      </w:r>
    </w:p>
    <w:p>
      <w:pPr>
        <w:jc w:val="center"/>
      </w:pPr>
      <w:r>
        <w:rPr>
          <w:i/>
          <w:color w:val="444444"/>
          <w:sz w:val="18"/>
        </w:rPr>
        <w:t>Figure 8i — reporting-service : Report, Kpi</w:t>
      </w:r>
    </w:p>
    <w:p/>
    <w:p>
      <w:r>
        <w:br w:type="page"/>
      </w:r>
    </w:p>
    <w:p>
      <w:pPr>
        <w:pStyle w:val="Heading3"/>
        <w:spacing w:before="240" w:after="120"/>
      </w:pPr>
      <w:r>
        <w:rPr>
          <w:color w:val="064E3B"/>
        </w:rPr>
        <w:t>5.6.10 configuration-service (:8087)</w:t>
      </w:r>
    </w:p>
    <w:p>
      <w:r>
        <w:drawing>
          <wp:inline xmlns:a="http://schemas.openxmlformats.org/drawingml/2006/main" xmlns:pic="http://schemas.openxmlformats.org/drawingml/2006/picture">
            <wp:extent cx="5943600" cy="4723432"/>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943600" cy="4723432"/>
                    </a:xfrm>
                    <a:prstGeom prst="rect"/>
                  </pic:spPr>
                </pic:pic>
              </a:graphicData>
            </a:graphic>
          </wp:inline>
        </w:drawing>
      </w:r>
    </w:p>
    <w:p>
      <w:pPr>
        <w:jc w:val="center"/>
      </w:pPr>
      <w:r>
        <w:rPr>
          <w:i/>
          <w:color w:val="444444"/>
          <w:sz w:val="18"/>
        </w:rPr>
        <w:t>Figure 8j — configuration-service : MicrofinanceConfiguration, AccountCategory, AccountTypeConfiguration</w:t>
      </w:r>
    </w:p>
    <w:p/>
    <w:p>
      <w:r>
        <w:br w:type="page"/>
      </w:r>
    </w:p>
    <w:p>
      <w:r>
        <w:br w:type="page"/>
      </w:r>
    </w:p>
    <w:p>
      <w:pPr>
        <w:pStyle w:val="Heading2"/>
        <w:spacing w:before="240" w:after="120"/>
      </w:pPr>
      <w:r>
        <w:rPr>
          <w:color w:val="064E3B"/>
        </w:rPr>
        <w:t>5.7 Diagramme d'Etats — Compte Bancaire</w:t>
      </w:r>
    </w:p>
    <w:p>
      <w:pPr>
        <w:spacing w:after="120"/>
      </w:pPr>
      <w:r>
        <w:rPr>
          <w:b w:val="0"/>
          <w:sz w:val="22"/>
        </w:rPr>
        <w:t>Un compte bancaire suit un cycle de vie strict : cree en EN_ATTENTE_VALIDATION, il doit etre approuve par un directeur ou admin (-&gt; ACTIF). Il peut ensuite etre bloque, debloque ou ferme. Un rejet lors de la validation le place en etat REJETE.</w:t>
      </w:r>
    </w:p>
    <w:p>
      <w:r>
        <w:drawing>
          <wp:inline xmlns:a="http://schemas.openxmlformats.org/drawingml/2006/main" xmlns:pic="http://schemas.openxmlformats.org/drawingml/2006/picture">
            <wp:extent cx="5669280" cy="3400884"/>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3400884"/>
                    </a:xfrm>
                    <a:prstGeom prst="rect"/>
                  </pic:spPr>
                </pic:pic>
              </a:graphicData>
            </a:graphic>
          </wp:inline>
        </w:drawing>
      </w:r>
    </w:p>
    <w:p>
      <w:pPr>
        <w:jc w:val="center"/>
      </w:pPr>
      <w:r>
        <w:rPr>
          <w:i/>
          <w:color w:val="444444"/>
          <w:sz w:val="18"/>
        </w:rPr>
        <w:t>Figure 9 — Diagramme d'Etats : Compte Bancaire (StatutCompte)</w:t>
      </w:r>
    </w:p>
    <w:p/>
    <w:p>
      <w:pPr>
        <w:pStyle w:val="Heading2"/>
        <w:spacing w:before="240" w:after="120"/>
      </w:pPr>
      <w:r>
        <w:rPr>
          <w:color w:val="064E3B"/>
        </w:rPr>
        <w:t>5.8 Diagramme d'Etats — Pret</w:t>
      </w:r>
    </w:p>
    <w:p>
      <w:pPr>
        <w:spacing w:after="120"/>
      </w:pPr>
      <w:r>
        <w:rPr>
          <w:b w:val="0"/>
          <w:sz w:val="22"/>
        </w:rPr>
        <w:t>Le cycle de vie d'un pret commence a l'etat PENDING apres soumission de la demande. Un admin ou directeur peut l'approuver (-&gt; APPROVED) ou le rejeter (-&gt; REJECTED). Apres decaissement, il passe ACTIVE, puis COMPLETED a remboursement total ou DEFAULTED en cas de defaut de paiement.</w:t>
      </w:r>
    </w:p>
    <w:p>
      <w:r>
        <w:drawing>
          <wp:inline xmlns:a="http://schemas.openxmlformats.org/drawingml/2006/main" xmlns:pic="http://schemas.openxmlformats.org/drawingml/2006/picture">
            <wp:extent cx="5669280" cy="3400884"/>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3400884"/>
                    </a:xfrm>
                    <a:prstGeom prst="rect"/>
                  </pic:spPr>
                </pic:pic>
              </a:graphicData>
            </a:graphic>
          </wp:inline>
        </w:drawing>
      </w:r>
    </w:p>
    <w:p>
      <w:pPr>
        <w:jc w:val="center"/>
      </w:pPr>
      <w:r>
        <w:rPr>
          <w:i/>
          <w:color w:val="444444"/>
          <w:sz w:val="18"/>
        </w:rPr>
        <w:t>Figure 10 — Diagramme d'Etats : Pret (LoanStatus)</w:t>
      </w:r>
    </w:p>
    <w:p/>
    <w:p>
      <w:r>
        <w:br w:type="page"/>
      </w:r>
    </w:p>
    <w:p>
      <w:pPr>
        <w:pStyle w:val="Heading2"/>
        <w:spacing w:before="240" w:after="120"/>
      </w:pPr>
      <w:r>
        <w:rPr>
          <w:color w:val="064E3B"/>
        </w:rPr>
        <w:t>5.9 Diagramme d'Etats — Paiement/Remboursement</w:t>
      </w:r>
    </w:p>
    <w:p>
      <w:pPr>
        <w:spacing w:after="120"/>
      </w:pPr>
      <w:r>
        <w:rPr>
          <w:b w:val="0"/>
          <w:sz w:val="22"/>
        </w:rPr>
        <w:t>Un paiement enregistre par un agent ou directeur passe en PENDING_VALIDATION et attend la validation de l'admin. Un paiement direct client ou un webhook CamPay peuvent passer directement en COMPLETED. En cas de probleme, le statut passe en FAILED.</w:t>
      </w:r>
    </w:p>
    <w:p>
      <w:r>
        <w:drawing>
          <wp:inline xmlns:a="http://schemas.openxmlformats.org/drawingml/2006/main" xmlns:pic="http://schemas.openxmlformats.org/drawingml/2006/picture">
            <wp:extent cx="5669280" cy="3400884"/>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3400884"/>
                    </a:xfrm>
                    <a:prstGeom prst="rect"/>
                  </pic:spPr>
                </pic:pic>
              </a:graphicData>
            </a:graphic>
          </wp:inline>
        </w:drawing>
      </w:r>
    </w:p>
    <w:p>
      <w:pPr>
        <w:jc w:val="center"/>
      </w:pPr>
      <w:r>
        <w:rPr>
          <w:i/>
          <w:color w:val="444444"/>
          <w:sz w:val="18"/>
        </w:rPr>
        <w:t>Figure 11 — Diagramme d'Etats : Paiement/Remboursement (PaymentStatus)</w:t>
      </w:r>
    </w:p>
    <w:p/>
    <w:p>
      <w:r>
        <w:br w:type="page"/>
      </w:r>
    </w:p>
    <w:p>
      <w:pPr>
        <w:pStyle w:val="Heading1"/>
        <w:spacing w:before="240" w:after="120"/>
      </w:pPr>
      <w:r>
        <w:rPr>
          <w:color w:val="064E3B"/>
        </w:rPr>
        <w:t>6. Communication Inter-Services (RabbitMQ)</w:t>
      </w:r>
    </w:p>
    <w:p>
      <w:pPr>
        <w:spacing w:after="120"/>
      </w:pPr>
      <w:r>
        <w:rPr>
          <w:b w:val="0"/>
          <w:sz w:val="22"/>
        </w:rPr>
        <w:t>La communication asynchrone via RabbitMQ permet de decoupler les services et d'assurer la resilience du systeme. Lorsqu'un service publie un evenement, il n'attend pas la reponse des consommateurs, ce qui ameliore les performances et la disponibilite globale.</w:t>
      </w:r>
    </w:p>
    <w:p>
      <w:r>
        <w:drawing>
          <wp:inline xmlns:a="http://schemas.openxmlformats.org/drawingml/2006/main" xmlns:pic="http://schemas.openxmlformats.org/drawingml/2006/picture">
            <wp:extent cx="5669280" cy="3400884"/>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3400884"/>
                    </a:xfrm>
                    <a:prstGeom prst="rect"/>
                  </pic:spPr>
                </pic:pic>
              </a:graphicData>
            </a:graphic>
          </wp:inline>
        </w:drawing>
      </w:r>
    </w:p>
    <w:p>
      <w:pPr>
        <w:jc w:val="center"/>
      </w:pPr>
      <w:r>
        <w:rPr>
          <w:i/>
          <w:color w:val="444444"/>
          <w:sz w:val="18"/>
        </w:rPr>
        <w:t>Figure 12 — Communication Asynchrone via RabbitMQ</w:t>
      </w:r>
    </w:p>
    <w:p/>
    <w:p>
      <w:pPr>
        <w:pStyle w:val="Heading2"/>
        <w:spacing w:before="240" w:after="120"/>
      </w:pPr>
      <w:r>
        <w:rPr>
          <w:color w:val="064E3B"/>
        </w:rPr>
        <w:t>6.1 Evenements Principaux</w:t>
      </w:r>
    </w:p>
    <w:tbl>
      <w:tblPr>
        <w:tblStyle w:val="LightShading-Accent6"/>
        <w:tblW w:type="auto" w:w="0"/>
        <w:jc w:val="center"/>
        <w:tblLook w:firstColumn="1" w:firstRow="1" w:lastColumn="0" w:lastRow="0" w:noHBand="0" w:noVBand="1" w:val="04A0"/>
      </w:tblPr>
      <w:tblGrid>
        <w:gridCol w:w="2266"/>
        <w:gridCol w:w="2266"/>
        <w:gridCol w:w="2266"/>
        <w:gridCol w:w="2266"/>
      </w:tblGrid>
      <w:tr>
        <w:tc>
          <w:tcPr>
            <w:tcW w:type="dxa" w:w="2266"/>
          </w:tcPr>
          <w:p>
            <w:r>
              <w:rPr>
                <w:b/>
                <w:sz w:val="19"/>
              </w:rPr>
              <w:t>Evenement</w:t>
            </w:r>
          </w:p>
        </w:tc>
        <w:tc>
          <w:tcPr>
            <w:tcW w:type="dxa" w:w="2266"/>
          </w:tcPr>
          <w:p>
            <w:r>
              <w:rPr>
                <w:b/>
                <w:sz w:val="19"/>
              </w:rPr>
              <w:t>Producteur</w:t>
            </w:r>
          </w:p>
        </w:tc>
        <w:tc>
          <w:tcPr>
            <w:tcW w:type="dxa" w:w="2266"/>
          </w:tcPr>
          <w:p>
            <w:r>
              <w:rPr>
                <w:b/>
                <w:sz w:val="19"/>
              </w:rPr>
              <w:t>Consommateur</w:t>
            </w:r>
          </w:p>
        </w:tc>
        <w:tc>
          <w:tcPr>
            <w:tcW w:type="dxa" w:w="2266"/>
          </w:tcPr>
          <w:p>
            <w:r>
              <w:rPr>
                <w:b/>
                <w:sz w:val="19"/>
              </w:rPr>
              <w:t>Declencheur</w:t>
            </w:r>
          </w:p>
        </w:tc>
      </w:tr>
      <w:tr>
        <w:tc>
          <w:tcPr>
            <w:tcW w:type="dxa" w:w="2266"/>
          </w:tcPr>
          <w:p>
            <w:r>
              <w:rPr>
                <w:sz w:val="18"/>
              </w:rPr>
              <w:t>user.login</w:t>
            </w:r>
          </w:p>
        </w:tc>
        <w:tc>
          <w:tcPr>
            <w:tcW w:type="dxa" w:w="2266"/>
          </w:tcPr>
          <w:p>
            <w:r>
              <w:rPr>
                <w:sz w:val="18"/>
              </w:rPr>
              <w:t>Auth Service</w:t>
            </w:r>
          </w:p>
        </w:tc>
        <w:tc>
          <w:tcPr>
            <w:tcW w:type="dxa" w:w="2266"/>
          </w:tcPr>
          <w:p>
            <w:r>
              <w:rPr>
                <w:sz w:val="18"/>
              </w:rPr>
              <w:t>Client Service</w:t>
            </w:r>
          </w:p>
        </w:tc>
        <w:tc>
          <w:tcPr>
            <w:tcW w:type="dxa" w:w="2266"/>
          </w:tcPr>
          <w:p>
            <w:r>
              <w:rPr>
                <w:sz w:val="18"/>
              </w:rPr>
              <w:t>Connexion utilisateur</w:t>
            </w:r>
          </w:p>
        </w:tc>
      </w:tr>
      <w:tr>
        <w:tc>
          <w:tcPr>
            <w:tcW w:type="dxa" w:w="2266"/>
          </w:tcPr>
          <w:p>
            <w:r>
              <w:rPr>
                <w:sz w:val="18"/>
              </w:rPr>
              <w:t>loan.created</w:t>
            </w:r>
          </w:p>
        </w:tc>
        <w:tc>
          <w:tcPr>
            <w:tcW w:type="dxa" w:w="2266"/>
          </w:tcPr>
          <w:p>
            <w:r>
              <w:rPr>
                <w:sz w:val="18"/>
              </w:rPr>
              <w:t>Loan Service</w:t>
            </w:r>
          </w:p>
        </w:tc>
        <w:tc>
          <w:tcPr>
            <w:tcW w:type="dxa" w:w="2266"/>
          </w:tcPr>
          <w:p>
            <w:r>
              <w:rPr>
                <w:sz w:val="18"/>
              </w:rPr>
              <w:t>Notification Svc</w:t>
            </w:r>
          </w:p>
        </w:tc>
        <w:tc>
          <w:tcPr>
            <w:tcW w:type="dxa" w:w="2266"/>
          </w:tcPr>
          <w:p>
            <w:r>
              <w:rPr>
                <w:sz w:val="18"/>
              </w:rPr>
              <w:t>Nouvelle demande pret</w:t>
            </w:r>
          </w:p>
        </w:tc>
      </w:tr>
      <w:tr>
        <w:tc>
          <w:tcPr>
            <w:tcW w:type="dxa" w:w="2266"/>
          </w:tcPr>
          <w:p>
            <w:r>
              <w:rPr>
                <w:sz w:val="18"/>
              </w:rPr>
              <w:t>loan.approved</w:t>
            </w:r>
          </w:p>
        </w:tc>
        <w:tc>
          <w:tcPr>
            <w:tcW w:type="dxa" w:w="2266"/>
          </w:tcPr>
          <w:p>
            <w:r>
              <w:rPr>
                <w:sz w:val="18"/>
              </w:rPr>
              <w:t>Loan Service</w:t>
            </w:r>
          </w:p>
        </w:tc>
        <w:tc>
          <w:tcPr>
            <w:tcW w:type="dxa" w:w="2266"/>
          </w:tcPr>
          <w:p>
            <w:r>
              <w:rPr>
                <w:sz w:val="18"/>
              </w:rPr>
              <w:t>Notification Svc</w:t>
            </w:r>
          </w:p>
        </w:tc>
        <w:tc>
          <w:tcPr>
            <w:tcW w:type="dxa" w:w="2266"/>
          </w:tcPr>
          <w:p>
            <w:r>
              <w:rPr>
                <w:sz w:val="18"/>
              </w:rPr>
              <w:t>Pret approuve</w:t>
            </w:r>
          </w:p>
        </w:tc>
      </w:tr>
      <w:tr>
        <w:tc>
          <w:tcPr>
            <w:tcW w:type="dxa" w:w="2266"/>
          </w:tcPr>
          <w:p>
            <w:r>
              <w:rPr>
                <w:sz w:val="18"/>
              </w:rPr>
              <w:t>payment.pending</w:t>
            </w:r>
          </w:p>
        </w:tc>
        <w:tc>
          <w:tcPr>
            <w:tcW w:type="dxa" w:w="2266"/>
          </w:tcPr>
          <w:p>
            <w:r>
              <w:rPr>
                <w:sz w:val="18"/>
              </w:rPr>
              <w:t>Repayment Service</w:t>
            </w:r>
          </w:p>
        </w:tc>
        <w:tc>
          <w:tcPr>
            <w:tcW w:type="dxa" w:w="2266"/>
          </w:tcPr>
          <w:p>
            <w:r>
              <w:rPr>
                <w:sz w:val="18"/>
              </w:rPr>
              <w:t>Notification Svc</w:t>
            </w:r>
          </w:p>
        </w:tc>
        <w:tc>
          <w:tcPr>
            <w:tcW w:type="dxa" w:w="2266"/>
          </w:tcPr>
          <w:p>
            <w:r>
              <w:rPr>
                <w:sz w:val="18"/>
              </w:rPr>
              <w:t>Paiement en attente</w:t>
            </w:r>
          </w:p>
        </w:tc>
      </w:tr>
      <w:tr>
        <w:tc>
          <w:tcPr>
            <w:tcW w:type="dxa" w:w="2266"/>
          </w:tcPr>
          <w:p>
            <w:r>
              <w:rPr>
                <w:sz w:val="18"/>
              </w:rPr>
              <w:t>payment.validated</w:t>
            </w:r>
          </w:p>
        </w:tc>
        <w:tc>
          <w:tcPr>
            <w:tcW w:type="dxa" w:w="2266"/>
          </w:tcPr>
          <w:p>
            <w:r>
              <w:rPr>
                <w:sz w:val="18"/>
              </w:rPr>
              <w:t>Repayment Service</w:t>
            </w:r>
          </w:p>
        </w:tc>
        <w:tc>
          <w:tcPr>
            <w:tcW w:type="dxa" w:w="2266"/>
          </w:tcPr>
          <w:p>
            <w:r>
              <w:rPr>
                <w:sz w:val="18"/>
              </w:rPr>
              <w:t>Loan Service</w:t>
            </w:r>
          </w:p>
        </w:tc>
        <w:tc>
          <w:tcPr>
            <w:tcW w:type="dxa" w:w="2266"/>
          </w:tcPr>
          <w:p>
            <w:r>
              <w:rPr>
                <w:sz w:val="18"/>
              </w:rPr>
              <w:t>Paiement valide -&gt; MAJ echeance</w:t>
            </w:r>
          </w:p>
        </w:tc>
      </w:tr>
      <w:tr>
        <w:tc>
          <w:tcPr>
            <w:tcW w:type="dxa" w:w="2266"/>
          </w:tcPr>
          <w:p>
            <w:r>
              <w:rPr>
                <w:sz w:val="18"/>
              </w:rPr>
              <w:t>account.opened</w:t>
            </w:r>
          </w:p>
        </w:tc>
        <w:tc>
          <w:tcPr>
            <w:tcW w:type="dxa" w:w="2266"/>
          </w:tcPr>
          <w:p>
            <w:r>
              <w:rPr>
                <w:sz w:val="18"/>
              </w:rPr>
              <w:t>Account Service</w:t>
            </w:r>
          </w:p>
        </w:tc>
        <w:tc>
          <w:tcPr>
            <w:tcW w:type="dxa" w:w="2266"/>
          </w:tcPr>
          <w:p>
            <w:r>
              <w:rPr>
                <w:sz w:val="18"/>
              </w:rPr>
              <w:t>Notification Svc</w:t>
            </w:r>
          </w:p>
        </w:tc>
        <w:tc>
          <w:tcPr>
            <w:tcW w:type="dxa" w:w="2266"/>
          </w:tcPr>
          <w:p>
            <w:r>
              <w:rPr>
                <w:sz w:val="18"/>
              </w:rPr>
              <w:t>Compte ouvert</w:t>
            </w:r>
          </w:p>
        </w:tc>
      </w:tr>
      <w:tr>
        <w:tc>
          <w:tcPr>
            <w:tcW w:type="dxa" w:w="2266"/>
          </w:tcPr>
          <w:p>
            <w:r>
              <w:rPr>
                <w:sz w:val="18"/>
              </w:rPr>
              <w:t>mobile.confirmed</w:t>
            </w:r>
          </w:p>
        </w:tc>
        <w:tc>
          <w:tcPr>
            <w:tcW w:type="dxa" w:w="2266"/>
          </w:tcPr>
          <w:p>
            <w:r>
              <w:rPr>
                <w:sz w:val="18"/>
              </w:rPr>
              <w:t>Transaction Svc</w:t>
            </w:r>
          </w:p>
        </w:tc>
        <w:tc>
          <w:tcPr>
            <w:tcW w:type="dxa" w:w="2266"/>
          </w:tcPr>
          <w:p>
            <w:r>
              <w:rPr>
                <w:sz w:val="18"/>
              </w:rPr>
              <w:t>Repayment Service</w:t>
            </w:r>
          </w:p>
        </w:tc>
        <w:tc>
          <w:tcPr>
            <w:tcW w:type="dxa" w:w="2266"/>
          </w:tcPr>
          <w:p>
            <w:r>
              <w:rPr>
                <w:sz w:val="18"/>
              </w:rPr>
              <w:t>CamPay webhook recu</w:t>
            </w:r>
          </w:p>
        </w:tc>
      </w:tr>
      <w:tr>
        <w:tc>
          <w:tcPr>
            <w:tcW w:type="dxa" w:w="2266"/>
          </w:tcPr>
          <w:p>
            <w:r>
              <w:rPr>
                <w:sz w:val="18"/>
              </w:rPr>
              <w:t>payment.received</w:t>
            </w:r>
          </w:p>
        </w:tc>
        <w:tc>
          <w:tcPr>
            <w:tcW w:type="dxa" w:w="2266"/>
          </w:tcPr>
          <w:p>
            <w:r>
              <w:rPr>
                <w:sz w:val="18"/>
              </w:rPr>
              <w:t>Repayment Service</w:t>
            </w:r>
          </w:p>
        </w:tc>
        <w:tc>
          <w:tcPr>
            <w:tcW w:type="dxa" w:w="2266"/>
          </w:tcPr>
          <w:p>
            <w:r>
              <w:rPr>
                <w:sz w:val="18"/>
              </w:rPr>
              <w:t>Notification Svc</w:t>
            </w:r>
          </w:p>
        </w:tc>
        <w:tc>
          <w:tcPr>
            <w:tcW w:type="dxa" w:w="2266"/>
          </w:tcPr>
          <w:p>
            <w:r>
              <w:rPr>
                <w:sz w:val="18"/>
              </w:rPr>
              <w:t>Paiement CamPay confirme</w:t>
            </w:r>
          </w:p>
        </w:tc>
      </w:tr>
    </w:tbl>
    <w:p/>
    <w:p>
      <w:r>
        <w:br w:type="page"/>
      </w:r>
    </w:p>
    <w:p>
      <w:pPr>
        <w:pStyle w:val="Heading1"/>
        <w:spacing w:before="240" w:after="120"/>
      </w:pPr>
      <w:r>
        <w:rPr>
          <w:color w:val="064E3B"/>
        </w:rPr>
        <w:t>7. Modele de Donnees</w:t>
      </w:r>
    </w:p>
    <w:p>
      <w:pPr>
        <w:spacing w:after="120"/>
      </w:pPr>
      <w:r>
        <w:rPr>
          <w:b w:val="0"/>
          <w:sz w:val="22"/>
        </w:rPr>
        <w:t>Le projet applique le pattern 'Database per Service' : chaque microservice possede sa propre base de donnees PostgreSQL, garantissant l'independance et l'isolation des donnees. Les jointures inter-services se font via des appels REST (Feign) et non par des cles etrangeres croisees.</w:t>
      </w:r>
    </w:p>
    <w:p>
      <w:pPr>
        <w:pStyle w:val="Heading2"/>
        <w:spacing w:before="240" w:after="120"/>
      </w:pPr>
      <w:r>
        <w:rPr>
          <w:color w:val="064E3B"/>
        </w:rPr>
        <w:t>7.1 Bases de Donnees</w:t>
      </w:r>
    </w:p>
    <w:tbl>
      <w:tblPr>
        <w:tblStyle w:val="LightShading-Accent6"/>
        <w:tblW w:type="auto" w:w="0"/>
        <w:jc w:val="center"/>
        <w:tblLook w:firstColumn="1" w:firstRow="1" w:lastColumn="0" w:lastRow="0" w:noHBand="0" w:noVBand="1" w:val="04A0"/>
      </w:tblPr>
      <w:tblGrid>
        <w:gridCol w:w="2266"/>
        <w:gridCol w:w="2266"/>
        <w:gridCol w:w="2266"/>
        <w:gridCol w:w="2266"/>
      </w:tblGrid>
      <w:tr>
        <w:tc>
          <w:tcPr>
            <w:tcW w:type="dxa" w:w="2266"/>
          </w:tcPr>
          <w:p>
            <w:r>
              <w:rPr>
                <w:b/>
                <w:sz w:val="19"/>
              </w:rPr>
              <w:t>Base de donnees</w:t>
            </w:r>
          </w:p>
        </w:tc>
        <w:tc>
          <w:tcPr>
            <w:tcW w:type="dxa" w:w="2266"/>
          </w:tcPr>
          <w:p>
            <w:r>
              <w:rPr>
                <w:b/>
                <w:sz w:val="19"/>
              </w:rPr>
              <w:t>Service</w:t>
            </w:r>
          </w:p>
        </w:tc>
        <w:tc>
          <w:tcPr>
            <w:tcW w:type="dxa" w:w="2266"/>
          </w:tcPr>
          <w:p>
            <w:r>
              <w:rPr>
                <w:b/>
                <w:sz w:val="19"/>
              </w:rPr>
              <w:t>Tables principales</w:t>
            </w:r>
          </w:p>
        </w:tc>
        <w:tc>
          <w:tcPr>
            <w:tcW w:type="dxa" w:w="2266"/>
          </w:tcPr>
          <w:p>
            <w:r>
              <w:rPr>
                <w:b/>
                <w:sz w:val="19"/>
              </w:rPr>
              <w:t>Port hote</w:t>
            </w:r>
          </w:p>
        </w:tc>
      </w:tr>
      <w:tr>
        <w:tc>
          <w:tcPr>
            <w:tcW w:type="dxa" w:w="2266"/>
          </w:tcPr>
          <w:p>
            <w:r>
              <w:rPr>
                <w:sz w:val="18"/>
              </w:rPr>
              <w:t>microfinancehub_auth</w:t>
            </w:r>
          </w:p>
        </w:tc>
        <w:tc>
          <w:tcPr>
            <w:tcW w:type="dxa" w:w="2266"/>
          </w:tcPr>
          <w:p>
            <w:r>
              <w:rPr>
                <w:sz w:val="18"/>
              </w:rPr>
              <w:t>auth-service</w:t>
            </w:r>
          </w:p>
        </w:tc>
        <w:tc>
          <w:tcPr>
            <w:tcW w:type="dxa" w:w="2266"/>
          </w:tcPr>
          <w:p>
            <w:r>
              <w:rPr>
                <w:sz w:val="18"/>
              </w:rPr>
              <w:t>users, roles, refresh_tokens, user_sessions</w:t>
            </w:r>
          </w:p>
        </w:tc>
        <w:tc>
          <w:tcPr>
            <w:tcW w:type="dxa" w:w="2266"/>
          </w:tcPr>
          <w:p>
            <w:r>
              <w:rPr>
                <w:sz w:val="18"/>
              </w:rPr>
              <w:t>5433</w:t>
            </w:r>
          </w:p>
        </w:tc>
      </w:tr>
      <w:tr>
        <w:tc>
          <w:tcPr>
            <w:tcW w:type="dxa" w:w="2266"/>
          </w:tcPr>
          <w:p>
            <w:r>
              <w:rPr>
                <w:sz w:val="18"/>
              </w:rPr>
              <w:t>microfinancehub_client</w:t>
            </w:r>
          </w:p>
        </w:tc>
        <w:tc>
          <w:tcPr>
            <w:tcW w:type="dxa" w:w="2266"/>
          </w:tcPr>
          <w:p>
            <w:r>
              <w:rPr>
                <w:sz w:val="18"/>
              </w:rPr>
              <w:t>client-service</w:t>
            </w:r>
          </w:p>
        </w:tc>
        <w:tc>
          <w:tcPr>
            <w:tcW w:type="dxa" w:w="2266"/>
          </w:tcPr>
          <w:p>
            <w:r>
              <w:rPr>
                <w:sz w:val="18"/>
              </w:rPr>
              <w:t>clients, documents</w:t>
            </w:r>
          </w:p>
        </w:tc>
        <w:tc>
          <w:tcPr>
            <w:tcW w:type="dxa" w:w="2266"/>
          </w:tcPr>
          <w:p>
            <w:r>
              <w:rPr>
                <w:sz w:val="18"/>
              </w:rPr>
              <w:t>5433</w:t>
            </w:r>
          </w:p>
        </w:tc>
      </w:tr>
      <w:tr>
        <w:tc>
          <w:tcPr>
            <w:tcW w:type="dxa" w:w="2266"/>
          </w:tcPr>
          <w:p>
            <w:r>
              <w:rPr>
                <w:sz w:val="18"/>
              </w:rPr>
              <w:t>microfinancehub_account</w:t>
            </w:r>
          </w:p>
        </w:tc>
        <w:tc>
          <w:tcPr>
            <w:tcW w:type="dxa" w:w="2266"/>
          </w:tcPr>
          <w:p>
            <w:r>
              <w:rPr>
                <w:sz w:val="18"/>
              </w:rPr>
              <w:t>account-service</w:t>
            </w:r>
          </w:p>
        </w:tc>
        <w:tc>
          <w:tcPr>
            <w:tcW w:type="dxa" w:w="2266"/>
          </w:tcPr>
          <w:p>
            <w:r>
              <w:rPr>
                <w:sz w:val="18"/>
              </w:rPr>
              <w:t>compte, compte_events</w:t>
            </w:r>
          </w:p>
        </w:tc>
        <w:tc>
          <w:tcPr>
            <w:tcW w:type="dxa" w:w="2266"/>
          </w:tcPr>
          <w:p>
            <w:r>
              <w:rPr>
                <w:sz w:val="18"/>
              </w:rPr>
              <w:t>5433</w:t>
            </w:r>
          </w:p>
        </w:tc>
      </w:tr>
      <w:tr>
        <w:tc>
          <w:tcPr>
            <w:tcW w:type="dxa" w:w="2266"/>
          </w:tcPr>
          <w:p>
            <w:r>
              <w:rPr>
                <w:sz w:val="18"/>
              </w:rPr>
              <w:t>microfinancehub_loan</w:t>
            </w:r>
          </w:p>
        </w:tc>
        <w:tc>
          <w:tcPr>
            <w:tcW w:type="dxa" w:w="2266"/>
          </w:tcPr>
          <w:p>
            <w:r>
              <w:rPr>
                <w:sz w:val="18"/>
              </w:rPr>
              <w:t>loan-service</w:t>
            </w:r>
          </w:p>
        </w:tc>
        <w:tc>
          <w:tcPr>
            <w:tcW w:type="dxa" w:w="2266"/>
          </w:tcPr>
          <w:p>
            <w:r>
              <w:rPr>
                <w:sz w:val="18"/>
              </w:rPr>
              <w:t>loans, loan_applications, loan_schedules</w:t>
            </w:r>
          </w:p>
        </w:tc>
        <w:tc>
          <w:tcPr>
            <w:tcW w:type="dxa" w:w="2266"/>
          </w:tcPr>
          <w:p>
            <w:r>
              <w:rPr>
                <w:sz w:val="18"/>
              </w:rPr>
              <w:t>5433</w:t>
            </w:r>
          </w:p>
        </w:tc>
      </w:tr>
      <w:tr>
        <w:tc>
          <w:tcPr>
            <w:tcW w:type="dxa" w:w="2266"/>
          </w:tcPr>
          <w:p>
            <w:r>
              <w:rPr>
                <w:sz w:val="18"/>
              </w:rPr>
              <w:t>microfinancehub_repayment</w:t>
            </w:r>
          </w:p>
        </w:tc>
        <w:tc>
          <w:tcPr>
            <w:tcW w:type="dxa" w:w="2266"/>
          </w:tcPr>
          <w:p>
            <w:r>
              <w:rPr>
                <w:sz w:val="18"/>
              </w:rPr>
              <w:t>repayment-service</w:t>
            </w:r>
          </w:p>
        </w:tc>
        <w:tc>
          <w:tcPr>
            <w:tcW w:type="dxa" w:w="2266"/>
          </w:tcPr>
          <w:p>
            <w:r>
              <w:rPr>
                <w:sz w:val="18"/>
              </w:rPr>
              <w:t>payments, repayments, schedules</w:t>
            </w:r>
          </w:p>
        </w:tc>
        <w:tc>
          <w:tcPr>
            <w:tcW w:type="dxa" w:w="2266"/>
          </w:tcPr>
          <w:p>
            <w:r>
              <w:rPr>
                <w:sz w:val="18"/>
              </w:rPr>
              <w:t>5433</w:t>
            </w:r>
          </w:p>
        </w:tc>
      </w:tr>
      <w:tr>
        <w:tc>
          <w:tcPr>
            <w:tcW w:type="dxa" w:w="2266"/>
          </w:tcPr>
          <w:p>
            <w:r>
              <w:rPr>
                <w:sz w:val="18"/>
              </w:rPr>
              <w:t>microfinancehub_reporting</w:t>
            </w:r>
          </w:p>
        </w:tc>
        <w:tc>
          <w:tcPr>
            <w:tcW w:type="dxa" w:w="2266"/>
          </w:tcPr>
          <w:p>
            <w:r>
              <w:rPr>
                <w:sz w:val="18"/>
              </w:rPr>
              <w:t>reporting-service</w:t>
            </w:r>
          </w:p>
        </w:tc>
        <w:tc>
          <w:tcPr>
            <w:tcW w:type="dxa" w:w="2266"/>
          </w:tcPr>
          <w:p>
            <w:r>
              <w:rPr>
                <w:sz w:val="18"/>
              </w:rPr>
              <w:t>reports, report_data</w:t>
            </w:r>
          </w:p>
        </w:tc>
        <w:tc>
          <w:tcPr>
            <w:tcW w:type="dxa" w:w="2266"/>
          </w:tcPr>
          <w:p>
            <w:r>
              <w:rPr>
                <w:sz w:val="18"/>
              </w:rPr>
              <w:t>5433</w:t>
            </w:r>
          </w:p>
        </w:tc>
      </w:tr>
      <w:tr>
        <w:tc>
          <w:tcPr>
            <w:tcW w:type="dxa" w:w="2266"/>
          </w:tcPr>
          <w:p>
            <w:r>
              <w:rPr>
                <w:sz w:val="18"/>
              </w:rPr>
              <w:t>microfinancehub_agency</w:t>
            </w:r>
          </w:p>
        </w:tc>
        <w:tc>
          <w:tcPr>
            <w:tcW w:type="dxa" w:w="2266"/>
          </w:tcPr>
          <w:p>
            <w:r>
              <w:rPr>
                <w:sz w:val="18"/>
              </w:rPr>
              <w:t>agency-service</w:t>
            </w:r>
          </w:p>
        </w:tc>
        <w:tc>
          <w:tcPr>
            <w:tcW w:type="dxa" w:w="2266"/>
          </w:tcPr>
          <w:p>
            <w:r>
              <w:rPr>
                <w:sz w:val="18"/>
              </w:rPr>
              <w:t>agencies, agent_assignments, agency_stats</w:t>
            </w:r>
          </w:p>
        </w:tc>
        <w:tc>
          <w:tcPr>
            <w:tcW w:type="dxa" w:w="2266"/>
          </w:tcPr>
          <w:p>
            <w:r>
              <w:rPr>
                <w:sz w:val="18"/>
              </w:rPr>
              <w:t>5433</w:t>
            </w:r>
          </w:p>
        </w:tc>
      </w:tr>
      <w:tr>
        <w:tc>
          <w:tcPr>
            <w:tcW w:type="dxa" w:w="2266"/>
          </w:tcPr>
          <w:p>
            <w:r>
              <w:rPr>
                <w:sz w:val="18"/>
              </w:rPr>
              <w:t>microfinancehub_configuration</w:t>
            </w:r>
          </w:p>
        </w:tc>
        <w:tc>
          <w:tcPr>
            <w:tcW w:type="dxa" w:w="2266"/>
          </w:tcPr>
          <w:p>
            <w:r>
              <w:rPr>
                <w:sz w:val="18"/>
              </w:rPr>
              <w:t>configuration-service</w:t>
            </w:r>
          </w:p>
        </w:tc>
        <w:tc>
          <w:tcPr>
            <w:tcW w:type="dxa" w:w="2266"/>
          </w:tcPr>
          <w:p>
            <w:r>
              <w:rPr>
                <w:sz w:val="18"/>
              </w:rPr>
              <w:t>mfi_configs, loan_products</w:t>
            </w:r>
          </w:p>
        </w:tc>
        <w:tc>
          <w:tcPr>
            <w:tcW w:type="dxa" w:w="2266"/>
          </w:tcPr>
          <w:p>
            <w:r>
              <w:rPr>
                <w:sz w:val="18"/>
              </w:rPr>
              <w:t>5433</w:t>
            </w:r>
          </w:p>
        </w:tc>
      </w:tr>
      <w:tr>
        <w:tc>
          <w:tcPr>
            <w:tcW w:type="dxa" w:w="2266"/>
          </w:tcPr>
          <w:p>
            <w:r>
              <w:rPr>
                <w:sz w:val="18"/>
              </w:rPr>
              <w:t>microfinancehub_transaction</w:t>
            </w:r>
          </w:p>
        </w:tc>
        <w:tc>
          <w:tcPr>
            <w:tcW w:type="dxa" w:w="2266"/>
          </w:tcPr>
          <w:p>
            <w:r>
              <w:rPr>
                <w:sz w:val="18"/>
              </w:rPr>
              <w:t>transaction-service</w:t>
            </w:r>
          </w:p>
        </w:tc>
        <w:tc>
          <w:tcPr>
            <w:tcW w:type="dxa" w:w="2266"/>
          </w:tcPr>
          <w:p>
            <w:r>
              <w:rPr>
                <w:sz w:val="18"/>
              </w:rPr>
              <w:t>transactions, campay_webhooks</w:t>
            </w:r>
          </w:p>
        </w:tc>
        <w:tc>
          <w:tcPr>
            <w:tcW w:type="dxa" w:w="2266"/>
          </w:tcPr>
          <w:p>
            <w:r>
              <w:rPr>
                <w:sz w:val="18"/>
              </w:rPr>
              <w:t>5433</w:t>
            </w:r>
          </w:p>
        </w:tc>
      </w:tr>
      <w:tr>
        <w:tc>
          <w:tcPr>
            <w:tcW w:type="dxa" w:w="2266"/>
          </w:tcPr>
          <w:p>
            <w:r>
              <w:rPr>
                <w:sz w:val="18"/>
              </w:rPr>
              <w:t>microfinancehub_notification</w:t>
            </w:r>
          </w:p>
        </w:tc>
        <w:tc>
          <w:tcPr>
            <w:tcW w:type="dxa" w:w="2266"/>
          </w:tcPr>
          <w:p>
            <w:r>
              <w:rPr>
                <w:sz w:val="18"/>
              </w:rPr>
              <w:t>notification-service</w:t>
            </w:r>
          </w:p>
        </w:tc>
        <w:tc>
          <w:tcPr>
            <w:tcW w:type="dxa" w:w="2266"/>
          </w:tcPr>
          <w:p>
            <w:r>
              <w:rPr>
                <w:sz w:val="18"/>
              </w:rPr>
              <w:t>notifications, notification_logs</w:t>
            </w:r>
          </w:p>
        </w:tc>
        <w:tc>
          <w:tcPr>
            <w:tcW w:type="dxa" w:w="2266"/>
          </w:tcPr>
          <w:p>
            <w:r>
              <w:rPr>
                <w:sz w:val="18"/>
              </w:rPr>
              <w:t>5433</w:t>
            </w:r>
          </w:p>
        </w:tc>
      </w:tr>
    </w:tbl>
    <w:p/>
    <w:p>
      <w:pPr>
        <w:pStyle w:val="Heading2"/>
        <w:spacing w:before="240" w:after="120"/>
      </w:pPr>
      <w:r>
        <w:rPr>
          <w:color w:val="064E3B"/>
        </w:rPr>
        <w:t>7.2 Enums et Types Metier</w:t>
      </w:r>
    </w:p>
    <w:tbl>
      <w:tblPr>
        <w:tblStyle w:val="LightShading-Accent6"/>
        <w:tblW w:type="auto" w:w="0"/>
        <w:jc w:val="center"/>
        <w:tblLook w:firstColumn="1" w:firstRow="1" w:lastColumn="0" w:lastRow="0" w:noHBand="0" w:noVBand="1" w:val="04A0"/>
      </w:tblPr>
      <w:tblGrid>
        <w:gridCol w:w="3022"/>
        <w:gridCol w:w="3022"/>
        <w:gridCol w:w="3022"/>
      </w:tblGrid>
      <w:tr>
        <w:tc>
          <w:tcPr>
            <w:tcW w:type="dxa" w:w="3022"/>
          </w:tcPr>
          <w:p>
            <w:r>
              <w:rPr>
                <w:b/>
                <w:sz w:val="19"/>
              </w:rPr>
              <w:t>Enum</w:t>
            </w:r>
          </w:p>
        </w:tc>
        <w:tc>
          <w:tcPr>
            <w:tcW w:type="dxa" w:w="3022"/>
          </w:tcPr>
          <w:p>
            <w:r>
              <w:rPr>
                <w:b/>
                <w:sz w:val="19"/>
              </w:rPr>
              <w:t>Service</w:t>
            </w:r>
          </w:p>
        </w:tc>
        <w:tc>
          <w:tcPr>
            <w:tcW w:type="dxa" w:w="3022"/>
          </w:tcPr>
          <w:p>
            <w:r>
              <w:rPr>
                <w:b/>
                <w:sz w:val="19"/>
              </w:rPr>
              <w:t>Valeurs</w:t>
            </w:r>
          </w:p>
        </w:tc>
      </w:tr>
      <w:tr>
        <w:tc>
          <w:tcPr>
            <w:tcW w:type="dxa" w:w="3022"/>
          </w:tcPr>
          <w:p>
            <w:r>
              <w:rPr>
                <w:sz w:val="18"/>
              </w:rPr>
              <w:t>UserRoleType</w:t>
            </w:r>
          </w:p>
        </w:tc>
        <w:tc>
          <w:tcPr>
            <w:tcW w:type="dxa" w:w="3022"/>
          </w:tcPr>
          <w:p>
            <w:r>
              <w:rPr>
                <w:sz w:val="18"/>
              </w:rPr>
              <w:t>Auth</w:t>
            </w:r>
          </w:p>
        </w:tc>
        <w:tc>
          <w:tcPr>
            <w:tcW w:type="dxa" w:w="3022"/>
          </w:tcPr>
          <w:p>
            <w:r>
              <w:rPr>
                <w:sz w:val="18"/>
              </w:rPr>
              <w:t>ADMIN, DIRECTEUR_AGENCE, AGENT, CLIENT</w:t>
            </w:r>
          </w:p>
        </w:tc>
      </w:tr>
      <w:tr>
        <w:tc>
          <w:tcPr>
            <w:tcW w:type="dxa" w:w="3022"/>
          </w:tcPr>
          <w:p>
            <w:r>
              <w:rPr>
                <w:sz w:val="18"/>
              </w:rPr>
              <w:t>ClientStatus</w:t>
            </w:r>
          </w:p>
        </w:tc>
        <w:tc>
          <w:tcPr>
            <w:tcW w:type="dxa" w:w="3022"/>
          </w:tcPr>
          <w:p>
            <w:r>
              <w:rPr>
                <w:sz w:val="18"/>
              </w:rPr>
              <w:t>Client</w:t>
            </w:r>
          </w:p>
        </w:tc>
        <w:tc>
          <w:tcPr>
            <w:tcW w:type="dxa" w:w="3022"/>
          </w:tcPr>
          <w:p>
            <w:r>
              <w:rPr>
                <w:sz w:val="18"/>
              </w:rPr>
              <w:t>ACTIVE, INACTIVE, PENDING, SUSPENDED</w:t>
            </w:r>
          </w:p>
        </w:tc>
      </w:tr>
      <w:tr>
        <w:tc>
          <w:tcPr>
            <w:tcW w:type="dxa" w:w="3022"/>
          </w:tcPr>
          <w:p>
            <w:r>
              <w:rPr>
                <w:sz w:val="18"/>
              </w:rPr>
              <w:t>StatutCompte</w:t>
            </w:r>
          </w:p>
        </w:tc>
        <w:tc>
          <w:tcPr>
            <w:tcW w:type="dxa" w:w="3022"/>
          </w:tcPr>
          <w:p>
            <w:r>
              <w:rPr>
                <w:sz w:val="18"/>
              </w:rPr>
              <w:t>Account</w:t>
            </w:r>
          </w:p>
        </w:tc>
        <w:tc>
          <w:tcPr>
            <w:tcW w:type="dxa" w:w="3022"/>
          </w:tcPr>
          <w:p>
            <w:r>
              <w:rPr>
                <w:sz w:val="18"/>
              </w:rPr>
              <w:t>ACTIF, INACTIF, SUSPENDU, BLOQUE, FERME, EN_ATTENTE_VALIDATION, REJETE</w:t>
            </w:r>
          </w:p>
        </w:tc>
      </w:tr>
      <w:tr>
        <w:tc>
          <w:tcPr>
            <w:tcW w:type="dxa" w:w="3022"/>
          </w:tcPr>
          <w:p>
            <w:r>
              <w:rPr>
                <w:sz w:val="18"/>
              </w:rPr>
              <w:t>TypeCompte</w:t>
            </w:r>
          </w:p>
        </w:tc>
        <w:tc>
          <w:tcPr>
            <w:tcW w:type="dxa" w:w="3022"/>
          </w:tcPr>
          <w:p>
            <w:r>
              <w:rPr>
                <w:sz w:val="18"/>
              </w:rPr>
              <w:t>Account</w:t>
            </w:r>
          </w:p>
        </w:tc>
        <w:tc>
          <w:tcPr>
            <w:tcW w:type="dxa" w:w="3022"/>
          </w:tcPr>
          <w:p>
            <w:r>
              <w:rPr>
                <w:sz w:val="18"/>
              </w:rPr>
              <w:t>COURANT, EPARGNE, MICRO_EPARGNE, DEPOT_A_TERME, CREDIT</w:t>
            </w:r>
          </w:p>
        </w:tc>
      </w:tr>
      <w:tr>
        <w:tc>
          <w:tcPr>
            <w:tcW w:type="dxa" w:w="3022"/>
          </w:tcPr>
          <w:p>
            <w:r>
              <w:rPr>
                <w:sz w:val="18"/>
              </w:rPr>
              <w:t>LoanStatus</w:t>
            </w:r>
          </w:p>
        </w:tc>
        <w:tc>
          <w:tcPr>
            <w:tcW w:type="dxa" w:w="3022"/>
          </w:tcPr>
          <w:p>
            <w:r>
              <w:rPr>
                <w:sz w:val="18"/>
              </w:rPr>
              <w:t>Loan</w:t>
            </w:r>
          </w:p>
        </w:tc>
        <w:tc>
          <w:tcPr>
            <w:tcW w:type="dxa" w:w="3022"/>
          </w:tcPr>
          <w:p>
            <w:r>
              <w:rPr>
                <w:sz w:val="18"/>
              </w:rPr>
              <w:t>PENDING, APPROVED, REJECTED, ACTIVE, COMPLETED, DEFAULT</w:t>
            </w:r>
          </w:p>
        </w:tc>
      </w:tr>
      <w:tr>
        <w:tc>
          <w:tcPr>
            <w:tcW w:type="dxa" w:w="3022"/>
          </w:tcPr>
          <w:p>
            <w:r>
              <w:rPr>
                <w:sz w:val="18"/>
              </w:rPr>
              <w:t>PaymentStatus</w:t>
            </w:r>
          </w:p>
        </w:tc>
        <w:tc>
          <w:tcPr>
            <w:tcW w:type="dxa" w:w="3022"/>
          </w:tcPr>
          <w:p>
            <w:r>
              <w:rPr>
                <w:sz w:val="18"/>
              </w:rPr>
              <w:t>Repayment</w:t>
            </w:r>
          </w:p>
        </w:tc>
        <w:tc>
          <w:tcPr>
            <w:tcW w:type="dxa" w:w="3022"/>
          </w:tcPr>
          <w:p>
            <w:r>
              <w:rPr>
                <w:sz w:val="18"/>
              </w:rPr>
              <w:t>PENDING, PENDING_VALIDATION, COMPLETED, FAILED</w:t>
            </w:r>
          </w:p>
        </w:tc>
      </w:tr>
      <w:tr>
        <w:tc>
          <w:tcPr>
            <w:tcW w:type="dxa" w:w="3022"/>
          </w:tcPr>
          <w:p>
            <w:r>
              <w:rPr>
                <w:sz w:val="18"/>
              </w:rPr>
              <w:t>PaymentMethod</w:t>
            </w:r>
          </w:p>
        </w:tc>
        <w:tc>
          <w:tcPr>
            <w:tcW w:type="dxa" w:w="3022"/>
          </w:tcPr>
          <w:p>
            <w:r>
              <w:rPr>
                <w:sz w:val="18"/>
              </w:rPr>
              <w:t>Repayment</w:t>
            </w:r>
          </w:p>
        </w:tc>
        <w:tc>
          <w:tcPr>
            <w:tcW w:type="dxa" w:w="3022"/>
          </w:tcPr>
          <w:p>
            <w:r>
              <w:rPr>
                <w:sz w:val="18"/>
              </w:rPr>
              <w:t>CASH, MOBILE_MONEY, BANK_TRANSFER, CHECK</w:t>
            </w:r>
          </w:p>
        </w:tc>
      </w:tr>
      <w:tr>
        <w:tc>
          <w:tcPr>
            <w:tcW w:type="dxa" w:w="3022"/>
          </w:tcPr>
          <w:p>
            <w:r>
              <w:rPr>
                <w:sz w:val="18"/>
              </w:rPr>
              <w:t>TypeNotification</w:t>
            </w:r>
          </w:p>
        </w:tc>
        <w:tc>
          <w:tcPr>
            <w:tcW w:type="dxa" w:w="3022"/>
          </w:tcPr>
          <w:p>
            <w:r>
              <w:rPr>
                <w:sz w:val="18"/>
              </w:rPr>
              <w:t>Notification</w:t>
            </w:r>
          </w:p>
        </w:tc>
        <w:tc>
          <w:tcPr>
            <w:tcW w:type="dxa" w:w="3022"/>
          </w:tcPr>
          <w:p>
            <w:r>
              <w:rPr>
                <w:sz w:val="18"/>
              </w:rPr>
              <w:t>DEMANDE_PRET, APPROBATION_PRET, CONFIRMATION_REMB, ALERTE_RETARD, ...</w:t>
            </w:r>
          </w:p>
        </w:tc>
      </w:tr>
    </w:tbl>
    <w:p/>
    <w:p>
      <w:r>
        <w:br w:type="page"/>
      </w:r>
    </w:p>
    <w:p>
      <w:pPr>
        <w:pStyle w:val="Heading1"/>
        <w:spacing w:before="240" w:after="120"/>
      </w:pPr>
      <w:r>
        <w:rPr>
          <w:color w:val="064E3B"/>
        </w:rPr>
        <w:t>8. Securite et Authentification</w:t>
      </w:r>
    </w:p>
    <w:p>
      <w:pPr>
        <w:spacing w:after="120"/>
      </w:pPr>
      <w:r>
        <w:rPr>
          <w:b w:val="0"/>
          <w:sz w:val="22"/>
        </w:rPr>
        <w:t>La securite est implementee a plusieurs niveaux pour garantir la confidentialite et l'integrite des donnees financieres.</w:t>
      </w:r>
    </w:p>
    <w:p>
      <w:pPr>
        <w:pStyle w:val="Heading2"/>
        <w:spacing w:before="240" w:after="120"/>
      </w:pPr>
      <w:r>
        <w:rPr>
          <w:color w:val="064E3B"/>
        </w:rPr>
        <w:t>8.1 JWT et RBAC</w:t>
      </w:r>
    </w:p>
    <w:p>
      <w:pPr>
        <w:spacing w:after="120"/>
      </w:pPr>
      <w:r>
        <w:rPr>
          <w:b w:val="0"/>
          <w:sz w:val="22"/>
        </w:rPr>
        <w:t>Chaque requete authentifiee inclut un Bearer Token JWT signe avec une cle secrete partagee (HMAC-SHA256). Le token contient les claims suivants :</w:t>
      </w:r>
    </w:p>
    <w:p>
      <w:pPr>
        <w:pStyle w:val="ListBullet"/>
        <w:spacing w:after="60"/>
      </w:pPr>
      <w:r>
        <w:rPr>
          <w:sz w:val="21"/>
        </w:rPr>
        <w:t>sub : email de l'utilisateur (identifiant unique)</w:t>
      </w:r>
    </w:p>
    <w:p>
      <w:pPr>
        <w:pStyle w:val="ListBullet"/>
        <w:spacing w:after="60"/>
      </w:pPr>
      <w:r>
        <w:rPr>
          <w:sz w:val="21"/>
        </w:rPr>
        <w:t>role : role utilisateur (ADMIN / DIRECTEUR_AGENCE / AGENT / CLIENT)</w:t>
      </w:r>
    </w:p>
    <w:p>
      <w:pPr>
        <w:pStyle w:val="ListBullet"/>
        <w:spacing w:after="60"/>
      </w:pPr>
      <w:r>
        <w:rPr>
          <w:sz w:val="21"/>
        </w:rPr>
        <w:t>firstName / lastName : nom complet</w:t>
      </w:r>
    </w:p>
    <w:p>
      <w:pPr>
        <w:pStyle w:val="ListBullet"/>
        <w:spacing w:after="60"/>
      </w:pPr>
      <w:r>
        <w:rPr>
          <w:sz w:val="21"/>
        </w:rPr>
        <w:t>agencyId / agencyCode : identifiant de l'agence (pour agents et directeurs)</w:t>
      </w:r>
    </w:p>
    <w:p>
      <w:pPr>
        <w:pStyle w:val="ListBullet"/>
        <w:spacing w:after="60"/>
      </w:pPr>
      <w:r>
        <w:rPr>
          <w:sz w:val="21"/>
        </w:rPr>
        <w:t>exp : date d'expiration (24h par defaut)</w:t>
      </w:r>
    </w:p>
    <w:p>
      <w:pPr>
        <w:pStyle w:val="Heading2"/>
        <w:spacing w:before="240" w:after="120"/>
      </w:pPr>
      <w:r>
        <w:rPr>
          <w:color w:val="064E3B"/>
        </w:rPr>
        <w:t>8.2 Controle d'Acces par Endpoint</w:t>
      </w:r>
    </w:p>
    <w:tbl>
      <w:tblPr>
        <w:tblStyle w:val="LightShading-Accent6"/>
        <w:tblW w:type="auto" w:w="0"/>
        <w:jc w:val="center"/>
        <w:tblLook w:firstColumn="1" w:firstRow="1" w:lastColumn="0" w:lastRow="0" w:noHBand="0" w:noVBand="1" w:val="04A0"/>
      </w:tblPr>
      <w:tblGrid>
        <w:gridCol w:w="4533"/>
        <w:gridCol w:w="4533"/>
      </w:tblGrid>
      <w:tr>
        <w:tc>
          <w:tcPr>
            <w:tcW w:type="dxa" w:w="4533"/>
          </w:tcPr>
          <w:p>
            <w:r>
              <w:rPr>
                <w:b/>
                <w:sz w:val="19"/>
              </w:rPr>
              <w:t>Endpoint</w:t>
            </w:r>
          </w:p>
        </w:tc>
        <w:tc>
          <w:tcPr>
            <w:tcW w:type="dxa" w:w="4533"/>
          </w:tcPr>
          <w:p>
            <w:r>
              <w:rPr>
                <w:b/>
                <w:sz w:val="19"/>
              </w:rPr>
              <w:t>Roles Autorises</w:t>
            </w:r>
          </w:p>
        </w:tc>
      </w:tr>
      <w:tr>
        <w:tc>
          <w:tcPr>
            <w:tcW w:type="dxa" w:w="4533"/>
          </w:tcPr>
          <w:p>
            <w:r>
              <w:rPr>
                <w:sz w:val="18"/>
              </w:rPr>
              <w:t>POST /api/loans/approve</w:t>
            </w:r>
          </w:p>
        </w:tc>
        <w:tc>
          <w:tcPr>
            <w:tcW w:type="dxa" w:w="4533"/>
          </w:tcPr>
          <w:p>
            <w:r>
              <w:rPr>
                <w:sz w:val="18"/>
              </w:rPr>
              <w:t>ADMIN, DIRECTEUR_AGENCE</w:t>
            </w:r>
          </w:p>
        </w:tc>
      </w:tr>
      <w:tr>
        <w:tc>
          <w:tcPr>
            <w:tcW w:type="dxa" w:w="4533"/>
          </w:tcPr>
          <w:p>
            <w:r>
              <w:rPr>
                <w:sz w:val="18"/>
              </w:rPr>
              <w:t>GET /api/clients/by-agent/{email}</w:t>
            </w:r>
          </w:p>
        </w:tc>
        <w:tc>
          <w:tcPr>
            <w:tcW w:type="dxa" w:w="4533"/>
          </w:tcPr>
          <w:p>
            <w:r>
              <w:rPr>
                <w:sz w:val="18"/>
              </w:rPr>
              <w:t>ADMIN, DIRECTEUR_AGENCE</w:t>
            </w:r>
          </w:p>
        </w:tc>
      </w:tr>
      <w:tr>
        <w:tc>
          <w:tcPr>
            <w:tcW w:type="dxa" w:w="4533"/>
          </w:tcPr>
          <w:p>
            <w:r>
              <w:rPr>
                <w:sz w:val="18"/>
              </w:rPr>
              <w:t>POST /api/transactions/depot/**</w:t>
            </w:r>
          </w:p>
        </w:tc>
        <w:tc>
          <w:tcPr>
            <w:tcW w:type="dxa" w:w="4533"/>
          </w:tcPr>
          <w:p>
            <w:r>
              <w:rPr>
                <w:sz w:val="18"/>
              </w:rPr>
              <w:t>CLIENT, AGENT, ADMIN, DIRECTEUR_AGENCE</w:t>
            </w:r>
          </w:p>
        </w:tc>
      </w:tr>
      <w:tr>
        <w:tc>
          <w:tcPr>
            <w:tcW w:type="dxa" w:w="4533"/>
          </w:tcPr>
          <w:p>
            <w:r>
              <w:rPr>
                <w:sz w:val="18"/>
              </w:rPr>
              <w:t>PATCH /api/comptes/{id}/statut</w:t>
            </w:r>
          </w:p>
        </w:tc>
        <w:tc>
          <w:tcPr>
            <w:tcW w:type="dxa" w:w="4533"/>
          </w:tcPr>
          <w:p>
            <w:r>
              <w:rPr>
                <w:sz w:val="18"/>
              </w:rPr>
              <w:t>ADMIN, DIRECTEUR_AGENCE</w:t>
            </w:r>
          </w:p>
        </w:tc>
      </w:tr>
      <w:tr>
        <w:tc>
          <w:tcPr>
            <w:tcW w:type="dxa" w:w="4533"/>
          </w:tcPr>
          <w:p>
            <w:r>
              <w:rPr>
                <w:sz w:val="18"/>
              </w:rPr>
              <w:t>GET /api/agency/my-clients</w:t>
            </w:r>
          </w:p>
        </w:tc>
        <w:tc>
          <w:tcPr>
            <w:tcW w:type="dxa" w:w="4533"/>
          </w:tcPr>
          <w:p>
            <w:r>
              <w:rPr>
                <w:sz w:val="18"/>
              </w:rPr>
              <w:t>DIRECTEUR_AGENCE, ADMIN</w:t>
            </w:r>
          </w:p>
        </w:tc>
      </w:tr>
      <w:tr>
        <w:tc>
          <w:tcPr>
            <w:tcW w:type="dxa" w:w="4533"/>
          </w:tcPr>
          <w:p>
            <w:r>
              <w:rPr>
                <w:sz w:val="18"/>
              </w:rPr>
              <w:t>POST /api/clients/internal/by-agent-emails</w:t>
            </w:r>
          </w:p>
        </w:tc>
        <w:tc>
          <w:tcPr>
            <w:tcW w:type="dxa" w:w="4533"/>
          </w:tcPr>
          <w:p>
            <w:r>
              <w:rPr>
                <w:sz w:val="18"/>
              </w:rPr>
              <w:t>Public (interne)</w:t>
            </w:r>
          </w:p>
        </w:tc>
      </w:tr>
      <w:tr>
        <w:tc>
          <w:tcPr>
            <w:tcW w:type="dxa" w:w="4533"/>
          </w:tcPr>
          <w:p>
            <w:r>
              <w:rPr>
                <w:sz w:val="18"/>
              </w:rPr>
              <w:t>DELETE /api/comptes/{id}</w:t>
            </w:r>
          </w:p>
        </w:tc>
        <w:tc>
          <w:tcPr>
            <w:tcW w:type="dxa" w:w="4533"/>
          </w:tcPr>
          <w:p>
            <w:r>
              <w:rPr>
                <w:sz w:val="18"/>
              </w:rPr>
              <w:t>ADMIN uniquement</w:t>
            </w:r>
          </w:p>
        </w:tc>
      </w:tr>
    </w:tbl>
    <w:p/>
    <w:p>
      <w:pPr>
        <w:pStyle w:val="Heading2"/>
        <w:spacing w:before="240" w:after="120"/>
      </w:pPr>
      <w:r>
        <w:rPr>
          <w:color w:val="064E3B"/>
        </w:rPr>
        <w:t>8.3 Mesures de Securite Additionnelles</w:t>
      </w:r>
    </w:p>
    <w:p>
      <w:pPr>
        <w:pStyle w:val="ListBullet"/>
        <w:spacing w:after="60"/>
      </w:pPr>
      <w:r>
        <w:rPr>
          <w:sz w:val="21"/>
        </w:rPr>
        <w:t>BCrypt (force 12) pour le hachage des mots de passe</w:t>
      </w:r>
    </w:p>
    <w:p>
      <w:pPr>
        <w:pStyle w:val="ListBullet"/>
        <w:spacing w:after="60"/>
      </w:pPr>
      <w:r>
        <w:rPr>
          <w:sz w:val="21"/>
        </w:rPr>
        <w:t>Rate Limiting (via filtre personnalise) pour limiter les tentatives de connexion</w:t>
      </w:r>
    </w:p>
    <w:p>
      <w:pPr>
        <w:pStyle w:val="ListBullet"/>
        <w:spacing w:after="60"/>
      </w:pPr>
      <w:r>
        <w:rPr>
          <w:sz w:val="21"/>
        </w:rPr>
        <w:t>Sessions Redis avec TTL pour l'invalidation centralisee des sessions</w:t>
      </w:r>
    </w:p>
    <w:p>
      <w:pPr>
        <w:pStyle w:val="ListBullet"/>
        <w:spacing w:after="60"/>
      </w:pPr>
      <w:r>
        <w:rPr>
          <w:sz w:val="21"/>
        </w:rPr>
        <w:t>CORS configure par service (origines autorisees explicitement)</w:t>
      </w:r>
    </w:p>
    <w:p>
      <w:pPr>
        <w:pStyle w:val="ListBullet"/>
        <w:spacing w:after="60"/>
      </w:pPr>
      <w:r>
        <w:rPr>
          <w:sz w:val="21"/>
        </w:rPr>
        <w:t>Validation des entrees avec Bean Validation (@Valid, @NotNull, etc.)</w:t>
      </w:r>
    </w:p>
    <w:p>
      <w:pPr>
        <w:pStyle w:val="ListBullet"/>
        <w:spacing w:after="60"/>
      </w:pPr>
      <w:r>
        <w:rPr>
          <w:sz w:val="21"/>
        </w:rPr>
        <w:t>Tokens de service internes (ADMIN JWT) pour les appels Feign inter-services</w:t>
      </w:r>
    </w:p>
    <w:p>
      <w:pPr>
        <w:pStyle w:val="ListBullet"/>
        <w:spacing w:after="60"/>
      </w:pPr>
      <w:r>
        <w:rPr>
          <w:sz w:val="21"/>
        </w:rPr>
        <w:t>Secrets externalises via variables d'environnement Docker</w:t>
      </w:r>
    </w:p>
    <w:p>
      <w:r>
        <w:br w:type="page"/>
      </w:r>
    </w:p>
    <w:p>
      <w:pPr>
        <w:pStyle w:val="Heading1"/>
        <w:spacing w:before="240" w:after="120"/>
      </w:pPr>
      <w:r>
        <w:rPr>
          <w:color w:val="064E3B"/>
        </w:rPr>
        <w:t>9. Services Developpes — Detail Fonctionnel</w:t>
      </w:r>
    </w:p>
    <w:p>
      <w:pPr>
        <w:pStyle w:val="Heading2"/>
        <w:spacing w:before="240" w:after="120"/>
      </w:pPr>
      <w:r>
        <w:rPr>
          <w:color w:val="064E3B"/>
        </w:rPr>
        <w:t>Auth Service (8080)</w:t>
      </w:r>
    </w:p>
    <w:p>
      <w:pPr>
        <w:spacing w:after="120"/>
      </w:pPr>
      <w:r>
        <w:rPr>
          <w:b w:val="0"/>
          <w:sz w:val="22"/>
        </w:rPr>
        <w:t>Gere l'inscription, la connexion, et la gestion des tokens. Supporte 4 roles (ADMIN, DIRECTEUR_AGENCE, AGENT, CLIENT). Les tokens JWT incluent le role, les noms et l'agencyId. Les sessions sont stockees dans Redis avec invalidation a la deconnexion. Inclut la recuperation de mot de passe par email.</w:t>
      </w:r>
    </w:p>
    <w:p>
      <w:pPr>
        <w:spacing w:after="120"/>
      </w:pPr>
      <w:r>
        <w:rPr>
          <w:b/>
          <w:sz w:val="22"/>
        </w:rPr>
        <w:t>Endpoints principaux :</w:t>
      </w:r>
    </w:p>
    <w:p>
      <w:pPr>
        <w:pStyle w:val="ListBullet"/>
        <w:spacing w:after="60"/>
      </w:pPr>
      <w:r>
        <w:rPr>
          <w:sz w:val="21"/>
        </w:rPr>
        <w:t>POST /auth/login — Authentification + generation JWT</w:t>
      </w:r>
    </w:p>
    <w:p>
      <w:pPr>
        <w:pStyle w:val="ListBullet"/>
        <w:spacing w:after="60"/>
      </w:pPr>
      <w:r>
        <w:rPr>
          <w:sz w:val="21"/>
        </w:rPr>
        <w:t>POST /auth/register — Inscription client</w:t>
      </w:r>
    </w:p>
    <w:p>
      <w:pPr>
        <w:pStyle w:val="ListBullet"/>
        <w:spacing w:after="60"/>
      </w:pPr>
      <w:r>
        <w:rPr>
          <w:sz w:val="21"/>
        </w:rPr>
        <w:t>POST /auth/agent/create — Creation agent (admin)</w:t>
      </w:r>
    </w:p>
    <w:p>
      <w:pPr>
        <w:pStyle w:val="ListBullet"/>
        <w:spacing w:after="60"/>
      </w:pPr>
      <w:r>
        <w:rPr>
          <w:sz w:val="21"/>
        </w:rPr>
        <w:t>GET /auth/me — Profil utilisateur connecte</w:t>
      </w:r>
    </w:p>
    <w:p>
      <w:pPr>
        <w:pStyle w:val="ListBullet"/>
        <w:spacing w:after="60"/>
      </w:pPr>
      <w:r>
        <w:rPr>
          <w:sz w:val="21"/>
        </w:rPr>
        <w:t>PUT /internal/users/{id}/agency — Mise a jour agence (interne)</w:t>
      </w:r>
    </w:p>
    <w:p/>
    <w:p>
      <w:pPr>
        <w:pStyle w:val="Heading2"/>
        <w:spacing w:before="240" w:after="120"/>
      </w:pPr>
      <w:r>
        <w:rPr>
          <w:color w:val="064E3B"/>
        </w:rPr>
        <w:t>Client Service (8081)</w:t>
      </w:r>
    </w:p>
    <w:p>
      <w:pPr>
        <w:spacing w:after="120"/>
      </w:pPr>
      <w:r>
        <w:rPr>
          <w:b w:val="0"/>
          <w:sz w:val="22"/>
        </w:rPr>
        <w:t>Gere les profils clients de l'institution. Chaque client est associe a un agent (createdBy) et optionnellement a une agence (agencyId). Le service calcule et met a jour le score de credit. Les documents KYC sont stockes sur Google Drive.</w:t>
      </w:r>
    </w:p>
    <w:p>
      <w:pPr>
        <w:spacing w:after="120"/>
      </w:pPr>
      <w:r>
        <w:rPr>
          <w:b/>
          <w:sz w:val="22"/>
        </w:rPr>
        <w:t>Endpoints principaux :</w:t>
      </w:r>
    </w:p>
    <w:p>
      <w:pPr>
        <w:pStyle w:val="ListBullet"/>
        <w:spacing w:after="60"/>
      </w:pPr>
      <w:r>
        <w:rPr>
          <w:sz w:val="21"/>
        </w:rPr>
        <w:t>POST /api/clients — Creation client</w:t>
      </w:r>
    </w:p>
    <w:p>
      <w:pPr>
        <w:pStyle w:val="ListBullet"/>
        <w:spacing w:after="60"/>
      </w:pPr>
      <w:r>
        <w:rPr>
          <w:sz w:val="21"/>
        </w:rPr>
        <w:t>GET /api/clients/by-agent/{email} — Clients d'un agent</w:t>
      </w:r>
    </w:p>
    <w:p>
      <w:pPr>
        <w:pStyle w:val="ListBullet"/>
        <w:spacing w:after="60"/>
      </w:pPr>
      <w:r>
        <w:rPr>
          <w:sz w:val="21"/>
        </w:rPr>
        <w:t>GET /api/clients/by-agency/{id} — Clients d'une agence</w:t>
      </w:r>
    </w:p>
    <w:p>
      <w:pPr>
        <w:pStyle w:val="ListBullet"/>
        <w:spacing w:after="60"/>
      </w:pPr>
      <w:r>
        <w:rPr>
          <w:sz w:val="21"/>
        </w:rPr>
        <w:t>POST /api/clients/internal/by-agent-emails — Interne (agency-service)</w:t>
      </w:r>
    </w:p>
    <w:p>
      <w:pPr>
        <w:pStyle w:val="ListBullet"/>
        <w:spacing w:after="60"/>
      </w:pPr>
      <w:r>
        <w:rPr>
          <w:sz w:val="21"/>
        </w:rPr>
        <w:t>PATCH /api/clients/{id}/status — Changement statut</w:t>
      </w:r>
    </w:p>
    <w:p/>
    <w:p>
      <w:pPr>
        <w:pStyle w:val="Heading2"/>
        <w:spacing w:before="240" w:after="120"/>
      </w:pPr>
      <w:r>
        <w:rPr>
          <w:color w:val="064E3B"/>
        </w:rPr>
        <w:t>Account Service (8082)</w:t>
      </w:r>
    </w:p>
    <w:p>
      <w:pPr>
        <w:spacing w:after="120"/>
      </w:pPr>
      <w:r>
        <w:rPr>
          <w:b w:val="0"/>
          <w:sz w:val="22"/>
        </w:rPr>
        <w:t>Gere les comptes bancaires. Un compte passe par l'etat EN_ATTENTE_VALIDATION avant d'etre active par un directeur ou admin. Le service expose des endpoints internes pour les operations de credit/debit appeles par transaction-service.</w:t>
      </w:r>
    </w:p>
    <w:p>
      <w:pPr>
        <w:spacing w:after="120"/>
      </w:pPr>
      <w:r>
        <w:rPr>
          <w:b/>
          <w:sz w:val="22"/>
        </w:rPr>
        <w:t>Endpoints principaux :</w:t>
      </w:r>
    </w:p>
    <w:p>
      <w:pPr>
        <w:pStyle w:val="ListBullet"/>
        <w:spacing w:after="60"/>
      </w:pPr>
      <w:r>
        <w:rPr>
          <w:sz w:val="21"/>
        </w:rPr>
        <w:t>POST /api/comptes — Ouverture de compte</w:t>
      </w:r>
    </w:p>
    <w:p>
      <w:pPr>
        <w:pStyle w:val="ListBullet"/>
        <w:spacing w:after="60"/>
      </w:pPr>
      <w:r>
        <w:rPr>
          <w:sz w:val="21"/>
        </w:rPr>
        <w:t>GET /api/comptes/en-attente-validation — File de validation</w:t>
      </w:r>
    </w:p>
    <w:p>
      <w:pPr>
        <w:pStyle w:val="ListBullet"/>
        <w:spacing w:after="60"/>
      </w:pPr>
      <w:r>
        <w:rPr>
          <w:sz w:val="21"/>
        </w:rPr>
        <w:t>PATCH /api/comptes/{id}/statut — Activation/Rejet (directeur/admin)</w:t>
      </w:r>
    </w:p>
    <w:p>
      <w:pPr>
        <w:pStyle w:val="ListBullet"/>
        <w:spacing w:after="60"/>
      </w:pPr>
      <w:r>
        <w:rPr>
          <w:sz w:val="21"/>
        </w:rPr>
        <w:t>POST /api/comptes/{id}/crediter — Interne (transaction-service)</w:t>
      </w:r>
    </w:p>
    <w:p>
      <w:pPr>
        <w:pStyle w:val="ListBullet"/>
        <w:spacing w:after="60"/>
      </w:pPr>
      <w:r>
        <w:rPr>
          <w:sz w:val="21"/>
        </w:rPr>
        <w:t>GET /api/comptes/client/{id} — Comptes d'un client</w:t>
      </w:r>
    </w:p>
    <w:p/>
    <w:p>
      <w:pPr>
        <w:pStyle w:val="Heading2"/>
        <w:spacing w:before="240" w:after="120"/>
      </w:pPr>
      <w:r>
        <w:rPr>
          <w:color w:val="064E3B"/>
        </w:rPr>
        <w:t>Loan Service (8083)</w:t>
      </w:r>
    </w:p>
    <w:p>
      <w:pPr>
        <w:spacing w:after="120"/>
      </w:pPr>
      <w:r>
        <w:rPr>
          <w:b w:val="0"/>
          <w:sz w:val="22"/>
        </w:rPr>
        <w:t>Gere le cycle complet du pret : demande, eligibilite, amortissement, approbation, decaissement, suivi des echeances. Calcule automatiquement les plans d'amortissement (methode des interets degressifs).</w:t>
      </w:r>
    </w:p>
    <w:p>
      <w:pPr>
        <w:spacing w:after="120"/>
      </w:pPr>
      <w:r>
        <w:rPr>
          <w:b/>
          <w:sz w:val="22"/>
        </w:rPr>
        <w:t>Endpoints principaux :</w:t>
      </w:r>
    </w:p>
    <w:p>
      <w:pPr>
        <w:pStyle w:val="ListBullet"/>
        <w:spacing w:after="60"/>
      </w:pPr>
      <w:r>
        <w:rPr>
          <w:sz w:val="21"/>
        </w:rPr>
        <w:t>POST /api/loans/apply — Demande de pret</w:t>
      </w:r>
    </w:p>
    <w:p>
      <w:pPr>
        <w:pStyle w:val="ListBullet"/>
        <w:spacing w:after="60"/>
      </w:pPr>
      <w:r>
        <w:rPr>
          <w:sz w:val="21"/>
        </w:rPr>
        <w:t>GET /api/loans/eligibility/{clientId} — Verification eligibilite</w:t>
      </w:r>
    </w:p>
    <w:p>
      <w:pPr>
        <w:pStyle w:val="ListBullet"/>
        <w:spacing w:after="60"/>
      </w:pPr>
      <w:r>
        <w:rPr>
          <w:sz w:val="21"/>
        </w:rPr>
        <w:t>GET /api/loans/{id}/amortization — Plan d'amortissement</w:t>
      </w:r>
    </w:p>
    <w:p>
      <w:pPr>
        <w:pStyle w:val="ListBullet"/>
        <w:spacing w:after="60"/>
      </w:pPr>
      <w:r>
        <w:rPr>
          <w:sz w:val="21"/>
        </w:rPr>
        <w:t>POST /api/loans/approval/{id}/approve — Approbation</w:t>
      </w:r>
    </w:p>
    <w:p>
      <w:pPr>
        <w:pStyle w:val="ListBullet"/>
        <w:spacing w:after="60"/>
      </w:pPr>
      <w:r>
        <w:rPr>
          <w:sz w:val="21"/>
        </w:rPr>
        <w:t>POST /api/loans/by-clients — Prets pour liste de clients</w:t>
      </w:r>
    </w:p>
    <w:p/>
    <w:p>
      <w:pPr>
        <w:pStyle w:val="Heading2"/>
        <w:spacing w:before="240" w:after="120"/>
      </w:pPr>
      <w:r>
        <w:rPr>
          <w:color w:val="064E3B"/>
        </w:rPr>
        <w:t>Repayment Service (8084)</w:t>
      </w:r>
    </w:p>
    <w:p>
      <w:pPr>
        <w:spacing w:after="120"/>
      </w:pPr>
      <w:r>
        <w:rPr>
          <w:b w:val="0"/>
          <w:sz w:val="22"/>
        </w:rPr>
        <w:t>Gere les remboursements de prets. Les agents et directeurs enregistrent des paiements en PENDING_VALIDATION ; l'admin les valide. CamPay declenche les confirmations via RabbitMQ (webhook asynchrone).</w:t>
      </w:r>
    </w:p>
    <w:p>
      <w:pPr>
        <w:spacing w:after="120"/>
      </w:pPr>
      <w:r>
        <w:rPr>
          <w:b/>
          <w:sz w:val="22"/>
        </w:rPr>
        <w:t>Endpoints principaux :</w:t>
      </w:r>
    </w:p>
    <w:p>
      <w:pPr>
        <w:pStyle w:val="ListBullet"/>
        <w:spacing w:after="60"/>
      </w:pPr>
      <w:r>
        <w:rPr>
          <w:sz w:val="21"/>
        </w:rPr>
        <w:t>POST /api/repayments/pay/record — Enregistrement (agent/directeur)</w:t>
      </w:r>
    </w:p>
    <w:p>
      <w:pPr>
        <w:pStyle w:val="ListBullet"/>
        <w:spacing w:after="60"/>
      </w:pPr>
      <w:r>
        <w:rPr>
          <w:sz w:val="21"/>
        </w:rPr>
        <w:t>POST /api/repayments/pay/client — Paiement direct client</w:t>
      </w:r>
    </w:p>
    <w:p>
      <w:pPr>
        <w:pStyle w:val="ListBullet"/>
        <w:spacing w:after="60"/>
      </w:pPr>
      <w:r>
        <w:rPr>
          <w:sz w:val="21"/>
        </w:rPr>
        <w:t>GET /api/repayments/pending — Paiements en attente (admin)</w:t>
      </w:r>
    </w:p>
    <w:p>
      <w:pPr>
        <w:pStyle w:val="ListBullet"/>
        <w:spacing w:after="60"/>
      </w:pPr>
      <w:r>
        <w:rPr>
          <w:sz w:val="21"/>
        </w:rPr>
        <w:t>POST /api/repayments/{id}/validate — Validation (admin)</w:t>
      </w:r>
    </w:p>
    <w:p>
      <w:pPr>
        <w:pStyle w:val="ListBullet"/>
        <w:spacing w:after="60"/>
      </w:pPr>
      <w:r>
        <w:rPr>
          <w:sz w:val="21"/>
        </w:rPr>
        <w:t>POST /api/repayments/stats/by-clients — Stats par agence</w:t>
      </w:r>
    </w:p>
    <w:p/>
    <w:p>
      <w:pPr>
        <w:pStyle w:val="Heading2"/>
        <w:spacing w:before="240" w:after="120"/>
      </w:pPr>
      <w:r>
        <w:rPr>
          <w:color w:val="064E3B"/>
        </w:rPr>
        <w:t>Agency Service (8086)</w:t>
      </w:r>
    </w:p>
    <w:p>
      <w:pPr>
        <w:spacing w:after="120"/>
      </w:pPr>
      <w:r>
        <w:rPr>
          <w:b w:val="0"/>
          <w:sz w:val="22"/>
        </w:rPr>
        <w:t>Gere les agences, l'assignation des agents et directeurs, et expose les donnees agregees des clients par agence. La methode getAgencyClientsWithAccounts recupere les clients via les emails des agents assignes (endpoint interne client-service).</w:t>
      </w:r>
    </w:p>
    <w:p>
      <w:pPr>
        <w:spacing w:after="120"/>
      </w:pPr>
      <w:r>
        <w:rPr>
          <w:b/>
          <w:sz w:val="22"/>
        </w:rPr>
        <w:t>Endpoints principaux :</w:t>
      </w:r>
    </w:p>
    <w:p>
      <w:pPr>
        <w:pStyle w:val="ListBullet"/>
        <w:spacing w:after="60"/>
      </w:pPr>
      <w:r>
        <w:rPr>
          <w:sz w:val="21"/>
        </w:rPr>
        <w:t>GET /api/agency/my-agency — Agence du directeur connecte</w:t>
      </w:r>
    </w:p>
    <w:p>
      <w:pPr>
        <w:pStyle w:val="ListBullet"/>
        <w:spacing w:after="60"/>
      </w:pPr>
      <w:r>
        <w:rPr>
          <w:sz w:val="21"/>
        </w:rPr>
        <w:t>GET /api/agency/my-clients — Clients de l'agence (via agents)</w:t>
      </w:r>
    </w:p>
    <w:p>
      <w:pPr>
        <w:pStyle w:val="ListBullet"/>
        <w:spacing w:after="60"/>
      </w:pPr>
      <w:r>
        <w:rPr>
          <w:sz w:val="21"/>
        </w:rPr>
        <w:t>GET /api/agency/my-agents — Agents (actifs + inactifs)</w:t>
      </w:r>
    </w:p>
    <w:p>
      <w:pPr>
        <w:pStyle w:val="ListBullet"/>
        <w:spacing w:after="60"/>
      </w:pPr>
      <w:r>
        <w:rPr>
          <w:sz w:val="21"/>
        </w:rPr>
        <w:t>PATCH /api/agency/agents/{id}/toggle-status — Activer/Desactiver agent</w:t>
      </w:r>
    </w:p>
    <w:p>
      <w:pPr>
        <w:pStyle w:val="ListBullet"/>
        <w:spacing w:after="60"/>
      </w:pPr>
      <w:r>
        <w:rPr>
          <w:sz w:val="21"/>
        </w:rPr>
        <w:t>POST /api/agency/agents/assign — Assigner un agent</w:t>
      </w:r>
    </w:p>
    <w:p/>
    <w:p>
      <w:pPr>
        <w:pStyle w:val="Heading2"/>
        <w:spacing w:before="240" w:after="120"/>
      </w:pPr>
      <w:r>
        <w:rPr>
          <w:color w:val="064E3B"/>
        </w:rPr>
        <w:t>Transaction Service (8088)</w:t>
      </w:r>
    </w:p>
    <w:p>
      <w:pPr>
        <w:spacing w:after="120"/>
      </w:pPr>
      <w:r>
        <w:rPr>
          <w:b w:val="0"/>
          <w:sz w:val="22"/>
        </w:rPr>
        <w:t>Gere toutes les operations financieres : depots, retraits, virements inter-comptes et integration CamPay (Mobile Money). Les transactions modifient les soldes en appelant account-service via Feign.</w:t>
      </w:r>
    </w:p>
    <w:p>
      <w:pPr>
        <w:spacing w:after="120"/>
      </w:pPr>
      <w:r>
        <w:rPr>
          <w:b/>
          <w:sz w:val="22"/>
        </w:rPr>
        <w:t>Endpoints principaux :</w:t>
      </w:r>
    </w:p>
    <w:p>
      <w:pPr>
        <w:pStyle w:val="ListBullet"/>
        <w:spacing w:after="60"/>
      </w:pPr>
      <w:r>
        <w:rPr>
          <w:sz w:val="21"/>
        </w:rPr>
        <w:t>POST /api/transactions/depot/{compteId} — Depot</w:t>
      </w:r>
    </w:p>
    <w:p>
      <w:pPr>
        <w:pStyle w:val="ListBullet"/>
        <w:spacing w:after="60"/>
      </w:pPr>
      <w:r>
        <w:rPr>
          <w:sz w:val="21"/>
        </w:rPr>
        <w:t>POST /api/transactions/retrait/{compteId} — Retrait</w:t>
      </w:r>
    </w:p>
    <w:p>
      <w:pPr>
        <w:pStyle w:val="ListBullet"/>
        <w:spacing w:after="60"/>
      </w:pPr>
      <w:r>
        <w:rPr>
          <w:sz w:val="21"/>
        </w:rPr>
        <w:t>POST /api/transactions/virement/{compteId} — Virement</w:t>
      </w:r>
    </w:p>
    <w:p>
      <w:pPr>
        <w:pStyle w:val="ListBullet"/>
        <w:spacing w:after="60"/>
      </w:pPr>
      <w:r>
        <w:rPr>
          <w:sz w:val="21"/>
        </w:rPr>
        <w:t>POST /api/campay/webhook — Webhook CamPay</w:t>
      </w:r>
    </w:p>
    <w:p>
      <w:pPr>
        <w:pStyle w:val="ListBullet"/>
        <w:spacing w:after="60"/>
      </w:pPr>
      <w:r>
        <w:rPr>
          <w:sz w:val="21"/>
        </w:rPr>
        <w:t>GET /api/transactions/compte/{compteId} — Historique</w:t>
      </w:r>
    </w:p>
    <w:p/>
    <w:p>
      <w:pPr>
        <w:pStyle w:val="Heading2"/>
        <w:spacing w:before="240" w:after="120"/>
      </w:pPr>
      <w:r>
        <w:rPr>
          <w:color w:val="064E3B"/>
        </w:rPr>
        <w:t>Notification Service (8089)</w:t>
      </w:r>
    </w:p>
    <w:p>
      <w:pPr>
        <w:spacing w:after="120"/>
      </w:pPr>
      <w:r>
        <w:rPr>
          <w:b w:val="0"/>
          <w:sz w:val="22"/>
        </w:rPr>
        <w:t>Envoie des notifications aux clients et agents via Email (templates Thymeleaf) et SMS (Twilio). Les notifications sont declenchees de maniere asynchrone via RabbitMQ. Supporte les notifications en temps reel via WebSocket.</w:t>
      </w:r>
    </w:p>
    <w:p>
      <w:pPr>
        <w:spacing w:after="120"/>
      </w:pPr>
      <w:r>
        <w:rPr>
          <w:b/>
          <w:sz w:val="22"/>
        </w:rPr>
        <w:t>Endpoints principaux :</w:t>
      </w:r>
    </w:p>
    <w:p>
      <w:pPr>
        <w:pStyle w:val="ListBullet"/>
        <w:spacing w:after="60"/>
      </w:pPr>
      <w:r>
        <w:rPr>
          <w:sz w:val="21"/>
        </w:rPr>
        <w:t>Emails : pret approuve, compte ouvert, paiement recu</w:t>
      </w:r>
    </w:p>
    <w:p>
      <w:pPr>
        <w:pStyle w:val="ListBullet"/>
        <w:spacing w:after="60"/>
      </w:pPr>
      <w:r>
        <w:rPr>
          <w:sz w:val="21"/>
        </w:rPr>
        <w:t>SMS : alertes critiques, rappels d'echeance</w:t>
      </w:r>
    </w:p>
    <w:p>
      <w:pPr>
        <w:pStyle w:val="ListBullet"/>
        <w:spacing w:after="60"/>
      </w:pPr>
      <w:r>
        <w:rPr>
          <w:sz w:val="21"/>
        </w:rPr>
        <w:t>Templates HTML Thymeleaf avec mise en page professionnelle</w:t>
      </w:r>
    </w:p>
    <w:p>
      <w:pPr>
        <w:pStyle w:val="ListBullet"/>
        <w:spacing w:after="60"/>
      </w:pPr>
      <w:r>
        <w:rPr>
          <w:sz w:val="21"/>
        </w:rPr>
        <w:t>WebSocket pour notifications push en temps reel</w:t>
      </w:r>
    </w:p>
    <w:p/>
    <w:p>
      <w:r>
        <w:br w:type="page"/>
      </w:r>
    </w:p>
    <w:p>
      <w:pPr>
        <w:pStyle w:val="Heading1"/>
        <w:spacing w:before="240" w:after="120"/>
      </w:pPr>
      <w:r>
        <w:rPr>
          <w:color w:val="064E3B"/>
        </w:rPr>
        <w:t>10. Interface Utilisateur</w:t>
      </w:r>
    </w:p>
    <w:p>
      <w:pPr>
        <w:spacing w:after="120"/>
      </w:pPr>
      <w:r>
        <w:rPr>
          <w:b w:val="0"/>
          <w:sz w:val="22"/>
        </w:rPr>
        <w:t>Le frontend React est organise en espaces distincts selon le role de l'utilisateur. Chaque role dispose d'un layout personnalise avec une navigation adaptee a ses responsabilites.</w:t>
      </w:r>
    </w:p>
    <w:p>
      <w:pPr>
        <w:pStyle w:val="Heading2"/>
        <w:spacing w:before="240" w:after="120"/>
      </w:pPr>
      <w:r>
        <w:rPr>
          <w:color w:val="064E3B"/>
        </w:rPr>
        <w:t>10.1 Espaces Utilisateurs</w:t>
      </w:r>
    </w:p>
    <w:tbl>
      <w:tblPr>
        <w:tblStyle w:val="LightShading-Accent6"/>
        <w:tblW w:type="auto" w:w="0"/>
        <w:jc w:val="center"/>
        <w:tblLook w:firstColumn="1" w:firstRow="1" w:lastColumn="0" w:lastRow="0" w:noHBand="0" w:noVBand="1" w:val="04A0"/>
      </w:tblPr>
      <w:tblGrid>
        <w:gridCol w:w="3022"/>
        <w:gridCol w:w="3022"/>
        <w:gridCol w:w="3022"/>
      </w:tblGrid>
      <w:tr>
        <w:tc>
          <w:tcPr>
            <w:tcW w:type="dxa" w:w="3022"/>
          </w:tcPr>
          <w:p>
            <w:r>
              <w:rPr>
                <w:b/>
                <w:sz w:val="19"/>
              </w:rPr>
              <w:t>Role</w:t>
            </w:r>
          </w:p>
        </w:tc>
        <w:tc>
          <w:tcPr>
            <w:tcW w:type="dxa" w:w="3022"/>
          </w:tcPr>
          <w:p>
            <w:r>
              <w:rPr>
                <w:b/>
                <w:sz w:val="19"/>
              </w:rPr>
              <w:t>Route</w:t>
            </w:r>
          </w:p>
        </w:tc>
        <w:tc>
          <w:tcPr>
            <w:tcW w:type="dxa" w:w="3022"/>
          </w:tcPr>
          <w:p>
            <w:r>
              <w:rPr>
                <w:b/>
                <w:sz w:val="19"/>
              </w:rPr>
              <w:t>Pages disponibles</w:t>
            </w:r>
          </w:p>
        </w:tc>
      </w:tr>
      <w:tr>
        <w:tc>
          <w:tcPr>
            <w:tcW w:type="dxa" w:w="3022"/>
          </w:tcPr>
          <w:p>
            <w:r>
              <w:rPr>
                <w:sz w:val="18"/>
              </w:rPr>
              <w:t>Admin</w:t>
            </w:r>
          </w:p>
        </w:tc>
        <w:tc>
          <w:tcPr>
            <w:tcW w:type="dxa" w:w="3022"/>
          </w:tcPr>
          <w:p>
            <w:r>
              <w:rPr>
                <w:sz w:val="18"/>
              </w:rPr>
              <w:t>/admin/**</w:t>
            </w:r>
          </w:p>
        </w:tc>
        <w:tc>
          <w:tcPr>
            <w:tcW w:type="dxa" w:w="3022"/>
          </w:tcPr>
          <w:p>
            <w:r>
              <w:rPr>
                <w:sz w:val="18"/>
              </w:rPr>
              <w:t>Dashboard, Clients, Prets, Comptes, Validations, Transactions, Remboursements, Rapports, Notifications, Agents, Directeurs, Agences, Parametres</w:t>
            </w:r>
          </w:p>
        </w:tc>
      </w:tr>
      <w:tr>
        <w:tc>
          <w:tcPr>
            <w:tcW w:type="dxa" w:w="3022"/>
          </w:tcPr>
          <w:p>
            <w:r>
              <w:rPr>
                <w:sz w:val="18"/>
              </w:rPr>
              <w:t>Directeur</w:t>
            </w:r>
          </w:p>
        </w:tc>
        <w:tc>
          <w:tcPr>
            <w:tcW w:type="dxa" w:w="3022"/>
          </w:tcPr>
          <w:p>
            <w:r>
              <w:rPr>
                <w:sz w:val="18"/>
              </w:rPr>
              <w:t>/directeur/**</w:t>
            </w:r>
          </w:p>
        </w:tc>
        <w:tc>
          <w:tcPr>
            <w:tcW w:type="dxa" w:w="3022"/>
          </w:tcPr>
          <w:p>
            <w:r>
              <w:rPr>
                <w:sz w:val="18"/>
              </w:rPr>
              <w:t>Dashboard, Clients (CRUD), Agents (toggle), Validations, Comptes, Prets, Remboursements, Rapports, Guichet</w:t>
            </w:r>
          </w:p>
        </w:tc>
      </w:tr>
      <w:tr>
        <w:tc>
          <w:tcPr>
            <w:tcW w:type="dxa" w:w="3022"/>
          </w:tcPr>
          <w:p>
            <w:r>
              <w:rPr>
                <w:sz w:val="18"/>
              </w:rPr>
              <w:t>Agent</w:t>
            </w:r>
          </w:p>
        </w:tc>
        <w:tc>
          <w:tcPr>
            <w:tcW w:type="dxa" w:w="3022"/>
          </w:tcPr>
          <w:p>
            <w:r>
              <w:rPr>
                <w:sz w:val="18"/>
              </w:rPr>
              <w:t>/agent/**</w:t>
            </w:r>
          </w:p>
        </w:tc>
        <w:tc>
          <w:tcPr>
            <w:tcW w:type="dxa" w:w="3022"/>
          </w:tcPr>
          <w:p>
            <w:r>
              <w:rPr>
                <w:sz w:val="18"/>
              </w:rPr>
              <w:t>Dashboard, Mes Clients, Guichet, Demandes Pret, Remboursements, Mon Profil</w:t>
            </w:r>
          </w:p>
        </w:tc>
      </w:tr>
      <w:tr>
        <w:tc>
          <w:tcPr>
            <w:tcW w:type="dxa" w:w="3022"/>
          </w:tcPr>
          <w:p>
            <w:r>
              <w:rPr>
                <w:sz w:val="18"/>
              </w:rPr>
              <w:t>Client</w:t>
            </w:r>
          </w:p>
        </w:tc>
        <w:tc>
          <w:tcPr>
            <w:tcW w:type="dxa" w:w="3022"/>
          </w:tcPr>
          <w:p>
            <w:r>
              <w:rPr>
                <w:sz w:val="18"/>
              </w:rPr>
              <w:t>/client/**</w:t>
            </w:r>
          </w:p>
        </w:tc>
        <w:tc>
          <w:tcPr>
            <w:tcW w:type="dxa" w:w="3022"/>
          </w:tcPr>
          <w:p>
            <w:r>
              <w:rPr>
                <w:sz w:val="18"/>
              </w:rPr>
              <w:t>Mon Espace, Mes Comptes, Mes Prets, Transactions, Remboursements, Simulateur</w:t>
            </w:r>
          </w:p>
        </w:tc>
      </w:tr>
    </w:tbl>
    <w:p/>
    <w:p>
      <w:pPr>
        <w:pStyle w:val="Heading2"/>
        <w:spacing w:before="240" w:after="120"/>
      </w:pPr>
      <w:r>
        <w:rPr>
          <w:color w:val="064E3B"/>
        </w:rPr>
        <w:t>10.2 Fonctionnalites Cles du Directeur</w:t>
      </w:r>
    </w:p>
    <w:p>
      <w:pPr>
        <w:pStyle w:val="ListBullet"/>
        <w:spacing w:after="60"/>
      </w:pPr>
      <w:r>
        <w:rPr>
          <w:sz w:val="21"/>
        </w:rPr>
        <w:t>Vue consolidee des clients de son agence (via agents assignes)</w:t>
      </w:r>
    </w:p>
    <w:p>
      <w:pPr>
        <w:pStyle w:val="ListBullet"/>
        <w:spacing w:after="60"/>
      </w:pPr>
      <w:r>
        <w:rPr>
          <w:sz w:val="21"/>
        </w:rPr>
        <w:t>Creation de nouveaux clients avec assignation d'agence</w:t>
      </w:r>
    </w:p>
    <w:p>
      <w:pPr>
        <w:pStyle w:val="ListBullet"/>
        <w:spacing w:after="60"/>
      </w:pPr>
      <w:r>
        <w:rPr>
          <w:sz w:val="21"/>
        </w:rPr>
        <w:t>Modification et changement de statut des clients</w:t>
      </w:r>
    </w:p>
    <w:p>
      <w:pPr>
        <w:pStyle w:val="ListBullet"/>
        <w:spacing w:after="60"/>
      </w:pPr>
      <w:r>
        <w:rPr>
          <w:sz w:val="21"/>
        </w:rPr>
        <w:t>Toggle actif/inactif des agents de son agence</w:t>
      </w:r>
    </w:p>
    <w:p>
      <w:pPr>
        <w:pStyle w:val="ListBullet"/>
        <w:spacing w:after="60"/>
      </w:pPr>
      <w:r>
        <w:rPr>
          <w:sz w:val="21"/>
        </w:rPr>
        <w:t>Validation des demandes de compte (EN_ATTENTE -&gt; ACTIF ou REJETE)</w:t>
      </w:r>
    </w:p>
    <w:p>
      <w:pPr>
        <w:pStyle w:val="ListBullet"/>
        <w:spacing w:after="60"/>
      </w:pPr>
      <w:r>
        <w:rPr>
          <w:sz w:val="21"/>
        </w:rPr>
        <w:t>Enregistrement de paiements de remboursement (-&gt; PENDING_VALIDATION pour l'admin)</w:t>
      </w:r>
    </w:p>
    <w:p>
      <w:pPr>
        <w:pStyle w:val="ListBullet"/>
        <w:spacing w:after="60"/>
      </w:pPr>
      <w:r>
        <w:rPr>
          <w:sz w:val="21"/>
        </w:rPr>
        <w:t>Operations guichet : Depot, Retrait, Virement pour les clients de l'agence</w:t>
      </w:r>
    </w:p>
    <w:p>
      <w:pPr>
        <w:pStyle w:val="ListBullet"/>
        <w:spacing w:after="60"/>
      </w:pPr>
      <w:r>
        <w:rPr>
          <w:sz w:val="21"/>
        </w:rPr>
        <w:t>Rapports financiers filtres par agence</w:t>
      </w:r>
    </w:p>
    <w:p>
      <w:r>
        <w:br w:type="page"/>
      </w:r>
    </w:p>
    <w:p>
      <w:pPr>
        <w:pStyle w:val="Heading1"/>
        <w:spacing w:before="240" w:after="120"/>
      </w:pPr>
      <w:r>
        <w:rPr>
          <w:color w:val="064E3B"/>
        </w:rPr>
        <w:t>11. Deploiement et Infrastructure</w:t>
      </w:r>
    </w:p>
    <w:p>
      <w:pPr>
        <w:spacing w:after="120"/>
      </w:pPr>
      <w:r>
        <w:rPr>
          <w:b w:val="0"/>
          <w:sz w:val="22"/>
        </w:rPr>
        <w:t>L'ensemble du systeme est conteneurise via Docker et orchestre par Docker Compose. Chaque service dispose de son propre Dockerfile multi-etapes (build Maven + image JRE legere). Le frontend utilise Nginx pour servir les fichiers React buildes.</w:t>
      </w:r>
    </w:p>
    <w:p>
      <w:r>
        <w:drawing>
          <wp:inline xmlns:a="http://schemas.openxmlformats.org/drawingml/2006/main" xmlns:pic="http://schemas.openxmlformats.org/drawingml/2006/picture">
            <wp:extent cx="5943600" cy="3868057"/>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943600" cy="3868057"/>
                    </a:xfrm>
                    <a:prstGeom prst="rect"/>
                  </pic:spPr>
                </pic:pic>
              </a:graphicData>
            </a:graphic>
          </wp:inline>
        </w:drawing>
      </w:r>
    </w:p>
    <w:p>
      <w:pPr>
        <w:jc w:val="center"/>
      </w:pPr>
      <w:r>
        <w:rPr>
          <w:i/>
          <w:color w:val="444444"/>
          <w:sz w:val="18"/>
        </w:rPr>
        <w:t>Figure 13 — Architecture de Deploiement Docker Compose</w:t>
      </w:r>
    </w:p>
    <w:p/>
    <w:p>
      <w:pPr>
        <w:pStyle w:val="Heading2"/>
        <w:spacing w:before="240" w:after="120"/>
      </w:pPr>
      <w:r>
        <w:rPr>
          <w:color w:val="064E3B"/>
        </w:rPr>
        <w:t>11.1 Variables d'Environnement (Docker Secrets)</w:t>
      </w:r>
    </w:p>
    <w:tbl>
      <w:tblPr>
        <w:tblStyle w:val="LightShading-Accent6"/>
        <w:tblW w:type="auto" w:w="0"/>
        <w:jc w:val="center"/>
        <w:tblLook w:firstColumn="1" w:firstRow="1" w:lastColumn="0" w:lastRow="0" w:noHBand="0" w:noVBand="1" w:val="04A0"/>
      </w:tblPr>
      <w:tblGrid>
        <w:gridCol w:w="4533"/>
        <w:gridCol w:w="4533"/>
      </w:tblGrid>
      <w:tr>
        <w:tc>
          <w:tcPr>
            <w:tcW w:type="dxa" w:w="4533"/>
          </w:tcPr>
          <w:p>
            <w:r>
              <w:rPr>
                <w:b/>
                <w:sz w:val="19"/>
              </w:rPr>
              <w:t>Variable</w:t>
            </w:r>
          </w:p>
        </w:tc>
        <w:tc>
          <w:tcPr>
            <w:tcW w:type="dxa" w:w="4533"/>
          </w:tcPr>
          <w:p>
            <w:r>
              <w:rPr>
                <w:b/>
                <w:sz w:val="19"/>
              </w:rPr>
              <w:t>Usage</w:t>
            </w:r>
          </w:p>
        </w:tc>
      </w:tr>
      <w:tr>
        <w:tc>
          <w:tcPr>
            <w:tcW w:type="dxa" w:w="4533"/>
          </w:tcPr>
          <w:p>
            <w:r>
              <w:rPr>
                <w:sz w:val="18"/>
              </w:rPr>
              <w:t>JWT_SECRET</w:t>
            </w:r>
          </w:p>
        </w:tc>
        <w:tc>
          <w:tcPr>
            <w:tcW w:type="dxa" w:w="4533"/>
          </w:tcPr>
          <w:p>
            <w:r>
              <w:rPr>
                <w:sz w:val="18"/>
              </w:rPr>
              <w:t>Cle HMAC-SHA256 partagee (256 bits) pour signer les JWT</w:t>
            </w:r>
          </w:p>
        </w:tc>
      </w:tr>
      <w:tr>
        <w:tc>
          <w:tcPr>
            <w:tcW w:type="dxa" w:w="4533"/>
          </w:tcPr>
          <w:p>
            <w:r>
              <w:rPr>
                <w:sz w:val="18"/>
              </w:rPr>
              <w:t>DB_USERNAME / DB_PASSWORD</w:t>
            </w:r>
          </w:p>
        </w:tc>
        <w:tc>
          <w:tcPr>
            <w:tcW w:type="dxa" w:w="4533"/>
          </w:tcPr>
          <w:p>
            <w:r>
              <w:rPr>
                <w:sz w:val="18"/>
              </w:rPr>
              <w:t>Credentials PostgreSQL</w:t>
            </w:r>
          </w:p>
        </w:tc>
      </w:tr>
      <w:tr>
        <w:tc>
          <w:tcPr>
            <w:tcW w:type="dxa" w:w="4533"/>
          </w:tcPr>
          <w:p>
            <w:r>
              <w:rPr>
                <w:sz w:val="18"/>
              </w:rPr>
              <w:t>RABBITMQ_USERNAME / PASSWORD</w:t>
            </w:r>
          </w:p>
        </w:tc>
        <w:tc>
          <w:tcPr>
            <w:tcW w:type="dxa" w:w="4533"/>
          </w:tcPr>
          <w:p>
            <w:r>
              <w:rPr>
                <w:sz w:val="18"/>
              </w:rPr>
              <w:t>Credentials RabbitMQ</w:t>
            </w:r>
          </w:p>
        </w:tc>
      </w:tr>
      <w:tr>
        <w:tc>
          <w:tcPr>
            <w:tcW w:type="dxa" w:w="4533"/>
          </w:tcPr>
          <w:p>
            <w:r>
              <w:rPr>
                <w:sz w:val="18"/>
              </w:rPr>
              <w:t>MAIL_HOST / PORT / USERNAME / PASSWORD</w:t>
            </w:r>
          </w:p>
        </w:tc>
        <w:tc>
          <w:tcPr>
            <w:tcW w:type="dxa" w:w="4533"/>
          </w:tcPr>
          <w:p>
            <w:r>
              <w:rPr>
                <w:sz w:val="18"/>
              </w:rPr>
              <w:t>Serveur SMTP pour emails</w:t>
            </w:r>
          </w:p>
        </w:tc>
      </w:tr>
      <w:tr>
        <w:tc>
          <w:tcPr>
            <w:tcW w:type="dxa" w:w="4533"/>
          </w:tcPr>
          <w:p>
            <w:r>
              <w:rPr>
                <w:sz w:val="18"/>
              </w:rPr>
              <w:t>CAMPAY_USERNAME / PASSWORD</w:t>
            </w:r>
          </w:p>
        </w:tc>
        <w:tc>
          <w:tcPr>
            <w:tcW w:type="dxa" w:w="4533"/>
          </w:tcPr>
          <w:p>
            <w:r>
              <w:rPr>
                <w:sz w:val="18"/>
              </w:rPr>
              <w:t>Credentials API CamPay (Mobile Money)</w:t>
            </w:r>
          </w:p>
        </w:tc>
      </w:tr>
      <w:tr>
        <w:tc>
          <w:tcPr>
            <w:tcW w:type="dxa" w:w="4533"/>
          </w:tcPr>
          <w:p>
            <w:r>
              <w:rPr>
                <w:sz w:val="18"/>
              </w:rPr>
              <w:t>TWILIO_ACCOUNT_SID / AUTH_TOKEN</w:t>
            </w:r>
          </w:p>
        </w:tc>
        <w:tc>
          <w:tcPr>
            <w:tcW w:type="dxa" w:w="4533"/>
          </w:tcPr>
          <w:p>
            <w:r>
              <w:rPr>
                <w:sz w:val="18"/>
              </w:rPr>
              <w:t>Credentials Twilio pour SMS</w:t>
            </w:r>
          </w:p>
        </w:tc>
      </w:tr>
      <w:tr>
        <w:tc>
          <w:tcPr>
            <w:tcW w:type="dxa" w:w="4533"/>
          </w:tcPr>
          <w:p>
            <w:r>
              <w:rPr>
                <w:sz w:val="18"/>
              </w:rPr>
              <w:t>GOOGLE_DRIVE_ROOT_FOLDER_ID</w:t>
            </w:r>
          </w:p>
        </w:tc>
        <w:tc>
          <w:tcPr>
            <w:tcW w:type="dxa" w:w="4533"/>
          </w:tcPr>
          <w:p>
            <w:r>
              <w:rPr>
                <w:sz w:val="18"/>
              </w:rPr>
              <w:t>Dossier Google Drive pour KYC documents</w:t>
            </w:r>
          </w:p>
        </w:tc>
      </w:tr>
      <w:tr>
        <w:tc>
          <w:tcPr>
            <w:tcW w:type="dxa" w:w="4533"/>
          </w:tcPr>
          <w:p>
            <w:r>
              <w:rPr>
                <w:sz w:val="18"/>
              </w:rPr>
              <w:t>ADMIN_EMAIL / ADMIN_PASSWORD</w:t>
            </w:r>
          </w:p>
        </w:tc>
        <w:tc>
          <w:tcPr>
            <w:tcW w:type="dxa" w:w="4533"/>
          </w:tcPr>
          <w:p>
            <w:r>
              <w:rPr>
                <w:sz w:val="18"/>
              </w:rPr>
              <w:t>Compte admin cree au demarrage</w:t>
            </w:r>
          </w:p>
        </w:tc>
      </w:tr>
    </w:tbl>
    <w:p/>
    <w:p>
      <w:pPr>
        <w:pStyle w:val="Heading2"/>
        <w:spacing w:before="240" w:after="120"/>
      </w:pPr>
      <w:r>
        <w:rPr>
          <w:color w:val="064E3B"/>
        </w:rPr>
        <w:t>11.2 Ordre de Demarrage</w:t>
      </w:r>
    </w:p>
    <w:p>
      <w:pPr>
        <w:spacing w:after="120"/>
      </w:pPr>
      <w:r>
        <w:rPr>
          <w:b w:val="0"/>
          <w:sz w:val="22"/>
        </w:rPr>
        <w:t>Les services respectent un ordre de demarrage via les conditions healthcheck de Docker Compose :</w:t>
      </w:r>
    </w:p>
    <w:p>
      <w:pPr>
        <w:pStyle w:val="ListBullet"/>
        <w:spacing w:after="60"/>
      </w:pPr>
      <w:r>
        <w:rPr>
          <w:sz w:val="21"/>
        </w:rPr>
        <w:t>1. Infrastructure : postgres, rabbitmq, redis</w:t>
      </w:r>
    </w:p>
    <w:p>
      <w:pPr>
        <w:pStyle w:val="ListBullet"/>
        <w:spacing w:after="60"/>
      </w:pPr>
      <w:r>
        <w:rPr>
          <w:sz w:val="21"/>
        </w:rPr>
        <w:t>2. Spring Cloud Core : config-service -&gt; registry-service</w:t>
      </w:r>
    </w:p>
    <w:p>
      <w:pPr>
        <w:pStyle w:val="ListBullet"/>
        <w:spacing w:after="60"/>
      </w:pPr>
      <w:r>
        <w:rPr>
          <w:sz w:val="21"/>
        </w:rPr>
        <w:t>3. API Gateway</w:t>
      </w:r>
    </w:p>
    <w:p>
      <w:pPr>
        <w:pStyle w:val="ListBullet"/>
        <w:spacing w:after="60"/>
      </w:pPr>
      <w:r>
        <w:rPr>
          <w:sz w:val="21"/>
        </w:rPr>
        <w:t>4. Services metier (parallele) : auth, client, account, agency, loan, repayment, reporting, configuration, transaction, notification</w:t>
      </w:r>
    </w:p>
    <w:p>
      <w:pPr>
        <w:pStyle w:val="ListBullet"/>
        <w:spacing w:after="60"/>
      </w:pPr>
      <w:r>
        <w:rPr>
          <w:sz w:val="21"/>
        </w:rPr>
        <w:t>5. Frontend : app-frontend</w:t>
      </w:r>
    </w:p>
    <w:p>
      <w:r>
        <w:br w:type="page"/>
      </w:r>
    </w:p>
    <w:p>
      <w:pPr>
        <w:pStyle w:val="Heading1"/>
        <w:spacing w:before="240" w:after="120"/>
      </w:pPr>
      <w:r>
        <w:rPr>
          <w:color w:val="064E3B"/>
        </w:rPr>
        <w:t>12. Conclusion et Perspectives</w:t>
      </w:r>
    </w:p>
    <w:p>
      <w:pPr>
        <w:spacing w:after="120"/>
      </w:pPr>
      <w:r>
        <w:rPr>
          <w:b w:val="0"/>
          <w:sz w:val="22"/>
        </w:rPr>
        <w:t>MicrofinanceHub demontre la faisabilite de la construction d'une application financiere complete selon les principes des architectures microservices modernes. Le projet integre les meilleures pratiques du developpement logiciel contemporain : separation des responsabilites, communication asynchrone, securite par defaut, et deploiement conteneurise.</w:t>
      </w:r>
    </w:p>
    <w:p>
      <w:pPr>
        <w:pStyle w:val="Heading2"/>
        <w:spacing w:before="240" w:after="120"/>
      </w:pPr>
      <w:r>
        <w:rPr>
          <w:color w:val="064E3B"/>
        </w:rPr>
        <w:t>Points Forts</w:t>
      </w:r>
    </w:p>
    <w:p>
      <w:pPr>
        <w:pStyle w:val="ListBullet"/>
        <w:spacing w:after="60"/>
      </w:pPr>
      <w:r>
        <w:rPr>
          <w:sz w:val="21"/>
        </w:rPr>
        <w:t>Architecture scalable : chaque service peut etre mis a l'echelle independamment</w:t>
      </w:r>
    </w:p>
    <w:p>
      <w:pPr>
        <w:pStyle w:val="ListBullet"/>
        <w:spacing w:after="60"/>
      </w:pPr>
      <w:r>
        <w:rPr>
          <w:sz w:val="21"/>
        </w:rPr>
        <w:t>Securite multicouche : JWT RBAC + BCrypt + Redis sessions + Rate Limiting</w:t>
      </w:r>
    </w:p>
    <w:p>
      <w:pPr>
        <w:pStyle w:val="ListBullet"/>
        <w:spacing w:after="60"/>
      </w:pPr>
      <w:r>
        <w:rPr>
          <w:sz w:val="21"/>
        </w:rPr>
        <w:t>Resilience : communication asynchrone RabbitMQ, gestion des erreurs Feign</w:t>
      </w:r>
    </w:p>
    <w:p>
      <w:pPr>
        <w:pStyle w:val="ListBullet"/>
        <w:spacing w:after="60"/>
      </w:pPr>
      <w:r>
        <w:rPr>
          <w:sz w:val="21"/>
        </w:rPr>
        <w:t>Experience utilisateur : interfaces adaptees a chaque role, actions contextuelles</w:t>
      </w:r>
    </w:p>
    <w:p>
      <w:pPr>
        <w:pStyle w:val="ListBullet"/>
        <w:spacing w:after="60"/>
      </w:pPr>
      <w:r>
        <w:rPr>
          <w:sz w:val="21"/>
        </w:rPr>
        <w:t>Integration tiers : CamPay (Mobile Money), Twilio (SMS), Google Drive (KYC)</w:t>
      </w:r>
    </w:p>
    <w:p>
      <w:pPr>
        <w:pStyle w:val="ListBullet"/>
        <w:spacing w:after="60"/>
      </w:pPr>
      <w:r>
        <w:rPr>
          <w:sz w:val="21"/>
        </w:rPr>
        <w:t>Observabilite : logs structures, Spring Actuator health checks</w:t>
      </w:r>
    </w:p>
    <w:p>
      <w:pPr>
        <w:pStyle w:val="ListBullet"/>
        <w:spacing w:after="60"/>
      </w:pPr>
      <w:r>
        <w:rPr>
          <w:sz w:val="21"/>
        </w:rPr>
        <w:t>Portabilite : deploiement complet en une commande Docker Compose</w:t>
      </w:r>
    </w:p>
    <w:p>
      <w:pPr>
        <w:pStyle w:val="Heading2"/>
        <w:spacing w:before="240" w:after="120"/>
      </w:pPr>
      <w:r>
        <w:rPr>
          <w:color w:val="064E3B"/>
        </w:rPr>
        <w:t>Perspectives d'Evolution</w:t>
      </w:r>
    </w:p>
    <w:p>
      <w:pPr>
        <w:pStyle w:val="ListBullet"/>
        <w:spacing w:after="60"/>
      </w:pPr>
      <w:r>
        <w:rPr>
          <w:sz w:val="21"/>
        </w:rPr>
        <w:t>Migration vers Kubernetes pour l'orchestration en production</w:t>
      </w:r>
    </w:p>
    <w:p>
      <w:pPr>
        <w:pStyle w:val="ListBullet"/>
        <w:spacing w:after="60"/>
      </w:pPr>
      <w:r>
        <w:rPr>
          <w:sz w:val="21"/>
        </w:rPr>
        <w:t>Centralisation des logs avec ELK Stack (Elasticsearch, Logstash, Kibana)</w:t>
      </w:r>
    </w:p>
    <w:p>
      <w:pPr>
        <w:pStyle w:val="ListBullet"/>
        <w:spacing w:after="60"/>
      </w:pPr>
      <w:r>
        <w:rPr>
          <w:sz w:val="21"/>
        </w:rPr>
        <w:t>Mise en place de Keycloak pour la gestion centralisee des identites (SSO)</w:t>
      </w:r>
    </w:p>
    <w:p>
      <w:pPr>
        <w:pStyle w:val="ListBullet"/>
        <w:spacing w:after="60"/>
      </w:pPr>
      <w:r>
        <w:rPr>
          <w:sz w:val="21"/>
        </w:rPr>
        <w:t>Circuit Breaker (Resilience4j) pour la tolerance aux pannes entre services</w:t>
      </w:r>
    </w:p>
    <w:p>
      <w:pPr>
        <w:pStyle w:val="ListBullet"/>
        <w:spacing w:after="60"/>
      </w:pPr>
      <w:r>
        <w:rPr>
          <w:sz w:val="21"/>
        </w:rPr>
        <w:t>Application mobile native (React Native / Flutter)</w:t>
      </w:r>
    </w:p>
    <w:p>
      <w:pPr>
        <w:pStyle w:val="ListBullet"/>
        <w:spacing w:after="60"/>
      </w:pPr>
      <w:r>
        <w:rPr>
          <w:sz w:val="21"/>
        </w:rPr>
        <w:t>Intelligence artificielle pour la notation de credit (ML credit scoring)</w:t>
      </w:r>
    </w:p>
    <w:p>
      <w:pPr>
        <w:pStyle w:val="ListBullet"/>
        <w:spacing w:after="60"/>
      </w:pPr>
      <w:r>
        <w:rPr>
          <w:sz w:val="21"/>
        </w:rPr>
        <w:t>Audit trail complet et conformite reglementaire</w:t>
      </w:r>
    </w:p>
    <w:p>
      <w:pPr>
        <w:pStyle w:val="ListBullet"/>
        <w:spacing w:after="60"/>
      </w:pPr>
      <w:r>
        <w:rPr>
          <w:sz w:val="21"/>
        </w:rPr>
        <w:t>API publique documentee (OpenAPI 3.0) pour partenaires tiers</w:t>
      </w:r>
    </w:p>
    <w:p/>
    <w:p/>
    <w:p>
      <w:pPr>
        <w:jc w:val="center"/>
      </w:pPr>
      <w:r>
        <w:rPr>
          <w:i/>
          <w:color w:val="064E3B"/>
          <w:sz w:val="20"/>
        </w:rPr>
        <w:t>— MicrofinanceHub — Rapport de Presentation —</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