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color w:val="064E3B"/>
          <w:sz w:val="56"/>
        </w:rPr>
        <w:t>RAPPORT DE PROJET</w:t>
      </w:r>
    </w:p>
    <w:p>
      <w:pPr>
        <w:jc w:val="center"/>
      </w:pPr>
      <w:r>
        <w:rPr>
          <w:b/>
          <w:color w:val="064E3B"/>
          <w:sz w:val="44"/>
        </w:rPr>
        <w:t>MicrofinanceHub</w:t>
      </w:r>
    </w:p>
    <w:p/>
    <w:p>
      <w:pPr>
        <w:jc w:val="center"/>
      </w:pPr>
      <w:r>
        <w:rPr>
          <w:sz w:val="28"/>
        </w:rPr>
        <w:t>Plateforme Microservices de Gestion de Microfinance</w:t>
      </w:r>
    </w:p>
    <w:p/>
    <w:p/>
    <w:p>
      <w:pPr>
        <w:jc w:val="center"/>
      </w:pPr>
      <w:r>
        <w:rPr>
          <w:sz w:val="24"/>
        </w:rPr>
        <w:t>Date : 15 May 2026</w:t>
      </w:r>
    </w:p>
    <w:p/>
    <w:p>
      <w:pPr>
        <w:jc w:val="center"/>
      </w:pPr>
      <w:r>
        <w:rPr>
          <w:sz w:val="22"/>
        </w:rPr>
        <w:t>Architecture : Microservices Spring Boot | Frontend : React</w:t>
      </w:r>
    </w:p>
    <w:p>
      <w:r>
        <w:br w:type="page"/>
      </w:r>
    </w:p>
    <w:p>
      <w:pPr>
        <w:pStyle w:val="Heading1"/>
        <w:spacing w:before="240" w:after="120"/>
      </w:pPr>
      <w:r>
        <w:rPr>
          <w:color w:val="064E3B"/>
        </w:rPr>
        <w:t>Table des Matières</w:t>
      </w:r>
    </w:p>
    <w:p>
      <w:pPr>
        <w:spacing w:after="40"/>
      </w:pPr>
      <w:r>
        <w:rPr>
          <w:sz w:val="22"/>
        </w:rPr>
        <w:t>1.  Introduction et Contexte</w:t>
      </w:r>
    </w:p>
    <w:p>
      <w:pPr>
        <w:spacing w:after="40"/>
      </w:pPr>
      <w:r>
        <w:rPr>
          <w:sz w:val="22"/>
        </w:rPr>
        <w:t>2.  Présentation du Projet</w:t>
      </w:r>
    </w:p>
    <w:p>
      <w:pPr>
        <w:spacing w:after="40"/>
      </w:pPr>
      <w:r>
        <w:rPr>
          <w:sz w:val="22"/>
        </w:rPr>
        <w:t>3.  Architecture Globale</w:t>
      </w:r>
    </w:p>
    <w:p>
      <w:pPr>
        <w:spacing w:after="40"/>
      </w:pPr>
      <w:r>
        <w:rPr>
          <w:sz w:val="22"/>
        </w:rPr>
        <w:t>4.  Architecture Technique — Stack</w:t>
      </w:r>
    </w:p>
    <w:p>
      <w:pPr>
        <w:spacing w:after="40"/>
      </w:pPr>
      <w:r>
        <w:rPr>
          <w:sz w:val="22"/>
        </w:rPr>
        <w:t>5.  Diagrammes UML</w:t>
      </w:r>
    </w:p>
    <w:p>
      <w:pPr>
        <w:spacing w:after="40"/>
      </w:pPr>
      <w:r>
        <w:rPr>
          <w:sz w:val="22"/>
        </w:rPr>
        <w:t xml:space="preserve">    5.1.  Cas d'Utilisation</w:t>
      </w:r>
    </w:p>
    <w:p>
      <w:pPr>
        <w:spacing w:after="40"/>
      </w:pPr>
      <w:r>
        <w:rPr>
          <w:sz w:val="22"/>
        </w:rPr>
        <w:t xml:space="preserve">    5.2.  Séquence — Authentification JWT</w:t>
      </w:r>
    </w:p>
    <w:p>
      <w:pPr>
        <w:spacing w:after="40"/>
      </w:pPr>
      <w:r>
        <w:rPr>
          <w:sz w:val="22"/>
        </w:rPr>
        <w:t xml:space="preserve">    5.3.  Séquence — Demande de Prêt</w:t>
      </w:r>
    </w:p>
    <w:p>
      <w:pPr>
        <w:spacing w:after="40"/>
      </w:pPr>
      <w:r>
        <w:rPr>
          <w:sz w:val="22"/>
        </w:rPr>
        <w:t xml:space="preserve">    5.4.  Diagramme de Classes</w:t>
      </w:r>
    </w:p>
    <w:p>
      <w:pPr>
        <w:spacing w:after="40"/>
      </w:pPr>
      <w:r>
        <w:rPr>
          <w:sz w:val="22"/>
        </w:rPr>
        <w:t>6.  Communication Inter-Services (RabbitMQ)</w:t>
      </w:r>
    </w:p>
    <w:p>
      <w:pPr>
        <w:spacing w:after="40"/>
      </w:pPr>
      <w:r>
        <w:rPr>
          <w:sz w:val="22"/>
        </w:rPr>
        <w:t>7.  Modèle de Données</w:t>
      </w:r>
    </w:p>
    <w:p>
      <w:pPr>
        <w:spacing w:after="40"/>
      </w:pPr>
      <w:r>
        <w:rPr>
          <w:sz w:val="22"/>
        </w:rPr>
        <w:t>8.  Sécurité et Authentification</w:t>
      </w:r>
    </w:p>
    <w:p>
      <w:pPr>
        <w:spacing w:after="40"/>
      </w:pPr>
      <w:r>
        <w:rPr>
          <w:sz w:val="22"/>
        </w:rPr>
        <w:t>9.  Services Développés</w:t>
      </w:r>
    </w:p>
    <w:p>
      <w:pPr>
        <w:spacing w:after="40"/>
      </w:pPr>
      <w:r>
        <w:rPr>
          <w:sz w:val="22"/>
        </w:rPr>
        <w:t>10.  Interface Utilisateur</w:t>
      </w:r>
    </w:p>
    <w:p>
      <w:pPr>
        <w:spacing w:after="40"/>
      </w:pPr>
      <w:r>
        <w:rPr>
          <w:sz w:val="22"/>
        </w:rPr>
        <w:t>11.  Déploiement et Infrastructure</w:t>
      </w:r>
    </w:p>
    <w:p>
      <w:pPr>
        <w:spacing w:after="40"/>
      </w:pPr>
      <w:r>
        <w:rPr>
          <w:sz w:val="22"/>
        </w:rPr>
        <w:t>12.  Conclusion et Perspectives</w:t>
      </w:r>
    </w:p>
    <w:p>
      <w:r>
        <w:br w:type="page"/>
      </w:r>
    </w:p>
    <w:p>
      <w:pPr>
        <w:pStyle w:val="Heading1"/>
        <w:spacing w:before="240" w:after="120"/>
      </w:pPr>
      <w:r>
        <w:rPr>
          <w:color w:val="064E3B"/>
        </w:rPr>
        <w:t>1. Introduction et Contexte</w:t>
      </w:r>
    </w:p>
    <w:p>
      <w:pPr>
        <w:spacing w:after="120"/>
      </w:pPr>
      <w:r>
        <w:rPr>
          <w:b w:val="0"/>
          <w:sz w:val="22"/>
        </w:rPr>
        <w:t>Le secteur de la microfinance joue un rôle crucial dans l'inclusion financière, notamment dans les économies émergentes. Les institutions de microfinance (IMF) gèrent quotidiennement une grande diversité d'opérations : gestion des clients, des comptes bancaires, des prêts, des remboursements et des paiements mobiles. Ce volume d'opérations nécessite un système d'information robuste, scalable et sécurisé.</w:t>
      </w:r>
    </w:p>
    <w:p>
      <w:pPr>
        <w:spacing w:after="120"/>
      </w:pPr>
      <w:r>
        <w:rPr>
          <w:b w:val="0"/>
          <w:sz w:val="22"/>
        </w:rPr>
        <w:t>C'est dans ce contexte que s'inscrit MicrofinanceHub : une plateforme complète de gestion de microfinance construite sur une architecture microservices moderne. Le projet répond aux exigences de performance, de maintenabilité et d'évolutivité des systèmes d'information contemporains.</w:t>
      </w:r>
    </w:p>
    <w:p>
      <w:pPr>
        <w:pStyle w:val="Heading2"/>
        <w:spacing w:before="240" w:after="120"/>
      </w:pPr>
      <w:r>
        <w:rPr>
          <w:color w:val="064E3B"/>
        </w:rPr>
        <w:t>Objectifs du Projet</w:t>
      </w:r>
    </w:p>
    <w:p>
      <w:pPr>
        <w:pStyle w:val="ListBullet"/>
        <w:spacing w:after="60"/>
      </w:pPr>
      <w:r>
        <w:rPr>
          <w:sz w:val="21"/>
        </w:rPr>
        <w:t>Digitaliser l'ensemble du cycle de vie d'une institution de microfinance</w:t>
      </w:r>
    </w:p>
    <w:p>
      <w:pPr>
        <w:pStyle w:val="ListBullet"/>
        <w:spacing w:after="60"/>
      </w:pPr>
      <w:r>
        <w:rPr>
          <w:sz w:val="21"/>
        </w:rPr>
        <w:t>Garantir la séparation des responsabilités via une architecture microservices</w:t>
      </w:r>
    </w:p>
    <w:p>
      <w:pPr>
        <w:pStyle w:val="ListBullet"/>
        <w:spacing w:after="60"/>
      </w:pPr>
      <w:r>
        <w:rPr>
          <w:sz w:val="21"/>
        </w:rPr>
        <w:t>Assurer une sécurité robuste basée sur JWT et RBAC (4 rôles : Admin, Directeur, Agent, Client)</w:t>
      </w:r>
    </w:p>
    <w:p>
      <w:pPr>
        <w:pStyle w:val="ListBullet"/>
        <w:spacing w:after="60"/>
      </w:pPr>
      <w:r>
        <w:rPr>
          <w:sz w:val="21"/>
        </w:rPr>
        <w:t>Intégrer les paiements mobiles (Mobile Money via CamPay)</w:t>
      </w:r>
    </w:p>
    <w:p>
      <w:pPr>
        <w:pStyle w:val="ListBullet"/>
        <w:spacing w:after="60"/>
      </w:pPr>
      <w:r>
        <w:rPr>
          <w:sz w:val="21"/>
        </w:rPr>
        <w:t>Offrir des tableaux de bord adaptés à chaque rôle utilisateur</w:t>
      </w:r>
    </w:p>
    <w:p>
      <w:pPr>
        <w:pStyle w:val="ListBullet"/>
        <w:spacing w:after="60"/>
      </w:pPr>
      <w:r>
        <w:rPr>
          <w:sz w:val="21"/>
        </w:rPr>
        <w:t>Déployer l'ensemble via Docker Compose pour une portabilité maximale</w:t>
      </w:r>
    </w:p>
    <w:p>
      <w:r>
        <w:br w:type="page"/>
      </w:r>
    </w:p>
    <w:p>
      <w:pPr>
        <w:pStyle w:val="Heading1"/>
        <w:spacing w:before="240" w:after="120"/>
      </w:pPr>
      <w:r>
        <w:rPr>
          <w:color w:val="064E3B"/>
        </w:rPr>
        <w:t>2. Présentation du Projet</w:t>
      </w:r>
    </w:p>
    <w:p>
      <w:pPr>
        <w:spacing w:after="120"/>
      </w:pPr>
      <w:r>
        <w:rPr>
          <w:b w:val="0"/>
          <w:sz w:val="22"/>
        </w:rPr>
        <w:t>MicrofinanceHub est une application web full-stack composée de 12 microservices backend et d'un frontend React. Elle couvre l'ensemble du périmètre fonctionnel d'une IMF moderne : de la création du profil client jusqu'au reporting financier avancé.</w:t>
      </w:r>
    </w:p>
    <w:p>
      <w:pPr>
        <w:pStyle w:val="Heading2"/>
        <w:spacing w:before="240" w:after="120"/>
      </w:pPr>
      <w:r>
        <w:rPr>
          <w:color w:val="064E3B"/>
        </w:rPr>
        <w:t>2.1 Rôles Utilisateurs</w:t>
      </w:r>
    </w:p>
    <w:tbl>
      <w:tblPr>
        <w:tblStyle w:val="LightShading-Accent6"/>
        <w:tblW w:type="auto" w:w="0"/>
        <w:jc w:val="center"/>
        <w:tblLook w:firstColumn="1" w:firstRow="1" w:lastColumn="0" w:lastRow="0" w:noHBand="0" w:noVBand="1" w:val="04A0"/>
      </w:tblPr>
      <w:tblGrid>
        <w:gridCol w:w="3022"/>
        <w:gridCol w:w="3022"/>
        <w:gridCol w:w="3022"/>
      </w:tblGrid>
      <w:tr>
        <w:tc>
          <w:tcPr>
            <w:tcW w:type="dxa" w:w="3022"/>
          </w:tcPr>
          <w:p>
            <w:r>
              <w:rPr>
                <w:b/>
                <w:sz w:val="19"/>
              </w:rPr>
              <w:t>Rôle</w:t>
            </w:r>
          </w:p>
        </w:tc>
        <w:tc>
          <w:tcPr>
            <w:tcW w:type="dxa" w:w="3022"/>
          </w:tcPr>
          <w:p>
            <w:r>
              <w:rPr>
                <w:b/>
                <w:sz w:val="19"/>
              </w:rPr>
              <w:t>Responsabilités</w:t>
            </w:r>
          </w:p>
        </w:tc>
        <w:tc>
          <w:tcPr>
            <w:tcW w:type="dxa" w:w="3022"/>
          </w:tcPr>
          <w:p>
            <w:r>
              <w:rPr>
                <w:b/>
                <w:sz w:val="19"/>
              </w:rPr>
              <w:t>Accès</w:t>
            </w:r>
          </w:p>
        </w:tc>
      </w:tr>
      <w:tr>
        <w:tc>
          <w:tcPr>
            <w:tcW w:type="dxa" w:w="3022"/>
          </w:tcPr>
          <w:p>
            <w:r>
              <w:rPr>
                <w:sz w:val="18"/>
              </w:rPr>
              <w:t>👑 Administrateur</w:t>
            </w:r>
          </w:p>
        </w:tc>
        <w:tc>
          <w:tcPr>
            <w:tcW w:type="dxa" w:w="3022"/>
          </w:tcPr>
          <w:p>
            <w:r>
              <w:rPr>
                <w:sz w:val="18"/>
              </w:rPr>
              <w:t>Gestion globale : utilisateurs, agences, validations</w:t>
            </w:r>
          </w:p>
        </w:tc>
        <w:tc>
          <w:tcPr>
            <w:tcW w:type="dxa" w:w="3022"/>
          </w:tcPr>
          <w:p>
            <w:r>
              <w:rPr>
                <w:sz w:val="18"/>
              </w:rPr>
              <w:t>Toutes sections, toutes agences</w:t>
            </w:r>
          </w:p>
        </w:tc>
      </w:tr>
      <w:tr>
        <w:tc>
          <w:tcPr>
            <w:tcW w:type="dxa" w:w="3022"/>
          </w:tcPr>
          <w:p>
            <w:r>
              <w:rPr>
                <w:sz w:val="18"/>
              </w:rPr>
              <w:t>🏢 Directeur d'Agence</w:t>
            </w:r>
          </w:p>
        </w:tc>
        <w:tc>
          <w:tcPr>
            <w:tcW w:type="dxa" w:w="3022"/>
          </w:tcPr>
          <w:p>
            <w:r>
              <w:rPr>
                <w:sz w:val="18"/>
              </w:rPr>
              <w:t>Supervision agence : clients, agents, validations, prêts</w:t>
            </w:r>
          </w:p>
        </w:tc>
        <w:tc>
          <w:tcPr>
            <w:tcW w:type="dxa" w:w="3022"/>
          </w:tcPr>
          <w:p>
            <w:r>
              <w:rPr>
                <w:sz w:val="18"/>
              </w:rPr>
              <w:t>Données de son agence uniquement</w:t>
            </w:r>
          </w:p>
        </w:tc>
      </w:tr>
      <w:tr>
        <w:tc>
          <w:tcPr>
            <w:tcW w:type="dxa" w:w="3022"/>
          </w:tcPr>
          <w:p>
            <w:r>
              <w:rPr>
                <w:sz w:val="18"/>
              </w:rPr>
              <w:t>👔 Agent de Terrain</w:t>
            </w:r>
          </w:p>
        </w:tc>
        <w:tc>
          <w:tcPr>
            <w:tcW w:type="dxa" w:w="3022"/>
          </w:tcPr>
          <w:p>
            <w:r>
              <w:rPr>
                <w:sz w:val="18"/>
              </w:rPr>
              <w:t>Opérations quotidiennes : clients, comptes, guichet</w:t>
            </w:r>
          </w:p>
        </w:tc>
        <w:tc>
          <w:tcPr>
            <w:tcW w:type="dxa" w:w="3022"/>
          </w:tcPr>
          <w:p>
            <w:r>
              <w:rPr>
                <w:sz w:val="18"/>
              </w:rPr>
              <w:t>Ses clients assignés</w:t>
            </w:r>
          </w:p>
        </w:tc>
      </w:tr>
      <w:tr>
        <w:tc>
          <w:tcPr>
            <w:tcW w:type="dxa" w:w="3022"/>
          </w:tcPr>
          <w:p>
            <w:r>
              <w:rPr>
                <w:sz w:val="18"/>
              </w:rPr>
              <w:t>💳 Client</w:t>
            </w:r>
          </w:p>
        </w:tc>
        <w:tc>
          <w:tcPr>
            <w:tcW w:type="dxa" w:w="3022"/>
          </w:tcPr>
          <w:p>
            <w:r>
              <w:rPr>
                <w:sz w:val="18"/>
              </w:rPr>
              <w:t>Consultation, paiements, suivi des prêts</w:t>
            </w:r>
          </w:p>
        </w:tc>
        <w:tc>
          <w:tcPr>
            <w:tcW w:type="dxa" w:w="3022"/>
          </w:tcPr>
          <w:p>
            <w:r>
              <w:rPr>
                <w:sz w:val="18"/>
              </w:rPr>
              <w:t>Son profil uniquement</w:t>
            </w:r>
          </w:p>
        </w:tc>
      </w:tr>
    </w:tbl>
    <w:p/>
    <w:p>
      <w:pPr>
        <w:pStyle w:val="Heading2"/>
        <w:spacing w:before="240" w:after="120"/>
      </w:pPr>
      <w:r>
        <w:rPr>
          <w:color w:val="064E3B"/>
        </w:rPr>
        <w:t>2.2 Fonctionnalités Clés</w:t>
      </w:r>
    </w:p>
    <w:p>
      <w:pPr>
        <w:pStyle w:val="ListBullet"/>
        <w:spacing w:after="60"/>
      </w:pPr>
      <w:r>
        <w:rPr>
          <w:sz w:val="21"/>
        </w:rPr>
        <w:t>Gestion complète des clients (KYC, documents, score crédit)</w:t>
      </w:r>
    </w:p>
    <w:p>
      <w:pPr>
        <w:pStyle w:val="ListBullet"/>
        <w:spacing w:after="60"/>
      </w:pPr>
      <w:r>
        <w:rPr>
          <w:sz w:val="21"/>
        </w:rPr>
        <w:t>Ouverture et gestion de comptes bancaires (Courant, Épargne, Micro-épargne)</w:t>
      </w:r>
    </w:p>
    <w:p>
      <w:pPr>
        <w:pStyle w:val="ListBullet"/>
        <w:spacing w:after="60"/>
      </w:pPr>
      <w:r>
        <w:rPr>
          <w:sz w:val="21"/>
        </w:rPr>
        <w:t>Cycle de prêt complet : demande → éligibilité → approbation → décaissement → remboursement</w:t>
      </w:r>
    </w:p>
    <w:p>
      <w:pPr>
        <w:pStyle w:val="ListBullet"/>
        <w:spacing w:after="60"/>
      </w:pPr>
      <w:r>
        <w:rPr>
          <w:sz w:val="21"/>
        </w:rPr>
        <w:t>Calcul automatique du plan d'amortissement</w:t>
      </w:r>
    </w:p>
    <w:p>
      <w:pPr>
        <w:pStyle w:val="ListBullet"/>
        <w:spacing w:after="60"/>
      </w:pPr>
      <w:r>
        <w:rPr>
          <w:sz w:val="21"/>
        </w:rPr>
        <w:t>Paiements Multi-canal : Espèces, Mobile Money (CamPay), Virement, Chèque</w:t>
      </w:r>
    </w:p>
    <w:p>
      <w:pPr>
        <w:pStyle w:val="ListBullet"/>
        <w:spacing w:after="60"/>
      </w:pPr>
      <w:r>
        <w:rPr>
          <w:sz w:val="21"/>
        </w:rPr>
        <w:t>Notifications temps réel : Email (Thymeleaf) + SMS (Twilio)</w:t>
      </w:r>
    </w:p>
    <w:p>
      <w:pPr>
        <w:pStyle w:val="ListBullet"/>
        <w:spacing w:after="60"/>
      </w:pPr>
      <w:r>
        <w:rPr>
          <w:sz w:val="21"/>
        </w:rPr>
        <w:t>Transactions financières : Dépôt, Retrait, Virement inter-comptes</w:t>
      </w:r>
    </w:p>
    <w:p>
      <w:pPr>
        <w:pStyle w:val="ListBullet"/>
        <w:spacing w:after="60"/>
      </w:pPr>
      <w:r>
        <w:rPr>
          <w:sz w:val="21"/>
        </w:rPr>
        <w:t>Rapports et tableaux de bord par agence et globaux</w:t>
      </w:r>
    </w:p>
    <w:p>
      <w:pPr>
        <w:pStyle w:val="ListBullet"/>
        <w:spacing w:after="60"/>
      </w:pPr>
      <w:r>
        <w:rPr>
          <w:sz w:val="21"/>
        </w:rPr>
        <w:t>Gestion multi-agences avec hiérarchie Directeur/Agent</w:t>
      </w:r>
    </w:p>
    <w:p>
      <w:pPr>
        <w:pStyle w:val="ListBullet"/>
        <w:spacing w:after="60"/>
      </w:pPr>
      <w:r>
        <w:rPr>
          <w:sz w:val="21"/>
        </w:rPr>
        <w:t>Stockage documents KYC sur Google Drive</w:t>
      </w:r>
    </w:p>
    <w:p>
      <w:r>
        <w:br w:type="page"/>
      </w:r>
    </w:p>
    <w:p>
      <w:pPr>
        <w:pStyle w:val="Heading1"/>
        <w:spacing w:before="240" w:after="120"/>
      </w:pPr>
      <w:r>
        <w:rPr>
          <w:color w:val="064E3B"/>
        </w:rPr>
        <w:t>3. Architecture Globale</w:t>
      </w:r>
    </w:p>
    <w:p>
      <w:pPr>
        <w:spacing w:after="120"/>
      </w:pPr>
      <w:r>
        <w:rPr>
          <w:b w:val="0"/>
          <w:sz w:val="22"/>
        </w:rPr>
        <w:t>Le système adopte une architecture microservices où chaque service est indépendant, déployable séparément et responsable d'un domaine métier précis. Les services communiquent via REST (synchrone) et RabbitMQ (asynchrone).</w:t>
      </w:r>
    </w:p>
    <w:p>
      <w:r>
        <w:drawing>
          <wp:inline xmlns:a="http://schemas.openxmlformats.org/drawingml/2006/main" xmlns:pic="http://schemas.openxmlformats.org/drawingml/2006/picture">
            <wp:extent cx="5943600" cy="387434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943600" cy="3874347"/>
                    </a:xfrm>
                    <a:prstGeom prst="rect"/>
                  </pic:spPr>
                </pic:pic>
              </a:graphicData>
            </a:graphic>
          </wp:inline>
        </w:drawing>
      </w:r>
    </w:p>
    <w:p>
      <w:pPr>
        <w:jc w:val="center"/>
      </w:pPr>
      <w:r>
        <w:rPr>
          <w:i/>
          <w:color w:val="444444"/>
          <w:sz w:val="18"/>
        </w:rPr>
        <w:t>Figure 1 — Architecture Globale MicrofinanceHub</w:t>
      </w:r>
    </w:p>
    <w:p/>
    <w:p>
      <w:pPr>
        <w:pStyle w:val="Heading2"/>
        <w:spacing w:before="240" w:after="120"/>
      </w:pPr>
      <w:r>
        <w:rPr>
          <w:color w:val="064E3B"/>
        </w:rPr>
        <w:t>3.1 Inventaire des Services</w:t>
      </w:r>
    </w:p>
    <w:tbl>
      <w:tblPr>
        <w:tblStyle w:val="LightShading-Accent6"/>
        <w:tblW w:type="auto" w:w="0"/>
        <w:jc w:val="center"/>
        <w:tblLook w:firstColumn="1" w:firstRow="1" w:lastColumn="0" w:lastRow="0" w:noHBand="0" w:noVBand="1" w:val="04A0"/>
      </w:tblPr>
      <w:tblGrid>
        <w:gridCol w:w="2266"/>
        <w:gridCol w:w="2266"/>
        <w:gridCol w:w="2266"/>
        <w:gridCol w:w="2266"/>
      </w:tblGrid>
      <w:tr>
        <w:tc>
          <w:tcPr>
            <w:tcW w:type="dxa" w:w="2266"/>
          </w:tcPr>
          <w:p>
            <w:r>
              <w:rPr>
                <w:b/>
                <w:sz w:val="19"/>
              </w:rPr>
              <w:t>Service</w:t>
            </w:r>
          </w:p>
        </w:tc>
        <w:tc>
          <w:tcPr>
            <w:tcW w:type="dxa" w:w="2266"/>
          </w:tcPr>
          <w:p>
            <w:r>
              <w:rPr>
                <w:b/>
                <w:sz w:val="19"/>
              </w:rPr>
              <w:t>Port</w:t>
            </w:r>
          </w:p>
        </w:tc>
        <w:tc>
          <w:tcPr>
            <w:tcW w:type="dxa" w:w="2266"/>
          </w:tcPr>
          <w:p>
            <w:r>
              <w:rPr>
                <w:b/>
                <w:sz w:val="19"/>
              </w:rPr>
              <w:t>Rôle</w:t>
            </w:r>
          </w:p>
        </w:tc>
        <w:tc>
          <w:tcPr>
            <w:tcW w:type="dxa" w:w="2266"/>
          </w:tcPr>
          <w:p>
            <w:r>
              <w:rPr>
                <w:b/>
                <w:sz w:val="19"/>
              </w:rPr>
              <w:t>Base de données</w:t>
            </w:r>
          </w:p>
        </w:tc>
      </w:tr>
      <w:tr>
        <w:tc>
          <w:tcPr>
            <w:tcW w:type="dxa" w:w="2266"/>
          </w:tcPr>
          <w:p>
            <w:r>
              <w:rPr>
                <w:sz w:val="18"/>
              </w:rPr>
              <w:t>config-service</w:t>
            </w:r>
          </w:p>
        </w:tc>
        <w:tc>
          <w:tcPr>
            <w:tcW w:type="dxa" w:w="2266"/>
          </w:tcPr>
          <w:p>
            <w:r>
              <w:rPr>
                <w:sz w:val="18"/>
              </w:rPr>
              <w:t>8000</w:t>
            </w:r>
          </w:p>
        </w:tc>
        <w:tc>
          <w:tcPr>
            <w:tcW w:type="dxa" w:w="2266"/>
          </w:tcPr>
          <w:p>
            <w:r>
              <w:rPr>
                <w:sz w:val="18"/>
              </w:rPr>
              <w:t>Serveur de configuration centralisé (Spring Cloud Config)</w:t>
            </w:r>
          </w:p>
        </w:tc>
        <w:tc>
          <w:tcPr>
            <w:tcW w:type="dxa" w:w="2266"/>
          </w:tcPr>
          <w:p>
            <w:r>
              <w:rPr>
                <w:sz w:val="18"/>
              </w:rPr>
              <w:t>—</w:t>
            </w:r>
          </w:p>
        </w:tc>
      </w:tr>
      <w:tr>
        <w:tc>
          <w:tcPr>
            <w:tcW w:type="dxa" w:w="2266"/>
          </w:tcPr>
          <w:p>
            <w:r>
              <w:rPr>
                <w:sz w:val="18"/>
              </w:rPr>
              <w:t>registry-service</w:t>
            </w:r>
          </w:p>
        </w:tc>
        <w:tc>
          <w:tcPr>
            <w:tcW w:type="dxa" w:w="2266"/>
          </w:tcPr>
          <w:p>
            <w:r>
              <w:rPr>
                <w:sz w:val="18"/>
              </w:rPr>
              <w:t>8761</w:t>
            </w:r>
          </w:p>
        </w:tc>
        <w:tc>
          <w:tcPr>
            <w:tcW w:type="dxa" w:w="2266"/>
          </w:tcPr>
          <w:p>
            <w:r>
              <w:rPr>
                <w:sz w:val="18"/>
              </w:rPr>
              <w:t>Service Discovery (Eureka)</w:t>
            </w:r>
          </w:p>
        </w:tc>
        <w:tc>
          <w:tcPr>
            <w:tcW w:type="dxa" w:w="2266"/>
          </w:tcPr>
          <w:p>
            <w:r>
              <w:rPr>
                <w:sz w:val="18"/>
              </w:rPr>
              <w:t>—</w:t>
            </w:r>
          </w:p>
        </w:tc>
      </w:tr>
      <w:tr>
        <w:tc>
          <w:tcPr>
            <w:tcW w:type="dxa" w:w="2266"/>
          </w:tcPr>
          <w:p>
            <w:r>
              <w:rPr>
                <w:sz w:val="18"/>
              </w:rPr>
              <w:t>api-gateway</w:t>
            </w:r>
          </w:p>
        </w:tc>
        <w:tc>
          <w:tcPr>
            <w:tcW w:type="dxa" w:w="2266"/>
          </w:tcPr>
          <w:p>
            <w:r>
              <w:rPr>
                <w:sz w:val="18"/>
              </w:rPr>
              <w:t>8091</w:t>
            </w:r>
          </w:p>
        </w:tc>
        <w:tc>
          <w:tcPr>
            <w:tcW w:type="dxa" w:w="2266"/>
          </w:tcPr>
          <w:p>
            <w:r>
              <w:rPr>
                <w:sz w:val="18"/>
              </w:rPr>
              <w:t>Point d'entrée unique, routage, CORS</w:t>
            </w:r>
          </w:p>
        </w:tc>
        <w:tc>
          <w:tcPr>
            <w:tcW w:type="dxa" w:w="2266"/>
          </w:tcPr>
          <w:p>
            <w:r>
              <w:rPr>
                <w:sz w:val="18"/>
              </w:rPr>
              <w:t>—</w:t>
            </w:r>
          </w:p>
        </w:tc>
      </w:tr>
      <w:tr>
        <w:tc>
          <w:tcPr>
            <w:tcW w:type="dxa" w:w="2266"/>
          </w:tcPr>
          <w:p>
            <w:r>
              <w:rPr>
                <w:sz w:val="18"/>
              </w:rPr>
              <w:t>auth-service</w:t>
            </w:r>
          </w:p>
        </w:tc>
        <w:tc>
          <w:tcPr>
            <w:tcW w:type="dxa" w:w="2266"/>
          </w:tcPr>
          <w:p>
            <w:r>
              <w:rPr>
                <w:sz w:val="18"/>
              </w:rPr>
              <w:t>8080</w:t>
            </w:r>
          </w:p>
        </w:tc>
        <w:tc>
          <w:tcPr>
            <w:tcW w:type="dxa" w:w="2266"/>
          </w:tcPr>
          <w:p>
            <w:r>
              <w:rPr>
                <w:sz w:val="18"/>
              </w:rPr>
              <w:t>Authentification, JWT, sessions Redis</w:t>
            </w:r>
          </w:p>
        </w:tc>
        <w:tc>
          <w:tcPr>
            <w:tcW w:type="dxa" w:w="2266"/>
          </w:tcPr>
          <w:p>
            <w:r>
              <w:rPr>
                <w:sz w:val="18"/>
              </w:rPr>
              <w:t>microfinancehub_auth</w:t>
            </w:r>
          </w:p>
        </w:tc>
      </w:tr>
      <w:tr>
        <w:tc>
          <w:tcPr>
            <w:tcW w:type="dxa" w:w="2266"/>
          </w:tcPr>
          <w:p>
            <w:r>
              <w:rPr>
                <w:sz w:val="18"/>
              </w:rPr>
              <w:t>client-service</w:t>
            </w:r>
          </w:p>
        </w:tc>
        <w:tc>
          <w:tcPr>
            <w:tcW w:type="dxa" w:w="2266"/>
          </w:tcPr>
          <w:p>
            <w:r>
              <w:rPr>
                <w:sz w:val="18"/>
              </w:rPr>
              <w:t>8081</w:t>
            </w:r>
          </w:p>
        </w:tc>
        <w:tc>
          <w:tcPr>
            <w:tcW w:type="dxa" w:w="2266"/>
          </w:tcPr>
          <w:p>
            <w:r>
              <w:rPr>
                <w:sz w:val="18"/>
              </w:rPr>
              <w:t>Profils clients, documents KYC, score crédit</w:t>
            </w:r>
          </w:p>
        </w:tc>
        <w:tc>
          <w:tcPr>
            <w:tcW w:type="dxa" w:w="2266"/>
          </w:tcPr>
          <w:p>
            <w:r>
              <w:rPr>
                <w:sz w:val="18"/>
              </w:rPr>
              <w:t>microfinancehub_client</w:t>
            </w:r>
          </w:p>
        </w:tc>
      </w:tr>
      <w:tr>
        <w:tc>
          <w:tcPr>
            <w:tcW w:type="dxa" w:w="2266"/>
          </w:tcPr>
          <w:p>
            <w:r>
              <w:rPr>
                <w:sz w:val="18"/>
              </w:rPr>
              <w:t>account-service</w:t>
            </w:r>
          </w:p>
        </w:tc>
        <w:tc>
          <w:tcPr>
            <w:tcW w:type="dxa" w:w="2266"/>
          </w:tcPr>
          <w:p>
            <w:r>
              <w:rPr>
                <w:sz w:val="18"/>
              </w:rPr>
              <w:t>8082</w:t>
            </w:r>
          </w:p>
        </w:tc>
        <w:tc>
          <w:tcPr>
            <w:tcW w:type="dxa" w:w="2266"/>
          </w:tcPr>
          <w:p>
            <w:r>
              <w:rPr>
                <w:sz w:val="18"/>
              </w:rPr>
              <w:t>Comptes bancaires, opérations</w:t>
            </w:r>
          </w:p>
        </w:tc>
        <w:tc>
          <w:tcPr>
            <w:tcW w:type="dxa" w:w="2266"/>
          </w:tcPr>
          <w:p>
            <w:r>
              <w:rPr>
                <w:sz w:val="18"/>
              </w:rPr>
              <w:t>microfinancehub_account</w:t>
            </w:r>
          </w:p>
        </w:tc>
      </w:tr>
      <w:tr>
        <w:tc>
          <w:tcPr>
            <w:tcW w:type="dxa" w:w="2266"/>
          </w:tcPr>
          <w:p>
            <w:r>
              <w:rPr>
                <w:sz w:val="18"/>
              </w:rPr>
              <w:t>loan-service</w:t>
            </w:r>
          </w:p>
        </w:tc>
        <w:tc>
          <w:tcPr>
            <w:tcW w:type="dxa" w:w="2266"/>
          </w:tcPr>
          <w:p>
            <w:r>
              <w:rPr>
                <w:sz w:val="18"/>
              </w:rPr>
              <w:t>8083</w:t>
            </w:r>
          </w:p>
        </w:tc>
        <w:tc>
          <w:tcPr>
            <w:tcW w:type="dxa" w:w="2266"/>
          </w:tcPr>
          <w:p>
            <w:r>
              <w:rPr>
                <w:sz w:val="18"/>
              </w:rPr>
              <w:t>Prêts, amortissement, éligibilité</w:t>
            </w:r>
          </w:p>
        </w:tc>
        <w:tc>
          <w:tcPr>
            <w:tcW w:type="dxa" w:w="2266"/>
          </w:tcPr>
          <w:p>
            <w:r>
              <w:rPr>
                <w:sz w:val="18"/>
              </w:rPr>
              <w:t>microfinancehub_loan</w:t>
            </w:r>
          </w:p>
        </w:tc>
      </w:tr>
      <w:tr>
        <w:tc>
          <w:tcPr>
            <w:tcW w:type="dxa" w:w="2266"/>
          </w:tcPr>
          <w:p>
            <w:r>
              <w:rPr>
                <w:sz w:val="18"/>
              </w:rPr>
              <w:t>repayment-service</w:t>
            </w:r>
          </w:p>
        </w:tc>
        <w:tc>
          <w:tcPr>
            <w:tcW w:type="dxa" w:w="2266"/>
          </w:tcPr>
          <w:p>
            <w:r>
              <w:rPr>
                <w:sz w:val="18"/>
              </w:rPr>
              <w:t>8084</w:t>
            </w:r>
          </w:p>
        </w:tc>
        <w:tc>
          <w:tcPr>
            <w:tcW w:type="dxa" w:w="2266"/>
          </w:tcPr>
          <w:p>
            <w:r>
              <w:rPr>
                <w:sz w:val="18"/>
              </w:rPr>
              <w:t>Remboursements, validation paiements</w:t>
            </w:r>
          </w:p>
        </w:tc>
        <w:tc>
          <w:tcPr>
            <w:tcW w:type="dxa" w:w="2266"/>
          </w:tcPr>
          <w:p>
            <w:r>
              <w:rPr>
                <w:sz w:val="18"/>
              </w:rPr>
              <w:t>microfinancehub_repayment</w:t>
            </w:r>
          </w:p>
        </w:tc>
      </w:tr>
      <w:tr>
        <w:tc>
          <w:tcPr>
            <w:tcW w:type="dxa" w:w="2266"/>
          </w:tcPr>
          <w:p>
            <w:r>
              <w:rPr>
                <w:sz w:val="18"/>
              </w:rPr>
              <w:t>reporting-service</w:t>
            </w:r>
          </w:p>
        </w:tc>
        <w:tc>
          <w:tcPr>
            <w:tcW w:type="dxa" w:w="2266"/>
          </w:tcPr>
          <w:p>
            <w:r>
              <w:rPr>
                <w:sz w:val="18"/>
              </w:rPr>
              <w:t>8085</w:t>
            </w:r>
          </w:p>
        </w:tc>
        <w:tc>
          <w:tcPr>
            <w:tcW w:type="dxa" w:w="2266"/>
          </w:tcPr>
          <w:p>
            <w:r>
              <w:rPr>
                <w:sz w:val="18"/>
              </w:rPr>
              <w:t>Rapports Excel/PDF, statistiques</w:t>
            </w:r>
          </w:p>
        </w:tc>
        <w:tc>
          <w:tcPr>
            <w:tcW w:type="dxa" w:w="2266"/>
          </w:tcPr>
          <w:p>
            <w:r>
              <w:rPr>
                <w:sz w:val="18"/>
              </w:rPr>
              <w:t>microfinancehub_reporting</w:t>
            </w:r>
          </w:p>
        </w:tc>
      </w:tr>
      <w:tr>
        <w:tc>
          <w:tcPr>
            <w:tcW w:type="dxa" w:w="2266"/>
          </w:tcPr>
          <w:p>
            <w:r>
              <w:rPr>
                <w:sz w:val="18"/>
              </w:rPr>
              <w:t>agency-service</w:t>
            </w:r>
          </w:p>
        </w:tc>
        <w:tc>
          <w:tcPr>
            <w:tcW w:type="dxa" w:w="2266"/>
          </w:tcPr>
          <w:p>
            <w:r>
              <w:rPr>
                <w:sz w:val="18"/>
              </w:rPr>
              <w:t>8086</w:t>
            </w:r>
          </w:p>
        </w:tc>
        <w:tc>
          <w:tcPr>
            <w:tcW w:type="dxa" w:w="2266"/>
          </w:tcPr>
          <w:p>
            <w:r>
              <w:rPr>
                <w:sz w:val="18"/>
              </w:rPr>
              <w:t>Agences, agents, directeurs</w:t>
            </w:r>
          </w:p>
        </w:tc>
        <w:tc>
          <w:tcPr>
            <w:tcW w:type="dxa" w:w="2266"/>
          </w:tcPr>
          <w:p>
            <w:r>
              <w:rPr>
                <w:sz w:val="18"/>
              </w:rPr>
              <w:t>microfinancehub_agency</w:t>
            </w:r>
          </w:p>
        </w:tc>
      </w:tr>
      <w:tr>
        <w:tc>
          <w:tcPr>
            <w:tcW w:type="dxa" w:w="2266"/>
          </w:tcPr>
          <w:p>
            <w:r>
              <w:rPr>
                <w:sz w:val="18"/>
              </w:rPr>
              <w:t>configuration-service</w:t>
            </w:r>
          </w:p>
        </w:tc>
        <w:tc>
          <w:tcPr>
            <w:tcW w:type="dxa" w:w="2266"/>
          </w:tcPr>
          <w:p>
            <w:r>
              <w:rPr>
                <w:sz w:val="18"/>
              </w:rPr>
              <w:t>8087</w:t>
            </w:r>
          </w:p>
        </w:tc>
        <w:tc>
          <w:tcPr>
            <w:tcW w:type="dxa" w:w="2266"/>
          </w:tcPr>
          <w:p>
            <w:r>
              <w:rPr>
                <w:sz w:val="18"/>
              </w:rPr>
              <w:t>Paramétrage métier MFI</w:t>
            </w:r>
          </w:p>
        </w:tc>
        <w:tc>
          <w:tcPr>
            <w:tcW w:type="dxa" w:w="2266"/>
          </w:tcPr>
          <w:p>
            <w:r>
              <w:rPr>
                <w:sz w:val="18"/>
              </w:rPr>
              <w:t>microfinancehub_configuration</w:t>
            </w:r>
          </w:p>
        </w:tc>
      </w:tr>
      <w:tr>
        <w:tc>
          <w:tcPr>
            <w:tcW w:type="dxa" w:w="2266"/>
          </w:tcPr>
          <w:p>
            <w:r>
              <w:rPr>
                <w:sz w:val="18"/>
              </w:rPr>
              <w:t>transaction-service</w:t>
            </w:r>
          </w:p>
        </w:tc>
        <w:tc>
          <w:tcPr>
            <w:tcW w:type="dxa" w:w="2266"/>
          </w:tcPr>
          <w:p>
            <w:r>
              <w:rPr>
                <w:sz w:val="18"/>
              </w:rPr>
              <w:t>8088</w:t>
            </w:r>
          </w:p>
        </w:tc>
        <w:tc>
          <w:tcPr>
            <w:tcW w:type="dxa" w:w="2266"/>
          </w:tcPr>
          <w:p>
            <w:r>
              <w:rPr>
                <w:sz w:val="18"/>
              </w:rPr>
              <w:t>Dépôts, retraits, virements, CamPay</w:t>
            </w:r>
          </w:p>
        </w:tc>
        <w:tc>
          <w:tcPr>
            <w:tcW w:type="dxa" w:w="2266"/>
          </w:tcPr>
          <w:p>
            <w:r>
              <w:rPr>
                <w:sz w:val="18"/>
              </w:rPr>
              <w:t>microfinancehub_transaction</w:t>
            </w:r>
          </w:p>
        </w:tc>
      </w:tr>
      <w:tr>
        <w:tc>
          <w:tcPr>
            <w:tcW w:type="dxa" w:w="2266"/>
          </w:tcPr>
          <w:p>
            <w:r>
              <w:rPr>
                <w:sz w:val="18"/>
              </w:rPr>
              <w:t>notification-service</w:t>
            </w:r>
          </w:p>
        </w:tc>
        <w:tc>
          <w:tcPr>
            <w:tcW w:type="dxa" w:w="2266"/>
          </w:tcPr>
          <w:p>
            <w:r>
              <w:rPr>
                <w:sz w:val="18"/>
              </w:rPr>
              <w:t>8089</w:t>
            </w:r>
          </w:p>
        </w:tc>
        <w:tc>
          <w:tcPr>
            <w:tcW w:type="dxa" w:w="2266"/>
          </w:tcPr>
          <w:p>
            <w:r>
              <w:rPr>
                <w:sz w:val="18"/>
              </w:rPr>
              <w:t>Emails Thymeleaf, SMS Twilio, WebSocket</w:t>
            </w:r>
          </w:p>
        </w:tc>
        <w:tc>
          <w:tcPr>
            <w:tcW w:type="dxa" w:w="2266"/>
          </w:tcPr>
          <w:p>
            <w:r>
              <w:rPr>
                <w:sz w:val="18"/>
              </w:rPr>
              <w:t>microfinancehub_notification</w:t>
            </w:r>
          </w:p>
        </w:tc>
      </w:tr>
      <w:tr>
        <w:tc>
          <w:tcPr>
            <w:tcW w:type="dxa" w:w="2266"/>
          </w:tcPr>
          <w:p>
            <w:r>
              <w:rPr>
                <w:sz w:val="18"/>
              </w:rPr>
              <w:t>app-frontend</w:t>
            </w:r>
          </w:p>
        </w:tc>
        <w:tc>
          <w:tcPr>
            <w:tcW w:type="dxa" w:w="2266"/>
          </w:tcPr>
          <w:p>
            <w:r>
              <w:rPr>
                <w:sz w:val="18"/>
              </w:rPr>
              <w:t>3000</w:t>
            </w:r>
          </w:p>
        </w:tc>
        <w:tc>
          <w:tcPr>
            <w:tcW w:type="dxa" w:w="2266"/>
          </w:tcPr>
          <w:p>
            <w:r>
              <w:rPr>
                <w:sz w:val="18"/>
              </w:rPr>
              <w:t>SPA React (Nginx en production)</w:t>
            </w:r>
          </w:p>
        </w:tc>
        <w:tc>
          <w:tcPr>
            <w:tcW w:type="dxa" w:w="2266"/>
          </w:tcPr>
          <w:p>
            <w:r>
              <w:rPr>
                <w:sz w:val="18"/>
              </w:rPr>
              <w:t>—</w:t>
            </w:r>
          </w:p>
        </w:tc>
      </w:tr>
    </w:tbl>
    <w:p/>
    <w:p>
      <w:r>
        <w:br w:type="page"/>
      </w:r>
    </w:p>
    <w:p>
      <w:pPr>
        <w:pStyle w:val="Heading1"/>
        <w:spacing w:before="240" w:after="120"/>
      </w:pPr>
      <w:r>
        <w:rPr>
          <w:color w:val="064E3B"/>
        </w:rPr>
        <w:t>4. Architecture Technique — Stack Technologique</w:t>
      </w:r>
    </w:p>
    <w:p>
      <w:r>
        <w:drawing>
          <wp:inline xmlns:a="http://schemas.openxmlformats.org/drawingml/2006/main" xmlns:pic="http://schemas.openxmlformats.org/drawingml/2006/picture">
            <wp:extent cx="5669280" cy="3400884"/>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669280" cy="3400884"/>
                    </a:xfrm>
                    <a:prstGeom prst="rect"/>
                  </pic:spPr>
                </pic:pic>
              </a:graphicData>
            </a:graphic>
          </wp:inline>
        </w:drawing>
      </w:r>
    </w:p>
    <w:p>
      <w:pPr>
        <w:jc w:val="center"/>
      </w:pPr>
      <w:r>
        <w:rPr>
          <w:i/>
          <w:color w:val="444444"/>
          <w:sz w:val="18"/>
        </w:rPr>
        <w:t>Figure 2 — Stack Technologique par couche</w:t>
      </w:r>
    </w:p>
    <w:p/>
    <w:p>
      <w:pPr>
        <w:pStyle w:val="Heading2"/>
        <w:spacing w:before="240" w:after="120"/>
      </w:pPr>
      <w:r>
        <w:rPr>
          <w:color w:val="064E3B"/>
        </w:rPr>
        <w:t>4.1 Technologies Backend</w:t>
      </w:r>
    </w:p>
    <w:tbl>
      <w:tblPr>
        <w:tblStyle w:val="LightShading-Accent6"/>
        <w:tblW w:type="auto" w:w="0"/>
        <w:jc w:val="center"/>
        <w:tblLook w:firstColumn="1" w:firstRow="1" w:lastColumn="0" w:lastRow="0" w:noHBand="0" w:noVBand="1" w:val="04A0"/>
      </w:tblPr>
      <w:tblGrid>
        <w:gridCol w:w="3022"/>
        <w:gridCol w:w="3022"/>
        <w:gridCol w:w="3022"/>
      </w:tblGrid>
      <w:tr>
        <w:tc>
          <w:tcPr>
            <w:tcW w:type="dxa" w:w="3022"/>
          </w:tcPr>
          <w:p>
            <w:r>
              <w:rPr>
                <w:b/>
                <w:sz w:val="19"/>
              </w:rPr>
              <w:t>Technologie</w:t>
            </w:r>
          </w:p>
        </w:tc>
        <w:tc>
          <w:tcPr>
            <w:tcW w:type="dxa" w:w="3022"/>
          </w:tcPr>
          <w:p>
            <w:r>
              <w:rPr>
                <w:b/>
                <w:sz w:val="19"/>
              </w:rPr>
              <w:t>Version</w:t>
            </w:r>
          </w:p>
        </w:tc>
        <w:tc>
          <w:tcPr>
            <w:tcW w:type="dxa" w:w="3022"/>
          </w:tcPr>
          <w:p>
            <w:r>
              <w:rPr>
                <w:b/>
                <w:sz w:val="19"/>
              </w:rPr>
              <w:t>Usage</w:t>
            </w:r>
          </w:p>
        </w:tc>
      </w:tr>
      <w:tr>
        <w:tc>
          <w:tcPr>
            <w:tcW w:type="dxa" w:w="3022"/>
          </w:tcPr>
          <w:p>
            <w:r>
              <w:rPr>
                <w:sz w:val="18"/>
              </w:rPr>
              <w:t>Spring Boot</w:t>
            </w:r>
          </w:p>
        </w:tc>
        <w:tc>
          <w:tcPr>
            <w:tcW w:type="dxa" w:w="3022"/>
          </w:tcPr>
          <w:p>
            <w:r>
              <w:rPr>
                <w:sz w:val="18"/>
              </w:rPr>
              <w:t>3.4.4</w:t>
            </w:r>
          </w:p>
        </w:tc>
        <w:tc>
          <w:tcPr>
            <w:tcW w:type="dxa" w:w="3022"/>
          </w:tcPr>
          <w:p>
            <w:r>
              <w:rPr>
                <w:sz w:val="18"/>
              </w:rPr>
              <w:t>Framework principal de chaque microservice</w:t>
            </w:r>
          </w:p>
        </w:tc>
      </w:tr>
      <w:tr>
        <w:tc>
          <w:tcPr>
            <w:tcW w:type="dxa" w:w="3022"/>
          </w:tcPr>
          <w:p>
            <w:r>
              <w:rPr>
                <w:sz w:val="18"/>
              </w:rPr>
              <w:t>Spring Cloud</w:t>
            </w:r>
          </w:p>
        </w:tc>
        <w:tc>
          <w:tcPr>
            <w:tcW w:type="dxa" w:w="3022"/>
          </w:tcPr>
          <w:p>
            <w:r>
              <w:rPr>
                <w:sz w:val="18"/>
              </w:rPr>
              <w:t>2024.0.0</w:t>
            </w:r>
          </w:p>
        </w:tc>
        <w:tc>
          <w:tcPr>
            <w:tcW w:type="dxa" w:w="3022"/>
          </w:tcPr>
          <w:p>
            <w:r>
              <w:rPr>
                <w:sz w:val="18"/>
              </w:rPr>
              <w:t>Config Server, Eureka, OpenFeign, Gateway</w:t>
            </w:r>
          </w:p>
        </w:tc>
      </w:tr>
      <w:tr>
        <w:tc>
          <w:tcPr>
            <w:tcW w:type="dxa" w:w="3022"/>
          </w:tcPr>
          <w:p>
            <w:r>
              <w:rPr>
                <w:sz w:val="18"/>
              </w:rPr>
              <w:t>Spring Security</w:t>
            </w:r>
          </w:p>
        </w:tc>
        <w:tc>
          <w:tcPr>
            <w:tcW w:type="dxa" w:w="3022"/>
          </w:tcPr>
          <w:p>
            <w:r>
              <w:rPr>
                <w:sz w:val="18"/>
              </w:rPr>
              <w:t>6.x</w:t>
            </w:r>
          </w:p>
        </w:tc>
        <w:tc>
          <w:tcPr>
            <w:tcW w:type="dxa" w:w="3022"/>
          </w:tcPr>
          <w:p>
            <w:r>
              <w:rPr>
                <w:sz w:val="18"/>
              </w:rPr>
              <w:t>Authentification, autorisation par rôle (RBAC)</w:t>
            </w:r>
          </w:p>
        </w:tc>
      </w:tr>
      <w:tr>
        <w:tc>
          <w:tcPr>
            <w:tcW w:type="dxa" w:w="3022"/>
          </w:tcPr>
          <w:p>
            <w:r>
              <w:rPr>
                <w:sz w:val="18"/>
              </w:rPr>
              <w:t>Spring Data JPA</w:t>
            </w:r>
          </w:p>
        </w:tc>
        <w:tc>
          <w:tcPr>
            <w:tcW w:type="dxa" w:w="3022"/>
          </w:tcPr>
          <w:p>
            <w:r>
              <w:rPr>
                <w:sz w:val="18"/>
              </w:rPr>
              <w:t>3.x</w:t>
            </w:r>
          </w:p>
        </w:tc>
        <w:tc>
          <w:tcPr>
            <w:tcW w:type="dxa" w:w="3022"/>
          </w:tcPr>
          <w:p>
            <w:r>
              <w:rPr>
                <w:sz w:val="18"/>
              </w:rPr>
              <w:t>ORM avec Hibernate, accès base de données</w:t>
            </w:r>
          </w:p>
        </w:tc>
      </w:tr>
      <w:tr>
        <w:tc>
          <w:tcPr>
            <w:tcW w:type="dxa" w:w="3022"/>
          </w:tcPr>
          <w:p>
            <w:r>
              <w:rPr>
                <w:sz w:val="18"/>
              </w:rPr>
              <w:t>JJWT</w:t>
            </w:r>
          </w:p>
        </w:tc>
        <w:tc>
          <w:tcPr>
            <w:tcW w:type="dxa" w:w="3022"/>
          </w:tcPr>
          <w:p>
            <w:r>
              <w:rPr>
                <w:sz w:val="18"/>
              </w:rPr>
              <w:t>0.12.6</w:t>
            </w:r>
          </w:p>
        </w:tc>
        <w:tc>
          <w:tcPr>
            <w:tcW w:type="dxa" w:w="3022"/>
          </w:tcPr>
          <w:p>
            <w:r>
              <w:rPr>
                <w:sz w:val="18"/>
              </w:rPr>
              <w:t>Génération et validation des tokens JWT</w:t>
            </w:r>
          </w:p>
        </w:tc>
      </w:tr>
      <w:tr>
        <w:tc>
          <w:tcPr>
            <w:tcW w:type="dxa" w:w="3022"/>
          </w:tcPr>
          <w:p>
            <w:r>
              <w:rPr>
                <w:sz w:val="18"/>
              </w:rPr>
              <w:t>OpenFeign</w:t>
            </w:r>
          </w:p>
        </w:tc>
        <w:tc>
          <w:tcPr>
            <w:tcW w:type="dxa" w:w="3022"/>
          </w:tcPr>
          <w:p>
            <w:r>
              <w:rPr>
                <w:sz w:val="18"/>
              </w:rPr>
              <w:t>4.x</w:t>
            </w:r>
          </w:p>
        </w:tc>
        <w:tc>
          <w:tcPr>
            <w:tcW w:type="dxa" w:w="3022"/>
          </w:tcPr>
          <w:p>
            <w:r>
              <w:rPr>
                <w:sz w:val="18"/>
              </w:rPr>
              <w:t>Appels REST inter-services déclaratifs</w:t>
            </w:r>
          </w:p>
        </w:tc>
      </w:tr>
      <w:tr>
        <w:tc>
          <w:tcPr>
            <w:tcW w:type="dxa" w:w="3022"/>
          </w:tcPr>
          <w:p>
            <w:r>
              <w:rPr>
                <w:sz w:val="18"/>
              </w:rPr>
              <w:t>RabbitMQ (AMQP)</w:t>
            </w:r>
          </w:p>
        </w:tc>
        <w:tc>
          <w:tcPr>
            <w:tcW w:type="dxa" w:w="3022"/>
          </w:tcPr>
          <w:p>
            <w:r>
              <w:rPr>
                <w:sz w:val="18"/>
              </w:rPr>
              <w:t>3.13</w:t>
            </w:r>
          </w:p>
        </w:tc>
        <w:tc>
          <w:tcPr>
            <w:tcW w:type="dxa" w:w="3022"/>
          </w:tcPr>
          <w:p>
            <w:r>
              <w:rPr>
                <w:sz w:val="18"/>
              </w:rPr>
              <w:t>Messagerie asynchrone entre services</w:t>
            </w:r>
          </w:p>
        </w:tc>
      </w:tr>
      <w:tr>
        <w:tc>
          <w:tcPr>
            <w:tcW w:type="dxa" w:w="3022"/>
          </w:tcPr>
          <w:p>
            <w:r>
              <w:rPr>
                <w:sz w:val="18"/>
              </w:rPr>
              <w:t>PostgreSQL</w:t>
            </w:r>
          </w:p>
        </w:tc>
        <w:tc>
          <w:tcPr>
            <w:tcW w:type="dxa" w:w="3022"/>
          </w:tcPr>
          <w:p>
            <w:r>
              <w:rPr>
                <w:sz w:val="18"/>
              </w:rPr>
              <w:t>16</w:t>
            </w:r>
          </w:p>
        </w:tc>
        <w:tc>
          <w:tcPr>
            <w:tcW w:type="dxa" w:w="3022"/>
          </w:tcPr>
          <w:p>
            <w:r>
              <w:rPr>
                <w:sz w:val="18"/>
              </w:rPr>
              <w:t>Base de données relationnelle (une par service)</w:t>
            </w:r>
          </w:p>
        </w:tc>
      </w:tr>
      <w:tr>
        <w:tc>
          <w:tcPr>
            <w:tcW w:type="dxa" w:w="3022"/>
          </w:tcPr>
          <w:p>
            <w:r>
              <w:rPr>
                <w:sz w:val="18"/>
              </w:rPr>
              <w:t>Redis</w:t>
            </w:r>
          </w:p>
        </w:tc>
        <w:tc>
          <w:tcPr>
            <w:tcW w:type="dxa" w:w="3022"/>
          </w:tcPr>
          <w:p>
            <w:r>
              <w:rPr>
                <w:sz w:val="18"/>
              </w:rPr>
              <w:t>7</w:t>
            </w:r>
          </w:p>
        </w:tc>
        <w:tc>
          <w:tcPr>
            <w:tcW w:type="dxa" w:w="3022"/>
          </w:tcPr>
          <w:p>
            <w:r>
              <w:rPr>
                <w:sz w:val="18"/>
              </w:rPr>
              <w:t>Cache sessions, rate limiting</w:t>
            </w:r>
          </w:p>
        </w:tc>
      </w:tr>
      <w:tr>
        <w:tc>
          <w:tcPr>
            <w:tcW w:type="dxa" w:w="3022"/>
          </w:tcPr>
          <w:p>
            <w:r>
              <w:rPr>
                <w:sz w:val="18"/>
              </w:rPr>
              <w:t>Lombok</w:t>
            </w:r>
          </w:p>
        </w:tc>
        <w:tc>
          <w:tcPr>
            <w:tcW w:type="dxa" w:w="3022"/>
          </w:tcPr>
          <w:p>
            <w:r>
              <w:rPr>
                <w:sz w:val="18"/>
              </w:rPr>
              <w:t>1.18</w:t>
            </w:r>
          </w:p>
        </w:tc>
        <w:tc>
          <w:tcPr>
            <w:tcW w:type="dxa" w:w="3022"/>
          </w:tcPr>
          <w:p>
            <w:r>
              <w:rPr>
                <w:sz w:val="18"/>
              </w:rPr>
              <w:t>Réduction du code boilerplate Java</w:t>
            </w:r>
          </w:p>
        </w:tc>
      </w:tr>
      <w:tr>
        <w:tc>
          <w:tcPr>
            <w:tcW w:type="dxa" w:w="3022"/>
          </w:tcPr>
          <w:p>
            <w:r>
              <w:rPr>
                <w:sz w:val="18"/>
              </w:rPr>
              <w:t>Thymeleaf</w:t>
            </w:r>
          </w:p>
        </w:tc>
        <w:tc>
          <w:tcPr>
            <w:tcW w:type="dxa" w:w="3022"/>
          </w:tcPr>
          <w:p>
            <w:r>
              <w:rPr>
                <w:sz w:val="18"/>
              </w:rPr>
              <w:t>3.x</w:t>
            </w:r>
          </w:p>
        </w:tc>
        <w:tc>
          <w:tcPr>
            <w:tcW w:type="dxa" w:w="3022"/>
          </w:tcPr>
          <w:p>
            <w:r>
              <w:rPr>
                <w:sz w:val="18"/>
              </w:rPr>
              <w:t>Templates HTML pour emails</w:t>
            </w:r>
          </w:p>
        </w:tc>
      </w:tr>
    </w:tbl>
    <w:p/>
    <w:p>
      <w:pPr>
        <w:pStyle w:val="Heading2"/>
        <w:spacing w:before="240" w:after="120"/>
      </w:pPr>
      <w:r>
        <w:rPr>
          <w:color w:val="064E3B"/>
        </w:rPr>
        <w:t>4.2 Technologies Frontend</w:t>
      </w:r>
    </w:p>
    <w:tbl>
      <w:tblPr>
        <w:tblStyle w:val="LightShading-Accent6"/>
        <w:tblW w:type="auto" w:w="0"/>
        <w:jc w:val="center"/>
        <w:tblLook w:firstColumn="1" w:firstRow="1" w:lastColumn="0" w:lastRow="0" w:noHBand="0" w:noVBand="1" w:val="04A0"/>
      </w:tblPr>
      <w:tblGrid>
        <w:gridCol w:w="4533"/>
        <w:gridCol w:w="4533"/>
      </w:tblGrid>
      <w:tr>
        <w:tc>
          <w:tcPr>
            <w:tcW w:type="dxa" w:w="4533"/>
          </w:tcPr>
          <w:p>
            <w:r>
              <w:rPr>
                <w:b/>
                <w:sz w:val="19"/>
              </w:rPr>
              <w:t>Technologie</w:t>
            </w:r>
          </w:p>
        </w:tc>
        <w:tc>
          <w:tcPr>
            <w:tcW w:type="dxa" w:w="4533"/>
          </w:tcPr>
          <w:p>
            <w:r>
              <w:rPr>
                <w:b/>
                <w:sz w:val="19"/>
              </w:rPr>
              <w:t>Usage</w:t>
            </w:r>
          </w:p>
        </w:tc>
      </w:tr>
      <w:tr>
        <w:tc>
          <w:tcPr>
            <w:tcW w:type="dxa" w:w="4533"/>
          </w:tcPr>
          <w:p>
            <w:r>
              <w:rPr>
                <w:sz w:val="18"/>
              </w:rPr>
              <w:t>React 18</w:t>
            </w:r>
          </w:p>
        </w:tc>
        <w:tc>
          <w:tcPr>
            <w:tcW w:type="dxa" w:w="4533"/>
          </w:tcPr>
          <w:p>
            <w:r>
              <w:rPr>
                <w:sz w:val="18"/>
              </w:rPr>
              <w:t>Framework SPA, gestion état local et hooks</w:t>
            </w:r>
          </w:p>
        </w:tc>
      </w:tr>
      <w:tr>
        <w:tc>
          <w:tcPr>
            <w:tcW w:type="dxa" w:w="4533"/>
          </w:tcPr>
          <w:p>
            <w:r>
              <w:rPr>
                <w:sz w:val="18"/>
              </w:rPr>
              <w:t>Axios</w:t>
            </w:r>
          </w:p>
        </w:tc>
        <w:tc>
          <w:tcPr>
            <w:tcW w:type="dxa" w:w="4533"/>
          </w:tcPr>
          <w:p>
            <w:r>
              <w:rPr>
                <w:sz w:val="18"/>
              </w:rPr>
              <w:t>Client HTTP pour appels REST, intercepteurs JWT</w:t>
            </w:r>
          </w:p>
        </w:tc>
      </w:tr>
      <w:tr>
        <w:tc>
          <w:tcPr>
            <w:tcW w:type="dxa" w:w="4533"/>
          </w:tcPr>
          <w:p>
            <w:r>
              <w:rPr>
                <w:sz w:val="18"/>
              </w:rPr>
              <w:t>Tailwind CSS</w:t>
            </w:r>
          </w:p>
        </w:tc>
        <w:tc>
          <w:tcPr>
            <w:tcW w:type="dxa" w:w="4533"/>
          </w:tcPr>
          <w:p>
            <w:r>
              <w:rPr>
                <w:sz w:val="18"/>
              </w:rPr>
              <w:t>Framework CSS utilitaire, design system</w:t>
            </w:r>
          </w:p>
        </w:tc>
      </w:tr>
      <w:tr>
        <w:tc>
          <w:tcPr>
            <w:tcW w:type="dxa" w:w="4533"/>
          </w:tcPr>
          <w:p>
            <w:r>
              <w:rPr>
                <w:sz w:val="18"/>
              </w:rPr>
              <w:t>React Router v6</w:t>
            </w:r>
          </w:p>
        </w:tc>
        <w:tc>
          <w:tcPr>
            <w:tcW w:type="dxa" w:w="4533"/>
          </w:tcPr>
          <w:p>
            <w:r>
              <w:rPr>
                <w:sz w:val="18"/>
              </w:rPr>
              <w:t>Navigation SPA, routes protégées par rôle</w:t>
            </w:r>
          </w:p>
        </w:tc>
      </w:tr>
      <w:tr>
        <w:tc>
          <w:tcPr>
            <w:tcW w:type="dxa" w:w="4533"/>
          </w:tcPr>
          <w:p>
            <w:r>
              <w:rPr>
                <w:sz w:val="18"/>
              </w:rPr>
              <w:t>Lucide React</w:t>
            </w:r>
          </w:p>
        </w:tc>
        <w:tc>
          <w:tcPr>
            <w:tcW w:type="dxa" w:w="4533"/>
          </w:tcPr>
          <w:p>
            <w:r>
              <w:rPr>
                <w:sz w:val="18"/>
              </w:rPr>
              <w:t>Bibliothèque d'icônes SVG</w:t>
            </w:r>
          </w:p>
        </w:tc>
      </w:tr>
      <w:tr>
        <w:tc>
          <w:tcPr>
            <w:tcW w:type="dxa" w:w="4533"/>
          </w:tcPr>
          <w:p>
            <w:r>
              <w:rPr>
                <w:sz w:val="18"/>
              </w:rPr>
              <w:t>LocalStorage</w:t>
            </w:r>
          </w:p>
        </w:tc>
        <w:tc>
          <w:tcPr>
            <w:tcW w:type="dxa" w:w="4533"/>
          </w:tcPr>
          <w:p>
            <w:r>
              <w:rPr>
                <w:sz w:val="18"/>
              </w:rPr>
              <w:t>Persistance session (token JWT + profil utilisateur)</w:t>
            </w:r>
          </w:p>
        </w:tc>
      </w:tr>
    </w:tbl>
    <w:p/>
    <w:p>
      <w:r>
        <w:br w:type="page"/>
      </w:r>
    </w:p>
    <w:p>
      <w:pPr>
        <w:pStyle w:val="Heading1"/>
        <w:spacing w:before="240" w:after="120"/>
      </w:pPr>
      <w:r>
        <w:rPr>
          <w:color w:val="064E3B"/>
        </w:rPr>
        <w:t>5. Diagrammes UML</w:t>
      </w:r>
    </w:p>
    <w:p>
      <w:pPr>
        <w:pStyle w:val="Heading2"/>
        <w:spacing w:before="240" w:after="120"/>
      </w:pPr>
      <w:r>
        <w:rPr>
          <w:color w:val="064E3B"/>
        </w:rPr>
        <w:t>5.1 Diagramme de Cas d'Utilisation</w:t>
      </w:r>
    </w:p>
    <w:p>
      <w:pPr>
        <w:spacing w:after="120"/>
      </w:pPr>
      <w:r>
        <w:rPr>
          <w:b w:val="0"/>
          <w:sz w:val="22"/>
        </w:rPr>
        <w:t>Le diagramme suivant représente les interactions entre les 4 acteurs principaux du système et les fonctionnalités auxquelles ils ont accès.</w:t>
      </w:r>
    </w:p>
    <w:p>
      <w:r>
        <w:drawing>
          <wp:inline xmlns:a="http://schemas.openxmlformats.org/drawingml/2006/main" xmlns:pic="http://schemas.openxmlformats.org/drawingml/2006/picture">
            <wp:extent cx="5943600" cy="4217126"/>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943600" cy="4217126"/>
                    </a:xfrm>
                    <a:prstGeom prst="rect"/>
                  </pic:spPr>
                </pic:pic>
              </a:graphicData>
            </a:graphic>
          </wp:inline>
        </w:drawing>
      </w:r>
    </w:p>
    <w:p>
      <w:pPr>
        <w:jc w:val="center"/>
      </w:pPr>
      <w:r>
        <w:rPr>
          <w:i/>
          <w:color w:val="444444"/>
          <w:sz w:val="18"/>
        </w:rPr>
        <w:t>Figure 3 — Diagramme de Cas d'Utilisation</w:t>
      </w:r>
    </w:p>
    <w:p/>
    <w:p>
      <w:r>
        <w:br w:type="page"/>
      </w:r>
    </w:p>
    <w:p>
      <w:pPr>
        <w:pStyle w:val="Heading2"/>
        <w:spacing w:before="240" w:after="120"/>
      </w:pPr>
      <w:r>
        <w:rPr>
          <w:color w:val="064E3B"/>
        </w:rPr>
        <w:t>5.2 Diagramme de Séquence — Authentification JWT</w:t>
      </w:r>
    </w:p>
    <w:p>
      <w:pPr>
        <w:spacing w:after="120"/>
      </w:pPr>
      <w:r>
        <w:rPr>
          <w:b w:val="0"/>
          <w:sz w:val="22"/>
        </w:rPr>
        <w:t>Ce diagramme illustre le flux complet d'authentification : depuis la saisie des identifiants jusqu'au stockage du JWT et à la redirection vers le dashboard approprié. Le token contient : l'email, le rôle, les noms et l'agencyId de l'utilisateur.</w:t>
      </w:r>
    </w:p>
    <w:p>
      <w:r>
        <w:drawing>
          <wp:inline xmlns:a="http://schemas.openxmlformats.org/drawingml/2006/main" xmlns:pic="http://schemas.openxmlformats.org/drawingml/2006/picture">
            <wp:extent cx="5669280" cy="3407727"/>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669280" cy="3407727"/>
                    </a:xfrm>
                    <a:prstGeom prst="rect"/>
                  </pic:spPr>
                </pic:pic>
              </a:graphicData>
            </a:graphic>
          </wp:inline>
        </w:drawing>
      </w:r>
    </w:p>
    <w:p>
      <w:pPr>
        <w:jc w:val="center"/>
      </w:pPr>
      <w:r>
        <w:rPr>
          <w:i/>
          <w:color w:val="444444"/>
          <w:sz w:val="18"/>
        </w:rPr>
        <w:t>Figure 4 — Séquence Authentification JWT</w:t>
      </w:r>
    </w:p>
    <w:p/>
    <w:p>
      <w:pPr>
        <w:pStyle w:val="Heading2"/>
        <w:spacing w:before="240" w:after="120"/>
      </w:pPr>
      <w:r>
        <w:rPr>
          <w:color w:val="064E3B"/>
        </w:rPr>
        <w:t>5.3 Diagramme de Séquence — Demande de Prêt</w:t>
      </w:r>
    </w:p>
    <w:p>
      <w:pPr>
        <w:spacing w:after="120"/>
      </w:pPr>
      <w:r>
        <w:rPr>
          <w:b w:val="0"/>
          <w:sz w:val="22"/>
        </w:rPr>
        <w:t>Ce diagramme montre le flux complet de traitement d'une demande de prêt, incluant la vérification JWT, la consultation du profil client, le calcul de l'amortissement et la notification asynchrone via RabbitMQ.</w:t>
      </w:r>
    </w:p>
    <w:p>
      <w:r>
        <w:drawing>
          <wp:inline xmlns:a="http://schemas.openxmlformats.org/drawingml/2006/main" xmlns:pic="http://schemas.openxmlformats.org/drawingml/2006/picture">
            <wp:extent cx="5943600" cy="3858623"/>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943600" cy="3858623"/>
                    </a:xfrm>
                    <a:prstGeom prst="rect"/>
                  </pic:spPr>
                </pic:pic>
              </a:graphicData>
            </a:graphic>
          </wp:inline>
        </w:drawing>
      </w:r>
    </w:p>
    <w:p>
      <w:pPr>
        <w:jc w:val="center"/>
      </w:pPr>
      <w:r>
        <w:rPr>
          <w:i/>
          <w:color w:val="444444"/>
          <w:sz w:val="18"/>
        </w:rPr>
        <w:t>Figure 5 — Séquence Demande de Prêt</w:t>
      </w:r>
    </w:p>
    <w:p/>
    <w:p>
      <w:r>
        <w:br w:type="page"/>
      </w:r>
    </w:p>
    <w:p>
      <w:pPr>
        <w:pStyle w:val="Heading2"/>
        <w:spacing w:before="240" w:after="120"/>
      </w:pPr>
      <w:r>
        <w:rPr>
          <w:color w:val="064E3B"/>
        </w:rPr>
        <w:t>5.4 Diagramme de Classes — Entités Principales</w:t>
      </w:r>
    </w:p>
    <w:p>
      <w:pPr>
        <w:spacing w:after="120"/>
      </w:pPr>
      <w:r>
        <w:rPr>
          <w:b w:val="0"/>
          <w:sz w:val="22"/>
        </w:rPr>
        <w:t>Ce diagramme présente les entités métier principales et leurs relations. Chaque entité est gérée par son microservice dédié et possède sa propre base de données PostgreSQL (pattern Database per Service).</w:t>
      </w:r>
    </w:p>
    <w:p>
      <w:r>
        <w:drawing>
          <wp:inline xmlns:a="http://schemas.openxmlformats.org/drawingml/2006/main" xmlns:pic="http://schemas.openxmlformats.org/drawingml/2006/picture">
            <wp:extent cx="5943600" cy="4223415"/>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943600" cy="4223415"/>
                    </a:xfrm>
                    <a:prstGeom prst="rect"/>
                  </pic:spPr>
                </pic:pic>
              </a:graphicData>
            </a:graphic>
          </wp:inline>
        </w:drawing>
      </w:r>
    </w:p>
    <w:p>
      <w:pPr>
        <w:jc w:val="center"/>
      </w:pPr>
      <w:r>
        <w:rPr>
          <w:i/>
          <w:color w:val="444444"/>
          <w:sz w:val="18"/>
        </w:rPr>
        <w:t>Figure 6 — Diagramme de Classes Principales</w:t>
      </w:r>
    </w:p>
    <w:p/>
    <w:p>
      <w:r>
        <w:br w:type="page"/>
      </w:r>
    </w:p>
    <w:p>
      <w:pPr>
        <w:pStyle w:val="Heading1"/>
        <w:spacing w:before="240" w:after="120"/>
      </w:pPr>
      <w:r>
        <w:rPr>
          <w:color w:val="064E3B"/>
        </w:rPr>
        <w:t>6. Communication Inter-Services (RabbitMQ)</w:t>
      </w:r>
    </w:p>
    <w:p>
      <w:pPr>
        <w:spacing w:after="120"/>
      </w:pPr>
      <w:r>
        <w:rPr>
          <w:b w:val="0"/>
          <w:sz w:val="22"/>
        </w:rPr>
        <w:t>La communication asynchrone via RabbitMQ permet de découpler les services et d'assurer la résilience du système. Lorsqu'un service publie un événement, il n'attend pas la réponse des consommateurs, ce qui améliore les performances et la disponibilité globale.</w:t>
      </w:r>
    </w:p>
    <w:p>
      <w:r>
        <w:drawing>
          <wp:inline xmlns:a="http://schemas.openxmlformats.org/drawingml/2006/main" xmlns:pic="http://schemas.openxmlformats.org/drawingml/2006/picture">
            <wp:extent cx="5669280" cy="3400884"/>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669280" cy="3400884"/>
                    </a:xfrm>
                    <a:prstGeom prst="rect"/>
                  </pic:spPr>
                </pic:pic>
              </a:graphicData>
            </a:graphic>
          </wp:inline>
        </w:drawing>
      </w:r>
    </w:p>
    <w:p>
      <w:pPr>
        <w:jc w:val="center"/>
      </w:pPr>
      <w:r>
        <w:rPr>
          <w:i/>
          <w:color w:val="444444"/>
          <w:sz w:val="18"/>
        </w:rPr>
        <w:t>Figure 7 — Communication Asynchrone via RabbitMQ</w:t>
      </w:r>
    </w:p>
    <w:p/>
    <w:p>
      <w:pPr>
        <w:pStyle w:val="Heading2"/>
        <w:spacing w:before="240" w:after="120"/>
      </w:pPr>
      <w:r>
        <w:rPr>
          <w:color w:val="064E3B"/>
        </w:rPr>
        <w:t>6.1 Événements Principaux</w:t>
      </w:r>
    </w:p>
    <w:tbl>
      <w:tblPr>
        <w:tblStyle w:val="LightShading-Accent6"/>
        <w:tblW w:type="auto" w:w="0"/>
        <w:jc w:val="center"/>
        <w:tblLook w:firstColumn="1" w:firstRow="1" w:lastColumn="0" w:lastRow="0" w:noHBand="0" w:noVBand="1" w:val="04A0"/>
      </w:tblPr>
      <w:tblGrid>
        <w:gridCol w:w="2266"/>
        <w:gridCol w:w="2266"/>
        <w:gridCol w:w="2266"/>
        <w:gridCol w:w="2266"/>
      </w:tblGrid>
      <w:tr>
        <w:tc>
          <w:tcPr>
            <w:tcW w:type="dxa" w:w="2266"/>
          </w:tcPr>
          <w:p>
            <w:r>
              <w:rPr>
                <w:b/>
                <w:sz w:val="19"/>
              </w:rPr>
              <w:t>Événement</w:t>
            </w:r>
          </w:p>
        </w:tc>
        <w:tc>
          <w:tcPr>
            <w:tcW w:type="dxa" w:w="2266"/>
          </w:tcPr>
          <w:p>
            <w:r>
              <w:rPr>
                <w:b/>
                <w:sz w:val="19"/>
              </w:rPr>
              <w:t>Producteur</w:t>
            </w:r>
          </w:p>
        </w:tc>
        <w:tc>
          <w:tcPr>
            <w:tcW w:type="dxa" w:w="2266"/>
          </w:tcPr>
          <w:p>
            <w:r>
              <w:rPr>
                <w:b/>
                <w:sz w:val="19"/>
              </w:rPr>
              <w:t>Consommateur</w:t>
            </w:r>
          </w:p>
        </w:tc>
        <w:tc>
          <w:tcPr>
            <w:tcW w:type="dxa" w:w="2266"/>
          </w:tcPr>
          <w:p>
            <w:r>
              <w:rPr>
                <w:b/>
                <w:sz w:val="19"/>
              </w:rPr>
              <w:t>Déclencheur</w:t>
            </w:r>
          </w:p>
        </w:tc>
      </w:tr>
      <w:tr>
        <w:tc>
          <w:tcPr>
            <w:tcW w:type="dxa" w:w="2266"/>
          </w:tcPr>
          <w:p>
            <w:r>
              <w:rPr>
                <w:sz w:val="18"/>
              </w:rPr>
              <w:t>user.login</w:t>
            </w:r>
          </w:p>
        </w:tc>
        <w:tc>
          <w:tcPr>
            <w:tcW w:type="dxa" w:w="2266"/>
          </w:tcPr>
          <w:p>
            <w:r>
              <w:rPr>
                <w:sz w:val="18"/>
              </w:rPr>
              <w:t>Auth Service</w:t>
            </w:r>
          </w:p>
        </w:tc>
        <w:tc>
          <w:tcPr>
            <w:tcW w:type="dxa" w:w="2266"/>
          </w:tcPr>
          <w:p>
            <w:r>
              <w:rPr>
                <w:sz w:val="18"/>
              </w:rPr>
              <w:t>Client Service</w:t>
            </w:r>
          </w:p>
        </w:tc>
        <w:tc>
          <w:tcPr>
            <w:tcW w:type="dxa" w:w="2266"/>
          </w:tcPr>
          <w:p>
            <w:r>
              <w:rPr>
                <w:sz w:val="18"/>
              </w:rPr>
              <w:t>Connexion utilisateur</w:t>
            </w:r>
          </w:p>
        </w:tc>
      </w:tr>
      <w:tr>
        <w:tc>
          <w:tcPr>
            <w:tcW w:type="dxa" w:w="2266"/>
          </w:tcPr>
          <w:p>
            <w:r>
              <w:rPr>
                <w:sz w:val="18"/>
              </w:rPr>
              <w:t>loan.created</w:t>
            </w:r>
          </w:p>
        </w:tc>
        <w:tc>
          <w:tcPr>
            <w:tcW w:type="dxa" w:w="2266"/>
          </w:tcPr>
          <w:p>
            <w:r>
              <w:rPr>
                <w:sz w:val="18"/>
              </w:rPr>
              <w:t>Loan Service</w:t>
            </w:r>
          </w:p>
        </w:tc>
        <w:tc>
          <w:tcPr>
            <w:tcW w:type="dxa" w:w="2266"/>
          </w:tcPr>
          <w:p>
            <w:r>
              <w:rPr>
                <w:sz w:val="18"/>
              </w:rPr>
              <w:t>Notification Svc</w:t>
            </w:r>
          </w:p>
        </w:tc>
        <w:tc>
          <w:tcPr>
            <w:tcW w:type="dxa" w:w="2266"/>
          </w:tcPr>
          <w:p>
            <w:r>
              <w:rPr>
                <w:sz w:val="18"/>
              </w:rPr>
              <w:t>Nouvelle demande prêt</w:t>
            </w:r>
          </w:p>
        </w:tc>
      </w:tr>
      <w:tr>
        <w:tc>
          <w:tcPr>
            <w:tcW w:type="dxa" w:w="2266"/>
          </w:tcPr>
          <w:p>
            <w:r>
              <w:rPr>
                <w:sz w:val="18"/>
              </w:rPr>
              <w:t>loan.approved</w:t>
            </w:r>
          </w:p>
        </w:tc>
        <w:tc>
          <w:tcPr>
            <w:tcW w:type="dxa" w:w="2266"/>
          </w:tcPr>
          <w:p>
            <w:r>
              <w:rPr>
                <w:sz w:val="18"/>
              </w:rPr>
              <w:t>Loan Service</w:t>
            </w:r>
          </w:p>
        </w:tc>
        <w:tc>
          <w:tcPr>
            <w:tcW w:type="dxa" w:w="2266"/>
          </w:tcPr>
          <w:p>
            <w:r>
              <w:rPr>
                <w:sz w:val="18"/>
              </w:rPr>
              <w:t>Notification Svc</w:t>
            </w:r>
          </w:p>
        </w:tc>
        <w:tc>
          <w:tcPr>
            <w:tcW w:type="dxa" w:w="2266"/>
          </w:tcPr>
          <w:p>
            <w:r>
              <w:rPr>
                <w:sz w:val="18"/>
              </w:rPr>
              <w:t>Prêt approuvé</w:t>
            </w:r>
          </w:p>
        </w:tc>
      </w:tr>
      <w:tr>
        <w:tc>
          <w:tcPr>
            <w:tcW w:type="dxa" w:w="2266"/>
          </w:tcPr>
          <w:p>
            <w:r>
              <w:rPr>
                <w:sz w:val="18"/>
              </w:rPr>
              <w:t>payment.pending</w:t>
            </w:r>
          </w:p>
        </w:tc>
        <w:tc>
          <w:tcPr>
            <w:tcW w:type="dxa" w:w="2266"/>
          </w:tcPr>
          <w:p>
            <w:r>
              <w:rPr>
                <w:sz w:val="18"/>
              </w:rPr>
              <w:t>Repayment Service</w:t>
            </w:r>
          </w:p>
        </w:tc>
        <w:tc>
          <w:tcPr>
            <w:tcW w:type="dxa" w:w="2266"/>
          </w:tcPr>
          <w:p>
            <w:r>
              <w:rPr>
                <w:sz w:val="18"/>
              </w:rPr>
              <w:t>Notification Svc</w:t>
            </w:r>
          </w:p>
        </w:tc>
        <w:tc>
          <w:tcPr>
            <w:tcW w:type="dxa" w:w="2266"/>
          </w:tcPr>
          <w:p>
            <w:r>
              <w:rPr>
                <w:sz w:val="18"/>
              </w:rPr>
              <w:t>Paiement en attente</w:t>
            </w:r>
          </w:p>
        </w:tc>
      </w:tr>
      <w:tr>
        <w:tc>
          <w:tcPr>
            <w:tcW w:type="dxa" w:w="2266"/>
          </w:tcPr>
          <w:p>
            <w:r>
              <w:rPr>
                <w:sz w:val="18"/>
              </w:rPr>
              <w:t>payment.validated</w:t>
            </w:r>
          </w:p>
        </w:tc>
        <w:tc>
          <w:tcPr>
            <w:tcW w:type="dxa" w:w="2266"/>
          </w:tcPr>
          <w:p>
            <w:r>
              <w:rPr>
                <w:sz w:val="18"/>
              </w:rPr>
              <w:t>Repayment Service</w:t>
            </w:r>
          </w:p>
        </w:tc>
        <w:tc>
          <w:tcPr>
            <w:tcW w:type="dxa" w:w="2266"/>
          </w:tcPr>
          <w:p>
            <w:r>
              <w:rPr>
                <w:sz w:val="18"/>
              </w:rPr>
              <w:t>Loan Service</w:t>
            </w:r>
          </w:p>
        </w:tc>
        <w:tc>
          <w:tcPr>
            <w:tcW w:type="dxa" w:w="2266"/>
          </w:tcPr>
          <w:p>
            <w:r>
              <w:rPr>
                <w:sz w:val="18"/>
              </w:rPr>
              <w:t>Paiement validé → MAJ échéance</w:t>
            </w:r>
          </w:p>
        </w:tc>
      </w:tr>
      <w:tr>
        <w:tc>
          <w:tcPr>
            <w:tcW w:type="dxa" w:w="2266"/>
          </w:tcPr>
          <w:p>
            <w:r>
              <w:rPr>
                <w:sz w:val="18"/>
              </w:rPr>
              <w:t>account.opened</w:t>
            </w:r>
          </w:p>
        </w:tc>
        <w:tc>
          <w:tcPr>
            <w:tcW w:type="dxa" w:w="2266"/>
          </w:tcPr>
          <w:p>
            <w:r>
              <w:rPr>
                <w:sz w:val="18"/>
              </w:rPr>
              <w:t>Account Service</w:t>
            </w:r>
          </w:p>
        </w:tc>
        <w:tc>
          <w:tcPr>
            <w:tcW w:type="dxa" w:w="2266"/>
          </w:tcPr>
          <w:p>
            <w:r>
              <w:rPr>
                <w:sz w:val="18"/>
              </w:rPr>
              <w:t>Notification Svc</w:t>
            </w:r>
          </w:p>
        </w:tc>
        <w:tc>
          <w:tcPr>
            <w:tcW w:type="dxa" w:w="2266"/>
          </w:tcPr>
          <w:p>
            <w:r>
              <w:rPr>
                <w:sz w:val="18"/>
              </w:rPr>
              <w:t>Compte ouvert</w:t>
            </w:r>
          </w:p>
        </w:tc>
      </w:tr>
      <w:tr>
        <w:tc>
          <w:tcPr>
            <w:tcW w:type="dxa" w:w="2266"/>
          </w:tcPr>
          <w:p>
            <w:r>
              <w:rPr>
                <w:sz w:val="18"/>
              </w:rPr>
              <w:t>mobile.confirmed</w:t>
            </w:r>
          </w:p>
        </w:tc>
        <w:tc>
          <w:tcPr>
            <w:tcW w:type="dxa" w:w="2266"/>
          </w:tcPr>
          <w:p>
            <w:r>
              <w:rPr>
                <w:sz w:val="18"/>
              </w:rPr>
              <w:t>Transaction Svc</w:t>
            </w:r>
          </w:p>
        </w:tc>
        <w:tc>
          <w:tcPr>
            <w:tcW w:type="dxa" w:w="2266"/>
          </w:tcPr>
          <w:p>
            <w:r>
              <w:rPr>
                <w:sz w:val="18"/>
              </w:rPr>
              <w:t>Repayment Service</w:t>
            </w:r>
          </w:p>
        </w:tc>
        <w:tc>
          <w:tcPr>
            <w:tcW w:type="dxa" w:w="2266"/>
          </w:tcPr>
          <w:p>
            <w:r>
              <w:rPr>
                <w:sz w:val="18"/>
              </w:rPr>
              <w:t>CamPay webhook reçu</w:t>
            </w:r>
          </w:p>
        </w:tc>
      </w:tr>
      <w:tr>
        <w:tc>
          <w:tcPr>
            <w:tcW w:type="dxa" w:w="2266"/>
          </w:tcPr>
          <w:p>
            <w:r>
              <w:rPr>
                <w:sz w:val="18"/>
              </w:rPr>
              <w:t>payment.received</w:t>
            </w:r>
          </w:p>
        </w:tc>
        <w:tc>
          <w:tcPr>
            <w:tcW w:type="dxa" w:w="2266"/>
          </w:tcPr>
          <w:p>
            <w:r>
              <w:rPr>
                <w:sz w:val="18"/>
              </w:rPr>
              <w:t>Repayment Service</w:t>
            </w:r>
          </w:p>
        </w:tc>
        <w:tc>
          <w:tcPr>
            <w:tcW w:type="dxa" w:w="2266"/>
          </w:tcPr>
          <w:p>
            <w:r>
              <w:rPr>
                <w:sz w:val="18"/>
              </w:rPr>
              <w:t>Notification Svc</w:t>
            </w:r>
          </w:p>
        </w:tc>
        <w:tc>
          <w:tcPr>
            <w:tcW w:type="dxa" w:w="2266"/>
          </w:tcPr>
          <w:p>
            <w:r>
              <w:rPr>
                <w:sz w:val="18"/>
              </w:rPr>
              <w:t>Paiement CamPay confirmé</w:t>
            </w:r>
          </w:p>
        </w:tc>
      </w:tr>
    </w:tbl>
    <w:p/>
    <w:p>
      <w:r>
        <w:br w:type="page"/>
      </w:r>
    </w:p>
    <w:p>
      <w:pPr>
        <w:pStyle w:val="Heading1"/>
        <w:spacing w:before="240" w:after="120"/>
      </w:pPr>
      <w:r>
        <w:rPr>
          <w:color w:val="064E3B"/>
        </w:rPr>
        <w:t>7. Modèle de Données</w:t>
      </w:r>
    </w:p>
    <w:p>
      <w:pPr>
        <w:spacing w:after="120"/>
      </w:pPr>
      <w:r>
        <w:rPr>
          <w:b w:val="0"/>
          <w:sz w:val="22"/>
        </w:rPr>
        <w:t>Le projet applique le pattern «Database per Service» : chaque microservice possède sa propre base de données PostgreSQL, garantissant l'indépendance et l'isolation des données. Les jointures inter-services se font via des appels REST (Feign) et non par des clés étrangères croisées.</w:t>
      </w:r>
    </w:p>
    <w:p>
      <w:pPr>
        <w:pStyle w:val="Heading2"/>
        <w:spacing w:before="240" w:after="120"/>
      </w:pPr>
      <w:r>
        <w:rPr>
          <w:color w:val="064E3B"/>
        </w:rPr>
        <w:t>7.1 Bases de Données</w:t>
      </w:r>
    </w:p>
    <w:tbl>
      <w:tblPr>
        <w:tblStyle w:val="LightShading-Accent6"/>
        <w:tblW w:type="auto" w:w="0"/>
        <w:jc w:val="center"/>
        <w:tblLook w:firstColumn="1" w:firstRow="1" w:lastColumn="0" w:lastRow="0" w:noHBand="0" w:noVBand="1" w:val="04A0"/>
      </w:tblPr>
      <w:tblGrid>
        <w:gridCol w:w="2266"/>
        <w:gridCol w:w="2266"/>
        <w:gridCol w:w="2266"/>
        <w:gridCol w:w="2266"/>
      </w:tblGrid>
      <w:tr>
        <w:tc>
          <w:tcPr>
            <w:tcW w:type="dxa" w:w="2266"/>
          </w:tcPr>
          <w:p>
            <w:r>
              <w:rPr>
                <w:b/>
                <w:sz w:val="19"/>
              </w:rPr>
              <w:t>Base de données</w:t>
            </w:r>
          </w:p>
        </w:tc>
        <w:tc>
          <w:tcPr>
            <w:tcW w:type="dxa" w:w="2266"/>
          </w:tcPr>
          <w:p>
            <w:r>
              <w:rPr>
                <w:b/>
                <w:sz w:val="19"/>
              </w:rPr>
              <w:t>Service</w:t>
            </w:r>
          </w:p>
        </w:tc>
        <w:tc>
          <w:tcPr>
            <w:tcW w:type="dxa" w:w="2266"/>
          </w:tcPr>
          <w:p>
            <w:r>
              <w:rPr>
                <w:b/>
                <w:sz w:val="19"/>
              </w:rPr>
              <w:t>Tables principales</w:t>
            </w:r>
          </w:p>
        </w:tc>
        <w:tc>
          <w:tcPr>
            <w:tcW w:type="dxa" w:w="2266"/>
          </w:tcPr>
          <w:p>
            <w:r>
              <w:rPr>
                <w:b/>
                <w:sz w:val="19"/>
              </w:rPr>
              <w:t>Port hôte</w:t>
            </w:r>
          </w:p>
        </w:tc>
      </w:tr>
      <w:tr>
        <w:tc>
          <w:tcPr>
            <w:tcW w:type="dxa" w:w="2266"/>
          </w:tcPr>
          <w:p>
            <w:r>
              <w:rPr>
                <w:sz w:val="18"/>
              </w:rPr>
              <w:t>microfinancehub_auth</w:t>
            </w:r>
          </w:p>
        </w:tc>
        <w:tc>
          <w:tcPr>
            <w:tcW w:type="dxa" w:w="2266"/>
          </w:tcPr>
          <w:p>
            <w:r>
              <w:rPr>
                <w:sz w:val="18"/>
              </w:rPr>
              <w:t>auth-service</w:t>
            </w:r>
          </w:p>
        </w:tc>
        <w:tc>
          <w:tcPr>
            <w:tcW w:type="dxa" w:w="2266"/>
          </w:tcPr>
          <w:p>
            <w:r>
              <w:rPr>
                <w:sz w:val="18"/>
              </w:rPr>
              <w:t>users, roles, refresh_tokens, user_sessions</w:t>
            </w:r>
          </w:p>
        </w:tc>
        <w:tc>
          <w:tcPr>
            <w:tcW w:type="dxa" w:w="2266"/>
          </w:tcPr>
          <w:p>
            <w:r>
              <w:rPr>
                <w:sz w:val="18"/>
              </w:rPr>
              <w:t>5433</w:t>
            </w:r>
          </w:p>
        </w:tc>
      </w:tr>
      <w:tr>
        <w:tc>
          <w:tcPr>
            <w:tcW w:type="dxa" w:w="2266"/>
          </w:tcPr>
          <w:p>
            <w:r>
              <w:rPr>
                <w:sz w:val="18"/>
              </w:rPr>
              <w:t>microfinancehub_client</w:t>
            </w:r>
          </w:p>
        </w:tc>
        <w:tc>
          <w:tcPr>
            <w:tcW w:type="dxa" w:w="2266"/>
          </w:tcPr>
          <w:p>
            <w:r>
              <w:rPr>
                <w:sz w:val="18"/>
              </w:rPr>
              <w:t>client-service</w:t>
            </w:r>
          </w:p>
        </w:tc>
        <w:tc>
          <w:tcPr>
            <w:tcW w:type="dxa" w:w="2266"/>
          </w:tcPr>
          <w:p>
            <w:r>
              <w:rPr>
                <w:sz w:val="18"/>
              </w:rPr>
              <w:t>clients, documents</w:t>
            </w:r>
          </w:p>
        </w:tc>
        <w:tc>
          <w:tcPr>
            <w:tcW w:type="dxa" w:w="2266"/>
          </w:tcPr>
          <w:p>
            <w:r>
              <w:rPr>
                <w:sz w:val="18"/>
              </w:rPr>
              <w:t>5433</w:t>
            </w:r>
          </w:p>
        </w:tc>
      </w:tr>
      <w:tr>
        <w:tc>
          <w:tcPr>
            <w:tcW w:type="dxa" w:w="2266"/>
          </w:tcPr>
          <w:p>
            <w:r>
              <w:rPr>
                <w:sz w:val="18"/>
              </w:rPr>
              <w:t>microfinancehub_account</w:t>
            </w:r>
          </w:p>
        </w:tc>
        <w:tc>
          <w:tcPr>
            <w:tcW w:type="dxa" w:w="2266"/>
          </w:tcPr>
          <w:p>
            <w:r>
              <w:rPr>
                <w:sz w:val="18"/>
              </w:rPr>
              <w:t>account-service</w:t>
            </w:r>
          </w:p>
        </w:tc>
        <w:tc>
          <w:tcPr>
            <w:tcW w:type="dxa" w:w="2266"/>
          </w:tcPr>
          <w:p>
            <w:r>
              <w:rPr>
                <w:sz w:val="18"/>
              </w:rPr>
              <w:t>compte, compte_events</w:t>
            </w:r>
          </w:p>
        </w:tc>
        <w:tc>
          <w:tcPr>
            <w:tcW w:type="dxa" w:w="2266"/>
          </w:tcPr>
          <w:p>
            <w:r>
              <w:rPr>
                <w:sz w:val="18"/>
              </w:rPr>
              <w:t>5433</w:t>
            </w:r>
          </w:p>
        </w:tc>
      </w:tr>
      <w:tr>
        <w:tc>
          <w:tcPr>
            <w:tcW w:type="dxa" w:w="2266"/>
          </w:tcPr>
          <w:p>
            <w:r>
              <w:rPr>
                <w:sz w:val="18"/>
              </w:rPr>
              <w:t>microfinancehub_loan</w:t>
            </w:r>
          </w:p>
        </w:tc>
        <w:tc>
          <w:tcPr>
            <w:tcW w:type="dxa" w:w="2266"/>
          </w:tcPr>
          <w:p>
            <w:r>
              <w:rPr>
                <w:sz w:val="18"/>
              </w:rPr>
              <w:t>loan-service</w:t>
            </w:r>
          </w:p>
        </w:tc>
        <w:tc>
          <w:tcPr>
            <w:tcW w:type="dxa" w:w="2266"/>
          </w:tcPr>
          <w:p>
            <w:r>
              <w:rPr>
                <w:sz w:val="18"/>
              </w:rPr>
              <w:t>loans, loan_applications, loan_schedules</w:t>
            </w:r>
          </w:p>
        </w:tc>
        <w:tc>
          <w:tcPr>
            <w:tcW w:type="dxa" w:w="2266"/>
          </w:tcPr>
          <w:p>
            <w:r>
              <w:rPr>
                <w:sz w:val="18"/>
              </w:rPr>
              <w:t>5433</w:t>
            </w:r>
          </w:p>
        </w:tc>
      </w:tr>
      <w:tr>
        <w:tc>
          <w:tcPr>
            <w:tcW w:type="dxa" w:w="2266"/>
          </w:tcPr>
          <w:p>
            <w:r>
              <w:rPr>
                <w:sz w:val="18"/>
              </w:rPr>
              <w:t>microfinancehub_repayment</w:t>
            </w:r>
          </w:p>
        </w:tc>
        <w:tc>
          <w:tcPr>
            <w:tcW w:type="dxa" w:w="2266"/>
          </w:tcPr>
          <w:p>
            <w:r>
              <w:rPr>
                <w:sz w:val="18"/>
              </w:rPr>
              <w:t>repayment-service</w:t>
            </w:r>
          </w:p>
        </w:tc>
        <w:tc>
          <w:tcPr>
            <w:tcW w:type="dxa" w:w="2266"/>
          </w:tcPr>
          <w:p>
            <w:r>
              <w:rPr>
                <w:sz w:val="18"/>
              </w:rPr>
              <w:t>payments, repayments, schedules</w:t>
            </w:r>
          </w:p>
        </w:tc>
        <w:tc>
          <w:tcPr>
            <w:tcW w:type="dxa" w:w="2266"/>
          </w:tcPr>
          <w:p>
            <w:r>
              <w:rPr>
                <w:sz w:val="18"/>
              </w:rPr>
              <w:t>5433</w:t>
            </w:r>
          </w:p>
        </w:tc>
      </w:tr>
      <w:tr>
        <w:tc>
          <w:tcPr>
            <w:tcW w:type="dxa" w:w="2266"/>
          </w:tcPr>
          <w:p>
            <w:r>
              <w:rPr>
                <w:sz w:val="18"/>
              </w:rPr>
              <w:t>microfinancehub_reporting</w:t>
            </w:r>
          </w:p>
        </w:tc>
        <w:tc>
          <w:tcPr>
            <w:tcW w:type="dxa" w:w="2266"/>
          </w:tcPr>
          <w:p>
            <w:r>
              <w:rPr>
                <w:sz w:val="18"/>
              </w:rPr>
              <w:t>reporting-service</w:t>
            </w:r>
          </w:p>
        </w:tc>
        <w:tc>
          <w:tcPr>
            <w:tcW w:type="dxa" w:w="2266"/>
          </w:tcPr>
          <w:p>
            <w:r>
              <w:rPr>
                <w:sz w:val="18"/>
              </w:rPr>
              <w:t>reports, report_data</w:t>
            </w:r>
          </w:p>
        </w:tc>
        <w:tc>
          <w:tcPr>
            <w:tcW w:type="dxa" w:w="2266"/>
          </w:tcPr>
          <w:p>
            <w:r>
              <w:rPr>
                <w:sz w:val="18"/>
              </w:rPr>
              <w:t>5433</w:t>
            </w:r>
          </w:p>
        </w:tc>
      </w:tr>
      <w:tr>
        <w:tc>
          <w:tcPr>
            <w:tcW w:type="dxa" w:w="2266"/>
          </w:tcPr>
          <w:p>
            <w:r>
              <w:rPr>
                <w:sz w:val="18"/>
              </w:rPr>
              <w:t>microfinancehub_agency</w:t>
            </w:r>
          </w:p>
        </w:tc>
        <w:tc>
          <w:tcPr>
            <w:tcW w:type="dxa" w:w="2266"/>
          </w:tcPr>
          <w:p>
            <w:r>
              <w:rPr>
                <w:sz w:val="18"/>
              </w:rPr>
              <w:t>agency-service</w:t>
            </w:r>
          </w:p>
        </w:tc>
        <w:tc>
          <w:tcPr>
            <w:tcW w:type="dxa" w:w="2266"/>
          </w:tcPr>
          <w:p>
            <w:r>
              <w:rPr>
                <w:sz w:val="18"/>
              </w:rPr>
              <w:t>agencies, agent_assignments, agency_stats</w:t>
            </w:r>
          </w:p>
        </w:tc>
        <w:tc>
          <w:tcPr>
            <w:tcW w:type="dxa" w:w="2266"/>
          </w:tcPr>
          <w:p>
            <w:r>
              <w:rPr>
                <w:sz w:val="18"/>
              </w:rPr>
              <w:t>5433</w:t>
            </w:r>
          </w:p>
        </w:tc>
      </w:tr>
      <w:tr>
        <w:tc>
          <w:tcPr>
            <w:tcW w:type="dxa" w:w="2266"/>
          </w:tcPr>
          <w:p>
            <w:r>
              <w:rPr>
                <w:sz w:val="18"/>
              </w:rPr>
              <w:t>microfinancehub_configuration</w:t>
            </w:r>
          </w:p>
        </w:tc>
        <w:tc>
          <w:tcPr>
            <w:tcW w:type="dxa" w:w="2266"/>
          </w:tcPr>
          <w:p>
            <w:r>
              <w:rPr>
                <w:sz w:val="18"/>
              </w:rPr>
              <w:t>configuration-service</w:t>
            </w:r>
          </w:p>
        </w:tc>
        <w:tc>
          <w:tcPr>
            <w:tcW w:type="dxa" w:w="2266"/>
          </w:tcPr>
          <w:p>
            <w:r>
              <w:rPr>
                <w:sz w:val="18"/>
              </w:rPr>
              <w:t>mfi_configs, loan_products</w:t>
            </w:r>
          </w:p>
        </w:tc>
        <w:tc>
          <w:tcPr>
            <w:tcW w:type="dxa" w:w="2266"/>
          </w:tcPr>
          <w:p>
            <w:r>
              <w:rPr>
                <w:sz w:val="18"/>
              </w:rPr>
              <w:t>5433</w:t>
            </w:r>
          </w:p>
        </w:tc>
      </w:tr>
      <w:tr>
        <w:tc>
          <w:tcPr>
            <w:tcW w:type="dxa" w:w="2266"/>
          </w:tcPr>
          <w:p>
            <w:r>
              <w:rPr>
                <w:sz w:val="18"/>
              </w:rPr>
              <w:t>microfinancehub_transaction</w:t>
            </w:r>
          </w:p>
        </w:tc>
        <w:tc>
          <w:tcPr>
            <w:tcW w:type="dxa" w:w="2266"/>
          </w:tcPr>
          <w:p>
            <w:r>
              <w:rPr>
                <w:sz w:val="18"/>
              </w:rPr>
              <w:t>transaction-service</w:t>
            </w:r>
          </w:p>
        </w:tc>
        <w:tc>
          <w:tcPr>
            <w:tcW w:type="dxa" w:w="2266"/>
          </w:tcPr>
          <w:p>
            <w:r>
              <w:rPr>
                <w:sz w:val="18"/>
              </w:rPr>
              <w:t>transactions, campay_webhooks</w:t>
            </w:r>
          </w:p>
        </w:tc>
        <w:tc>
          <w:tcPr>
            <w:tcW w:type="dxa" w:w="2266"/>
          </w:tcPr>
          <w:p>
            <w:r>
              <w:rPr>
                <w:sz w:val="18"/>
              </w:rPr>
              <w:t>5433</w:t>
            </w:r>
          </w:p>
        </w:tc>
      </w:tr>
      <w:tr>
        <w:tc>
          <w:tcPr>
            <w:tcW w:type="dxa" w:w="2266"/>
          </w:tcPr>
          <w:p>
            <w:r>
              <w:rPr>
                <w:sz w:val="18"/>
              </w:rPr>
              <w:t>microfinancehub_notification</w:t>
            </w:r>
          </w:p>
        </w:tc>
        <w:tc>
          <w:tcPr>
            <w:tcW w:type="dxa" w:w="2266"/>
          </w:tcPr>
          <w:p>
            <w:r>
              <w:rPr>
                <w:sz w:val="18"/>
              </w:rPr>
              <w:t>notification-service</w:t>
            </w:r>
          </w:p>
        </w:tc>
        <w:tc>
          <w:tcPr>
            <w:tcW w:type="dxa" w:w="2266"/>
          </w:tcPr>
          <w:p>
            <w:r>
              <w:rPr>
                <w:sz w:val="18"/>
              </w:rPr>
              <w:t>notifications, notification_logs</w:t>
            </w:r>
          </w:p>
        </w:tc>
        <w:tc>
          <w:tcPr>
            <w:tcW w:type="dxa" w:w="2266"/>
          </w:tcPr>
          <w:p>
            <w:r>
              <w:rPr>
                <w:sz w:val="18"/>
              </w:rPr>
              <w:t>5433</w:t>
            </w:r>
          </w:p>
        </w:tc>
      </w:tr>
    </w:tbl>
    <w:p/>
    <w:p>
      <w:pPr>
        <w:pStyle w:val="Heading2"/>
        <w:spacing w:before="240" w:after="120"/>
      </w:pPr>
      <w:r>
        <w:rPr>
          <w:color w:val="064E3B"/>
        </w:rPr>
        <w:t>7.2 Enums et Types Métier</w:t>
      </w:r>
    </w:p>
    <w:tbl>
      <w:tblPr>
        <w:tblStyle w:val="LightShading-Accent6"/>
        <w:tblW w:type="auto" w:w="0"/>
        <w:jc w:val="center"/>
        <w:tblLook w:firstColumn="1" w:firstRow="1" w:lastColumn="0" w:lastRow="0" w:noHBand="0" w:noVBand="1" w:val="04A0"/>
      </w:tblPr>
      <w:tblGrid>
        <w:gridCol w:w="3022"/>
        <w:gridCol w:w="3022"/>
        <w:gridCol w:w="3022"/>
      </w:tblGrid>
      <w:tr>
        <w:tc>
          <w:tcPr>
            <w:tcW w:type="dxa" w:w="3022"/>
          </w:tcPr>
          <w:p>
            <w:r>
              <w:rPr>
                <w:b/>
                <w:sz w:val="19"/>
              </w:rPr>
              <w:t>Enum</w:t>
            </w:r>
          </w:p>
        </w:tc>
        <w:tc>
          <w:tcPr>
            <w:tcW w:type="dxa" w:w="3022"/>
          </w:tcPr>
          <w:p>
            <w:r>
              <w:rPr>
                <w:b/>
                <w:sz w:val="19"/>
              </w:rPr>
              <w:t>Service</w:t>
            </w:r>
          </w:p>
        </w:tc>
        <w:tc>
          <w:tcPr>
            <w:tcW w:type="dxa" w:w="3022"/>
          </w:tcPr>
          <w:p>
            <w:r>
              <w:rPr>
                <w:b/>
                <w:sz w:val="19"/>
              </w:rPr>
              <w:t>Valeurs</w:t>
            </w:r>
          </w:p>
        </w:tc>
      </w:tr>
      <w:tr>
        <w:tc>
          <w:tcPr>
            <w:tcW w:type="dxa" w:w="3022"/>
          </w:tcPr>
          <w:p>
            <w:r>
              <w:rPr>
                <w:sz w:val="18"/>
              </w:rPr>
              <w:t>UserRoleType</w:t>
            </w:r>
          </w:p>
        </w:tc>
        <w:tc>
          <w:tcPr>
            <w:tcW w:type="dxa" w:w="3022"/>
          </w:tcPr>
          <w:p>
            <w:r>
              <w:rPr>
                <w:sz w:val="18"/>
              </w:rPr>
              <w:t>Auth</w:t>
            </w:r>
          </w:p>
        </w:tc>
        <w:tc>
          <w:tcPr>
            <w:tcW w:type="dxa" w:w="3022"/>
          </w:tcPr>
          <w:p>
            <w:r>
              <w:rPr>
                <w:sz w:val="18"/>
              </w:rPr>
              <w:t>ADMIN, DIRECTEUR_AGENCE, AGENT, CLIENT</w:t>
            </w:r>
          </w:p>
        </w:tc>
      </w:tr>
      <w:tr>
        <w:tc>
          <w:tcPr>
            <w:tcW w:type="dxa" w:w="3022"/>
          </w:tcPr>
          <w:p>
            <w:r>
              <w:rPr>
                <w:sz w:val="18"/>
              </w:rPr>
              <w:t>ClientStatus</w:t>
            </w:r>
          </w:p>
        </w:tc>
        <w:tc>
          <w:tcPr>
            <w:tcW w:type="dxa" w:w="3022"/>
          </w:tcPr>
          <w:p>
            <w:r>
              <w:rPr>
                <w:sz w:val="18"/>
              </w:rPr>
              <w:t>Client</w:t>
            </w:r>
          </w:p>
        </w:tc>
        <w:tc>
          <w:tcPr>
            <w:tcW w:type="dxa" w:w="3022"/>
          </w:tcPr>
          <w:p>
            <w:r>
              <w:rPr>
                <w:sz w:val="18"/>
              </w:rPr>
              <w:t>ACTIVE, INACTIVE, PENDING, SUSPENDED</w:t>
            </w:r>
          </w:p>
        </w:tc>
      </w:tr>
      <w:tr>
        <w:tc>
          <w:tcPr>
            <w:tcW w:type="dxa" w:w="3022"/>
          </w:tcPr>
          <w:p>
            <w:r>
              <w:rPr>
                <w:sz w:val="18"/>
              </w:rPr>
              <w:t>StatutCompte</w:t>
            </w:r>
          </w:p>
        </w:tc>
        <w:tc>
          <w:tcPr>
            <w:tcW w:type="dxa" w:w="3022"/>
          </w:tcPr>
          <w:p>
            <w:r>
              <w:rPr>
                <w:sz w:val="18"/>
              </w:rPr>
              <w:t>Account</w:t>
            </w:r>
          </w:p>
        </w:tc>
        <w:tc>
          <w:tcPr>
            <w:tcW w:type="dxa" w:w="3022"/>
          </w:tcPr>
          <w:p>
            <w:r>
              <w:rPr>
                <w:sz w:val="18"/>
              </w:rPr>
              <w:t>ACTIF, INACTIF, SUSPENDU, BLOQUE, FERME, EN_ATTENTE_VALIDATION, REJETE</w:t>
            </w:r>
          </w:p>
        </w:tc>
      </w:tr>
      <w:tr>
        <w:tc>
          <w:tcPr>
            <w:tcW w:type="dxa" w:w="3022"/>
          </w:tcPr>
          <w:p>
            <w:r>
              <w:rPr>
                <w:sz w:val="18"/>
              </w:rPr>
              <w:t>TypeCompte</w:t>
            </w:r>
          </w:p>
        </w:tc>
        <w:tc>
          <w:tcPr>
            <w:tcW w:type="dxa" w:w="3022"/>
          </w:tcPr>
          <w:p>
            <w:r>
              <w:rPr>
                <w:sz w:val="18"/>
              </w:rPr>
              <w:t>Account</w:t>
            </w:r>
          </w:p>
        </w:tc>
        <w:tc>
          <w:tcPr>
            <w:tcW w:type="dxa" w:w="3022"/>
          </w:tcPr>
          <w:p>
            <w:r>
              <w:rPr>
                <w:sz w:val="18"/>
              </w:rPr>
              <w:t>COURANT, EPARGNE, MICRO_EPARGNE, DEPOT_A_TERME, CREDIT</w:t>
            </w:r>
          </w:p>
        </w:tc>
      </w:tr>
      <w:tr>
        <w:tc>
          <w:tcPr>
            <w:tcW w:type="dxa" w:w="3022"/>
          </w:tcPr>
          <w:p>
            <w:r>
              <w:rPr>
                <w:sz w:val="18"/>
              </w:rPr>
              <w:t>LoanStatus</w:t>
            </w:r>
          </w:p>
        </w:tc>
        <w:tc>
          <w:tcPr>
            <w:tcW w:type="dxa" w:w="3022"/>
          </w:tcPr>
          <w:p>
            <w:r>
              <w:rPr>
                <w:sz w:val="18"/>
              </w:rPr>
              <w:t>Loan</w:t>
            </w:r>
          </w:p>
        </w:tc>
        <w:tc>
          <w:tcPr>
            <w:tcW w:type="dxa" w:w="3022"/>
          </w:tcPr>
          <w:p>
            <w:r>
              <w:rPr>
                <w:sz w:val="18"/>
              </w:rPr>
              <w:t>PENDING, APPROVED, REJECTED, ACTIVE, COMPLETED, DEFAULT</w:t>
            </w:r>
          </w:p>
        </w:tc>
      </w:tr>
      <w:tr>
        <w:tc>
          <w:tcPr>
            <w:tcW w:type="dxa" w:w="3022"/>
          </w:tcPr>
          <w:p>
            <w:r>
              <w:rPr>
                <w:sz w:val="18"/>
              </w:rPr>
              <w:t>PaymentStatus</w:t>
            </w:r>
          </w:p>
        </w:tc>
        <w:tc>
          <w:tcPr>
            <w:tcW w:type="dxa" w:w="3022"/>
          </w:tcPr>
          <w:p>
            <w:r>
              <w:rPr>
                <w:sz w:val="18"/>
              </w:rPr>
              <w:t>Repayment</w:t>
            </w:r>
          </w:p>
        </w:tc>
        <w:tc>
          <w:tcPr>
            <w:tcW w:type="dxa" w:w="3022"/>
          </w:tcPr>
          <w:p>
            <w:r>
              <w:rPr>
                <w:sz w:val="18"/>
              </w:rPr>
              <w:t>PENDING, PENDING_VALIDATION, COMPLETED, FAILED</w:t>
            </w:r>
          </w:p>
        </w:tc>
      </w:tr>
      <w:tr>
        <w:tc>
          <w:tcPr>
            <w:tcW w:type="dxa" w:w="3022"/>
          </w:tcPr>
          <w:p>
            <w:r>
              <w:rPr>
                <w:sz w:val="18"/>
              </w:rPr>
              <w:t>PaymentMethod</w:t>
            </w:r>
          </w:p>
        </w:tc>
        <w:tc>
          <w:tcPr>
            <w:tcW w:type="dxa" w:w="3022"/>
          </w:tcPr>
          <w:p>
            <w:r>
              <w:rPr>
                <w:sz w:val="18"/>
              </w:rPr>
              <w:t>Repayment</w:t>
            </w:r>
          </w:p>
        </w:tc>
        <w:tc>
          <w:tcPr>
            <w:tcW w:type="dxa" w:w="3022"/>
          </w:tcPr>
          <w:p>
            <w:r>
              <w:rPr>
                <w:sz w:val="18"/>
              </w:rPr>
              <w:t>CASH, MOBILE_MONEY, BANK_TRANSFER, CHECK</w:t>
            </w:r>
          </w:p>
        </w:tc>
      </w:tr>
      <w:tr>
        <w:tc>
          <w:tcPr>
            <w:tcW w:type="dxa" w:w="3022"/>
          </w:tcPr>
          <w:p>
            <w:r>
              <w:rPr>
                <w:sz w:val="18"/>
              </w:rPr>
              <w:t>TypeNotification</w:t>
            </w:r>
          </w:p>
        </w:tc>
        <w:tc>
          <w:tcPr>
            <w:tcW w:type="dxa" w:w="3022"/>
          </w:tcPr>
          <w:p>
            <w:r>
              <w:rPr>
                <w:sz w:val="18"/>
              </w:rPr>
              <w:t>Notification</w:t>
            </w:r>
          </w:p>
        </w:tc>
        <w:tc>
          <w:tcPr>
            <w:tcW w:type="dxa" w:w="3022"/>
          </w:tcPr>
          <w:p>
            <w:r>
              <w:rPr>
                <w:sz w:val="18"/>
              </w:rPr>
              <w:t>DEMANDE_PRET, APPROBATION_PRET, CONFIRMATION_REMB, ALERTE_RETARD, ...</w:t>
            </w:r>
          </w:p>
        </w:tc>
      </w:tr>
    </w:tbl>
    <w:p/>
    <w:p>
      <w:r>
        <w:br w:type="page"/>
      </w:r>
    </w:p>
    <w:p>
      <w:pPr>
        <w:pStyle w:val="Heading1"/>
        <w:spacing w:before="240" w:after="120"/>
      </w:pPr>
      <w:r>
        <w:rPr>
          <w:color w:val="064E3B"/>
        </w:rPr>
        <w:t>8. Sécurité et Authentification</w:t>
      </w:r>
    </w:p>
    <w:p>
      <w:pPr>
        <w:spacing w:after="120"/>
      </w:pPr>
      <w:r>
        <w:rPr>
          <w:b w:val="0"/>
          <w:sz w:val="22"/>
        </w:rPr>
        <w:t>La sécurité est implémentée à plusieurs niveaux pour garantir la confidentialité et l'intégrité des données financières.</w:t>
      </w:r>
    </w:p>
    <w:p>
      <w:pPr>
        <w:pStyle w:val="Heading2"/>
        <w:spacing w:before="240" w:after="120"/>
      </w:pPr>
      <w:r>
        <w:rPr>
          <w:color w:val="064E3B"/>
        </w:rPr>
        <w:t>8.1 JWT et RBAC</w:t>
      </w:r>
    </w:p>
    <w:p>
      <w:pPr>
        <w:spacing w:after="120"/>
      </w:pPr>
      <w:r>
        <w:rPr>
          <w:b w:val="0"/>
          <w:sz w:val="22"/>
        </w:rPr>
        <w:t>Chaque requête authentifiée inclut un Bearer Token JWT signé avec une clé secrète partagée (HMAC-SHA256). Le token contient les claims suivants :</w:t>
      </w:r>
    </w:p>
    <w:p>
      <w:pPr>
        <w:pStyle w:val="ListBullet"/>
        <w:spacing w:after="60"/>
      </w:pPr>
      <w:r>
        <w:rPr>
          <w:sz w:val="21"/>
        </w:rPr>
        <w:t>sub : email de l'utilisateur (identifiant unique)</w:t>
      </w:r>
    </w:p>
    <w:p>
      <w:pPr>
        <w:pStyle w:val="ListBullet"/>
        <w:spacing w:after="60"/>
      </w:pPr>
      <w:r>
        <w:rPr>
          <w:sz w:val="21"/>
        </w:rPr>
        <w:t>role : rôle utilisateur (ADMIN / DIRECTEUR_AGENCE / AGENT / CLIENT)</w:t>
      </w:r>
    </w:p>
    <w:p>
      <w:pPr>
        <w:pStyle w:val="ListBullet"/>
        <w:spacing w:after="60"/>
      </w:pPr>
      <w:r>
        <w:rPr>
          <w:sz w:val="21"/>
        </w:rPr>
        <w:t>firstName / lastName : nom complet</w:t>
      </w:r>
    </w:p>
    <w:p>
      <w:pPr>
        <w:pStyle w:val="ListBullet"/>
        <w:spacing w:after="60"/>
      </w:pPr>
      <w:r>
        <w:rPr>
          <w:sz w:val="21"/>
        </w:rPr>
        <w:t>agencyId / agencyCode : identifiant de l'agence (pour agents et directeurs)</w:t>
      </w:r>
    </w:p>
    <w:p>
      <w:pPr>
        <w:pStyle w:val="ListBullet"/>
        <w:spacing w:after="60"/>
      </w:pPr>
      <w:r>
        <w:rPr>
          <w:sz w:val="21"/>
        </w:rPr>
        <w:t>exp : date d'expiration (24h par défaut)</w:t>
      </w:r>
    </w:p>
    <w:p>
      <w:pPr>
        <w:pStyle w:val="Heading2"/>
        <w:spacing w:before="240" w:after="120"/>
      </w:pPr>
      <w:r>
        <w:rPr>
          <w:color w:val="064E3B"/>
        </w:rPr>
        <w:t>8.2 Contrôle d'Accès par Endpoint</w:t>
      </w:r>
    </w:p>
    <w:tbl>
      <w:tblPr>
        <w:tblStyle w:val="LightShading-Accent6"/>
        <w:tblW w:type="auto" w:w="0"/>
        <w:jc w:val="center"/>
        <w:tblLook w:firstColumn="1" w:firstRow="1" w:lastColumn="0" w:lastRow="0" w:noHBand="0" w:noVBand="1" w:val="04A0"/>
      </w:tblPr>
      <w:tblGrid>
        <w:gridCol w:w="4533"/>
        <w:gridCol w:w="4533"/>
      </w:tblGrid>
      <w:tr>
        <w:tc>
          <w:tcPr>
            <w:tcW w:type="dxa" w:w="4533"/>
          </w:tcPr>
          <w:p>
            <w:r>
              <w:rPr>
                <w:b/>
                <w:sz w:val="19"/>
              </w:rPr>
              <w:t>Endpoint</w:t>
            </w:r>
          </w:p>
        </w:tc>
        <w:tc>
          <w:tcPr>
            <w:tcW w:type="dxa" w:w="4533"/>
          </w:tcPr>
          <w:p>
            <w:r>
              <w:rPr>
                <w:b/>
                <w:sz w:val="19"/>
              </w:rPr>
              <w:t>Rôles Autorisés</w:t>
            </w:r>
          </w:p>
        </w:tc>
      </w:tr>
      <w:tr>
        <w:tc>
          <w:tcPr>
            <w:tcW w:type="dxa" w:w="4533"/>
          </w:tcPr>
          <w:p>
            <w:r>
              <w:rPr>
                <w:sz w:val="18"/>
              </w:rPr>
              <w:t>POST /api/loans/approve</w:t>
            </w:r>
          </w:p>
        </w:tc>
        <w:tc>
          <w:tcPr>
            <w:tcW w:type="dxa" w:w="4533"/>
          </w:tcPr>
          <w:p>
            <w:r>
              <w:rPr>
                <w:sz w:val="18"/>
              </w:rPr>
              <w:t>ADMIN, DIRECTEUR_AGENCE</w:t>
            </w:r>
          </w:p>
        </w:tc>
      </w:tr>
      <w:tr>
        <w:tc>
          <w:tcPr>
            <w:tcW w:type="dxa" w:w="4533"/>
          </w:tcPr>
          <w:p>
            <w:r>
              <w:rPr>
                <w:sz w:val="18"/>
              </w:rPr>
              <w:t>GET /api/clients/by-agent/{email}</w:t>
            </w:r>
          </w:p>
        </w:tc>
        <w:tc>
          <w:tcPr>
            <w:tcW w:type="dxa" w:w="4533"/>
          </w:tcPr>
          <w:p>
            <w:r>
              <w:rPr>
                <w:sz w:val="18"/>
              </w:rPr>
              <w:t>ADMIN, DIRECTEUR_AGENCE</w:t>
            </w:r>
          </w:p>
        </w:tc>
      </w:tr>
      <w:tr>
        <w:tc>
          <w:tcPr>
            <w:tcW w:type="dxa" w:w="4533"/>
          </w:tcPr>
          <w:p>
            <w:r>
              <w:rPr>
                <w:sz w:val="18"/>
              </w:rPr>
              <w:t>POST /api/transactions/depot/**</w:t>
            </w:r>
          </w:p>
        </w:tc>
        <w:tc>
          <w:tcPr>
            <w:tcW w:type="dxa" w:w="4533"/>
          </w:tcPr>
          <w:p>
            <w:r>
              <w:rPr>
                <w:sz w:val="18"/>
              </w:rPr>
              <w:t>CLIENT, AGENT, ADMIN, DIRECTEUR_AGENCE</w:t>
            </w:r>
          </w:p>
        </w:tc>
      </w:tr>
      <w:tr>
        <w:tc>
          <w:tcPr>
            <w:tcW w:type="dxa" w:w="4533"/>
          </w:tcPr>
          <w:p>
            <w:r>
              <w:rPr>
                <w:sz w:val="18"/>
              </w:rPr>
              <w:t>PATCH /api/comptes/{id}/statut</w:t>
            </w:r>
          </w:p>
        </w:tc>
        <w:tc>
          <w:tcPr>
            <w:tcW w:type="dxa" w:w="4533"/>
          </w:tcPr>
          <w:p>
            <w:r>
              <w:rPr>
                <w:sz w:val="18"/>
              </w:rPr>
              <w:t>ADMIN, DIRECTEUR_AGENCE</w:t>
            </w:r>
          </w:p>
        </w:tc>
      </w:tr>
      <w:tr>
        <w:tc>
          <w:tcPr>
            <w:tcW w:type="dxa" w:w="4533"/>
          </w:tcPr>
          <w:p>
            <w:r>
              <w:rPr>
                <w:sz w:val="18"/>
              </w:rPr>
              <w:t>GET /api/agency/my-clients</w:t>
            </w:r>
          </w:p>
        </w:tc>
        <w:tc>
          <w:tcPr>
            <w:tcW w:type="dxa" w:w="4533"/>
          </w:tcPr>
          <w:p>
            <w:r>
              <w:rPr>
                <w:sz w:val="18"/>
              </w:rPr>
              <w:t>DIRECTEUR_AGENCE, ADMIN</w:t>
            </w:r>
          </w:p>
        </w:tc>
      </w:tr>
      <w:tr>
        <w:tc>
          <w:tcPr>
            <w:tcW w:type="dxa" w:w="4533"/>
          </w:tcPr>
          <w:p>
            <w:r>
              <w:rPr>
                <w:sz w:val="18"/>
              </w:rPr>
              <w:t>POST /api/clients/internal/by-agent-emails</w:t>
            </w:r>
          </w:p>
        </w:tc>
        <w:tc>
          <w:tcPr>
            <w:tcW w:type="dxa" w:w="4533"/>
          </w:tcPr>
          <w:p>
            <w:r>
              <w:rPr>
                <w:sz w:val="18"/>
              </w:rPr>
              <w:t>Public (interne)</w:t>
            </w:r>
          </w:p>
        </w:tc>
      </w:tr>
      <w:tr>
        <w:tc>
          <w:tcPr>
            <w:tcW w:type="dxa" w:w="4533"/>
          </w:tcPr>
          <w:p>
            <w:r>
              <w:rPr>
                <w:sz w:val="18"/>
              </w:rPr>
              <w:t>DELETE /api/comptes/{id}</w:t>
            </w:r>
          </w:p>
        </w:tc>
        <w:tc>
          <w:tcPr>
            <w:tcW w:type="dxa" w:w="4533"/>
          </w:tcPr>
          <w:p>
            <w:r>
              <w:rPr>
                <w:sz w:val="18"/>
              </w:rPr>
              <w:t>ADMIN uniquement</w:t>
            </w:r>
          </w:p>
        </w:tc>
      </w:tr>
    </w:tbl>
    <w:p/>
    <w:p>
      <w:pPr>
        <w:pStyle w:val="Heading2"/>
        <w:spacing w:before="240" w:after="120"/>
      </w:pPr>
      <w:r>
        <w:rPr>
          <w:color w:val="064E3B"/>
        </w:rPr>
        <w:t>8.3 Mesures de Sécurité Additionnelles</w:t>
      </w:r>
    </w:p>
    <w:p>
      <w:pPr>
        <w:pStyle w:val="ListBullet"/>
        <w:spacing w:after="60"/>
      </w:pPr>
      <w:r>
        <w:rPr>
          <w:sz w:val="21"/>
        </w:rPr>
        <w:t>BCrypt (force 12) pour le hachage des mots de passe</w:t>
      </w:r>
    </w:p>
    <w:p>
      <w:pPr>
        <w:pStyle w:val="ListBullet"/>
        <w:spacing w:after="60"/>
      </w:pPr>
      <w:r>
        <w:rPr>
          <w:sz w:val="21"/>
        </w:rPr>
        <w:t>Rate Limiting (via filtre personnalisé) pour limiter les tentatives de connexion</w:t>
      </w:r>
    </w:p>
    <w:p>
      <w:pPr>
        <w:pStyle w:val="ListBullet"/>
        <w:spacing w:after="60"/>
      </w:pPr>
      <w:r>
        <w:rPr>
          <w:sz w:val="21"/>
        </w:rPr>
        <w:t>Sessions Redis avec TTL pour l'invalidation centralisée des sessions</w:t>
      </w:r>
    </w:p>
    <w:p>
      <w:pPr>
        <w:pStyle w:val="ListBullet"/>
        <w:spacing w:after="60"/>
      </w:pPr>
      <w:r>
        <w:rPr>
          <w:sz w:val="21"/>
        </w:rPr>
        <w:t>CORS configuré par service (origines autorisées explicitement)</w:t>
      </w:r>
    </w:p>
    <w:p>
      <w:pPr>
        <w:pStyle w:val="ListBullet"/>
        <w:spacing w:after="60"/>
      </w:pPr>
      <w:r>
        <w:rPr>
          <w:sz w:val="21"/>
        </w:rPr>
        <w:t>Validation des entrées avec Bean Validation (@Valid, @NotNull, etc.)</w:t>
      </w:r>
    </w:p>
    <w:p>
      <w:pPr>
        <w:pStyle w:val="ListBullet"/>
        <w:spacing w:after="60"/>
      </w:pPr>
      <w:r>
        <w:rPr>
          <w:sz w:val="21"/>
        </w:rPr>
        <w:t>Tokens de service internes (ADMIN JWT) pour les appels Feign inter-services</w:t>
      </w:r>
    </w:p>
    <w:p>
      <w:pPr>
        <w:pStyle w:val="ListBullet"/>
        <w:spacing w:after="60"/>
      </w:pPr>
      <w:r>
        <w:rPr>
          <w:sz w:val="21"/>
        </w:rPr>
        <w:t>Secrets externalisés via variables d'environnement Docker</w:t>
      </w:r>
    </w:p>
    <w:p>
      <w:r>
        <w:br w:type="page"/>
      </w:r>
    </w:p>
    <w:p>
      <w:pPr>
        <w:pStyle w:val="Heading1"/>
        <w:spacing w:before="240" w:after="120"/>
      </w:pPr>
      <w:r>
        <w:rPr>
          <w:color w:val="064E3B"/>
        </w:rPr>
        <w:t>9. Services Développés — Détail Fonctionnel</w:t>
      </w:r>
    </w:p>
    <w:p>
      <w:pPr>
        <w:pStyle w:val="Heading2"/>
        <w:spacing w:before="240" w:after="120"/>
      </w:pPr>
      <w:r>
        <w:rPr>
          <w:color w:val="064E3B"/>
        </w:rPr>
        <w:t>🔐 Auth Service (8080)</w:t>
      </w:r>
    </w:p>
    <w:p>
      <w:pPr>
        <w:spacing w:after="120"/>
      </w:pPr>
      <w:r>
        <w:rPr>
          <w:b w:val="0"/>
          <w:sz w:val="22"/>
        </w:rPr>
        <w:t>Gère l'inscription, la connexion, et la gestion des tokens. Supporte 4 rôles (ADMIN, DIRECTEUR_AGENCE, AGENT, CLIENT). Les tokens JWT incluent le rôle, les noms et l'agencyId. Les sessions sont stockées dans Redis avec invalidation à la déconnexion. Inclut la récupération de mot de passe par email.</w:t>
      </w:r>
    </w:p>
    <w:p>
      <w:pPr>
        <w:spacing w:after="120"/>
      </w:pPr>
      <w:r>
        <w:rPr>
          <w:b/>
          <w:sz w:val="22"/>
        </w:rPr>
        <w:t>Endpoints principaux :</w:t>
      </w:r>
    </w:p>
    <w:p>
      <w:pPr>
        <w:pStyle w:val="ListBullet"/>
        <w:spacing w:after="60"/>
      </w:pPr>
      <w:r>
        <w:rPr>
          <w:sz w:val="21"/>
        </w:rPr>
        <w:t>POST /auth/login — Authentification + génération JWT</w:t>
      </w:r>
    </w:p>
    <w:p>
      <w:pPr>
        <w:pStyle w:val="ListBullet"/>
        <w:spacing w:after="60"/>
      </w:pPr>
      <w:r>
        <w:rPr>
          <w:sz w:val="21"/>
        </w:rPr>
        <w:t>POST /auth/register — Inscription client</w:t>
      </w:r>
    </w:p>
    <w:p>
      <w:pPr>
        <w:pStyle w:val="ListBullet"/>
        <w:spacing w:after="60"/>
      </w:pPr>
      <w:r>
        <w:rPr>
          <w:sz w:val="21"/>
        </w:rPr>
        <w:t>POST /auth/agent/create — Création agent (admin)</w:t>
      </w:r>
    </w:p>
    <w:p>
      <w:pPr>
        <w:pStyle w:val="ListBullet"/>
        <w:spacing w:after="60"/>
      </w:pPr>
      <w:r>
        <w:rPr>
          <w:sz w:val="21"/>
        </w:rPr>
        <w:t>GET /auth/me — Profil utilisateur connecté</w:t>
      </w:r>
    </w:p>
    <w:p>
      <w:pPr>
        <w:pStyle w:val="ListBullet"/>
        <w:spacing w:after="60"/>
      </w:pPr>
      <w:r>
        <w:rPr>
          <w:sz w:val="21"/>
        </w:rPr>
        <w:t>PUT /internal/users/{id}/agency — Mise à jour agence (interne)</w:t>
      </w:r>
    </w:p>
    <w:p/>
    <w:p>
      <w:pPr>
        <w:pStyle w:val="Heading2"/>
        <w:spacing w:before="240" w:after="120"/>
      </w:pPr>
      <w:r>
        <w:rPr>
          <w:color w:val="064E3B"/>
        </w:rPr>
        <w:t>👤 Client Service (8081)</w:t>
      </w:r>
    </w:p>
    <w:p>
      <w:pPr>
        <w:spacing w:after="120"/>
      </w:pPr>
      <w:r>
        <w:rPr>
          <w:b w:val="0"/>
          <w:sz w:val="22"/>
        </w:rPr>
        <w:t>Gère les profils clients de l'institution. Chaque client est associé à un agent (createdBy) et optionnellement à une agence (agencyId). Le service calcule et met à jour le score de crédit. Les documents KYC sont stockés sur Google Drive.</w:t>
      </w:r>
    </w:p>
    <w:p>
      <w:pPr>
        <w:spacing w:after="120"/>
      </w:pPr>
      <w:r>
        <w:rPr>
          <w:b/>
          <w:sz w:val="22"/>
        </w:rPr>
        <w:t>Endpoints principaux :</w:t>
      </w:r>
    </w:p>
    <w:p>
      <w:pPr>
        <w:pStyle w:val="ListBullet"/>
        <w:spacing w:after="60"/>
      </w:pPr>
      <w:r>
        <w:rPr>
          <w:sz w:val="21"/>
        </w:rPr>
        <w:t>POST /api/clients — Création client</w:t>
      </w:r>
    </w:p>
    <w:p>
      <w:pPr>
        <w:pStyle w:val="ListBullet"/>
        <w:spacing w:after="60"/>
      </w:pPr>
      <w:r>
        <w:rPr>
          <w:sz w:val="21"/>
        </w:rPr>
        <w:t>GET /api/clients/by-agent/{email} — Clients d'un agent</w:t>
      </w:r>
    </w:p>
    <w:p>
      <w:pPr>
        <w:pStyle w:val="ListBullet"/>
        <w:spacing w:after="60"/>
      </w:pPr>
      <w:r>
        <w:rPr>
          <w:sz w:val="21"/>
        </w:rPr>
        <w:t>GET /api/clients/by-agency/{id} — Clients d'une agence</w:t>
      </w:r>
    </w:p>
    <w:p>
      <w:pPr>
        <w:pStyle w:val="ListBullet"/>
        <w:spacing w:after="60"/>
      </w:pPr>
      <w:r>
        <w:rPr>
          <w:sz w:val="21"/>
        </w:rPr>
        <w:t>POST /api/clients/internal/by-agent-emails — Interne (agency-service)</w:t>
      </w:r>
    </w:p>
    <w:p>
      <w:pPr>
        <w:pStyle w:val="ListBullet"/>
        <w:spacing w:after="60"/>
      </w:pPr>
      <w:r>
        <w:rPr>
          <w:sz w:val="21"/>
        </w:rPr>
        <w:t>PATCH /api/clients/{id}/status — Changement statut</w:t>
      </w:r>
    </w:p>
    <w:p/>
    <w:p>
      <w:pPr>
        <w:pStyle w:val="Heading2"/>
        <w:spacing w:before="240" w:after="120"/>
      </w:pPr>
      <w:r>
        <w:rPr>
          <w:color w:val="064E3B"/>
        </w:rPr>
        <w:t>🏦 Account Service (8082)</w:t>
      </w:r>
    </w:p>
    <w:p>
      <w:pPr>
        <w:spacing w:after="120"/>
      </w:pPr>
      <w:r>
        <w:rPr>
          <w:b w:val="0"/>
          <w:sz w:val="22"/>
        </w:rPr>
        <w:t>Gère les comptes bancaires. Un compte passe par l'état EN_ATTENTE_VALIDATION avant d'être activé par un directeur ou admin. Le service expose des endpoints internes pour les opérations de crédit/débit appelés par transaction-service.</w:t>
      </w:r>
    </w:p>
    <w:p>
      <w:pPr>
        <w:spacing w:after="120"/>
      </w:pPr>
      <w:r>
        <w:rPr>
          <w:b/>
          <w:sz w:val="22"/>
        </w:rPr>
        <w:t>Endpoints principaux :</w:t>
      </w:r>
    </w:p>
    <w:p>
      <w:pPr>
        <w:pStyle w:val="ListBullet"/>
        <w:spacing w:after="60"/>
      </w:pPr>
      <w:r>
        <w:rPr>
          <w:sz w:val="21"/>
        </w:rPr>
        <w:t>POST /api/comptes — Ouverture de compte</w:t>
      </w:r>
    </w:p>
    <w:p>
      <w:pPr>
        <w:pStyle w:val="ListBullet"/>
        <w:spacing w:after="60"/>
      </w:pPr>
      <w:r>
        <w:rPr>
          <w:sz w:val="21"/>
        </w:rPr>
        <w:t>GET /api/comptes/en-attente-validation — File de validation</w:t>
      </w:r>
    </w:p>
    <w:p>
      <w:pPr>
        <w:pStyle w:val="ListBullet"/>
        <w:spacing w:after="60"/>
      </w:pPr>
      <w:r>
        <w:rPr>
          <w:sz w:val="21"/>
        </w:rPr>
        <w:t>PATCH /api/comptes/{id}/statut — Activation/Rejet (directeur/admin)</w:t>
      </w:r>
    </w:p>
    <w:p>
      <w:pPr>
        <w:pStyle w:val="ListBullet"/>
        <w:spacing w:after="60"/>
      </w:pPr>
      <w:r>
        <w:rPr>
          <w:sz w:val="21"/>
        </w:rPr>
        <w:t>POST /api/comptes/{id}/crediter — Interne (transaction-service)</w:t>
      </w:r>
    </w:p>
    <w:p>
      <w:pPr>
        <w:pStyle w:val="ListBullet"/>
        <w:spacing w:after="60"/>
      </w:pPr>
      <w:r>
        <w:rPr>
          <w:sz w:val="21"/>
        </w:rPr>
        <w:t>GET /api/comptes/client/{id} — Comptes d'un client</w:t>
      </w:r>
    </w:p>
    <w:p/>
    <w:p>
      <w:pPr>
        <w:pStyle w:val="Heading2"/>
        <w:spacing w:before="240" w:after="120"/>
      </w:pPr>
      <w:r>
        <w:rPr>
          <w:color w:val="064E3B"/>
        </w:rPr>
        <w:t>💳 Loan Service (8083)</w:t>
      </w:r>
    </w:p>
    <w:p>
      <w:pPr>
        <w:spacing w:after="120"/>
      </w:pPr>
      <w:r>
        <w:rPr>
          <w:b w:val="0"/>
          <w:sz w:val="22"/>
        </w:rPr>
        <w:t>Gère le cycle complet du prêt : demande, éligibilité, amortissement, approbation, décaissement, suivi des échéances. Calcule automatiquement les plans d'amortissement (méthode des intérêts dégressifs).</w:t>
      </w:r>
    </w:p>
    <w:p>
      <w:pPr>
        <w:spacing w:after="120"/>
      </w:pPr>
      <w:r>
        <w:rPr>
          <w:b/>
          <w:sz w:val="22"/>
        </w:rPr>
        <w:t>Endpoints principaux :</w:t>
      </w:r>
    </w:p>
    <w:p>
      <w:pPr>
        <w:pStyle w:val="ListBullet"/>
        <w:spacing w:after="60"/>
      </w:pPr>
      <w:r>
        <w:rPr>
          <w:sz w:val="21"/>
        </w:rPr>
        <w:t>POST /api/loans/apply — Demande de prêt</w:t>
      </w:r>
    </w:p>
    <w:p>
      <w:pPr>
        <w:pStyle w:val="ListBullet"/>
        <w:spacing w:after="60"/>
      </w:pPr>
      <w:r>
        <w:rPr>
          <w:sz w:val="21"/>
        </w:rPr>
        <w:t>GET /api/loans/eligibility/{clientId} — Vérification éligibilité</w:t>
      </w:r>
    </w:p>
    <w:p>
      <w:pPr>
        <w:pStyle w:val="ListBullet"/>
        <w:spacing w:after="60"/>
      </w:pPr>
      <w:r>
        <w:rPr>
          <w:sz w:val="21"/>
        </w:rPr>
        <w:t>GET /api/loans/{id}/amortization — Plan d'amortissement</w:t>
      </w:r>
    </w:p>
    <w:p>
      <w:pPr>
        <w:pStyle w:val="ListBullet"/>
        <w:spacing w:after="60"/>
      </w:pPr>
      <w:r>
        <w:rPr>
          <w:sz w:val="21"/>
        </w:rPr>
        <w:t>POST /api/loans/approval/{id}/approve — Approbation</w:t>
      </w:r>
    </w:p>
    <w:p>
      <w:pPr>
        <w:pStyle w:val="ListBullet"/>
        <w:spacing w:after="60"/>
      </w:pPr>
      <w:r>
        <w:rPr>
          <w:sz w:val="21"/>
        </w:rPr>
        <w:t>POST /api/loans/by-clients — Prêts pour liste de clients</w:t>
      </w:r>
    </w:p>
    <w:p/>
    <w:p>
      <w:pPr>
        <w:pStyle w:val="Heading2"/>
        <w:spacing w:before="240" w:after="120"/>
      </w:pPr>
      <w:r>
        <w:rPr>
          <w:color w:val="064E3B"/>
        </w:rPr>
        <w:t>💰 Repayment Service (8084)</w:t>
      </w:r>
    </w:p>
    <w:p>
      <w:pPr>
        <w:spacing w:after="120"/>
      </w:pPr>
      <w:r>
        <w:rPr>
          <w:b w:val="0"/>
          <w:sz w:val="22"/>
        </w:rPr>
        <w:t>Gère les remboursements de prêts. Les agents et directeurs enregistrent des paiements en PENDING_VALIDATION ; l'admin les valide. CamPay déclenche les confirmations via RabbitMQ (webhook asynchrone).</w:t>
      </w:r>
    </w:p>
    <w:p>
      <w:pPr>
        <w:spacing w:after="120"/>
      </w:pPr>
      <w:r>
        <w:rPr>
          <w:b/>
          <w:sz w:val="22"/>
        </w:rPr>
        <w:t>Endpoints principaux :</w:t>
      </w:r>
    </w:p>
    <w:p>
      <w:pPr>
        <w:pStyle w:val="ListBullet"/>
        <w:spacing w:after="60"/>
      </w:pPr>
      <w:r>
        <w:rPr>
          <w:sz w:val="21"/>
        </w:rPr>
        <w:t>POST /api/repayments/pay/record — Enregistrement (agent/directeur)</w:t>
      </w:r>
    </w:p>
    <w:p>
      <w:pPr>
        <w:pStyle w:val="ListBullet"/>
        <w:spacing w:after="60"/>
      </w:pPr>
      <w:r>
        <w:rPr>
          <w:sz w:val="21"/>
        </w:rPr>
        <w:t>POST /api/repayments/pay/client — Paiement direct client</w:t>
      </w:r>
    </w:p>
    <w:p>
      <w:pPr>
        <w:pStyle w:val="ListBullet"/>
        <w:spacing w:after="60"/>
      </w:pPr>
      <w:r>
        <w:rPr>
          <w:sz w:val="21"/>
        </w:rPr>
        <w:t>GET /api/repayments/pending — Paiements en attente (admin)</w:t>
      </w:r>
    </w:p>
    <w:p>
      <w:pPr>
        <w:pStyle w:val="ListBullet"/>
        <w:spacing w:after="60"/>
      </w:pPr>
      <w:r>
        <w:rPr>
          <w:sz w:val="21"/>
        </w:rPr>
        <w:t>POST /api/repayments/{id}/validate — Validation (admin)</w:t>
      </w:r>
    </w:p>
    <w:p>
      <w:pPr>
        <w:pStyle w:val="ListBullet"/>
        <w:spacing w:after="60"/>
      </w:pPr>
      <w:r>
        <w:rPr>
          <w:sz w:val="21"/>
        </w:rPr>
        <w:t>POST /api/repayments/stats/by-clients — Stats par agence</w:t>
      </w:r>
    </w:p>
    <w:p/>
    <w:p>
      <w:pPr>
        <w:pStyle w:val="Heading2"/>
        <w:spacing w:before="240" w:after="120"/>
      </w:pPr>
      <w:r>
        <w:rPr>
          <w:color w:val="064E3B"/>
        </w:rPr>
        <w:t>🏢 Agency Service (8086)</w:t>
      </w:r>
    </w:p>
    <w:p>
      <w:pPr>
        <w:spacing w:after="120"/>
      </w:pPr>
      <w:r>
        <w:rPr>
          <w:b w:val="0"/>
          <w:sz w:val="22"/>
        </w:rPr>
        <w:t>Gère les agences, l'assignation des agents et directeurs, et expose les données agrégées des clients par agence. La méthode getAgencyClientsWithAccounts récupère les clients via les emails des agents assignés (endpoint interne client-service).</w:t>
      </w:r>
    </w:p>
    <w:p>
      <w:pPr>
        <w:spacing w:after="120"/>
      </w:pPr>
      <w:r>
        <w:rPr>
          <w:b/>
          <w:sz w:val="22"/>
        </w:rPr>
        <w:t>Endpoints principaux :</w:t>
      </w:r>
    </w:p>
    <w:p>
      <w:pPr>
        <w:pStyle w:val="ListBullet"/>
        <w:spacing w:after="60"/>
      </w:pPr>
      <w:r>
        <w:rPr>
          <w:sz w:val="21"/>
        </w:rPr>
        <w:t>GET /api/agency/my-agency — Agence du directeur connecté</w:t>
      </w:r>
    </w:p>
    <w:p>
      <w:pPr>
        <w:pStyle w:val="ListBullet"/>
        <w:spacing w:after="60"/>
      </w:pPr>
      <w:r>
        <w:rPr>
          <w:sz w:val="21"/>
        </w:rPr>
        <w:t>GET /api/agency/my-clients — Clients de l'agence (via agents)</w:t>
      </w:r>
    </w:p>
    <w:p>
      <w:pPr>
        <w:pStyle w:val="ListBullet"/>
        <w:spacing w:after="60"/>
      </w:pPr>
      <w:r>
        <w:rPr>
          <w:sz w:val="21"/>
        </w:rPr>
        <w:t>GET /api/agency/my-agents — Agents (actifs + inactifs)</w:t>
      </w:r>
    </w:p>
    <w:p>
      <w:pPr>
        <w:pStyle w:val="ListBullet"/>
        <w:spacing w:after="60"/>
      </w:pPr>
      <w:r>
        <w:rPr>
          <w:sz w:val="21"/>
        </w:rPr>
        <w:t>PATCH /api/agency/agents/{id}/toggle-status — Activer/Désactiver agent</w:t>
      </w:r>
    </w:p>
    <w:p>
      <w:pPr>
        <w:pStyle w:val="ListBullet"/>
        <w:spacing w:after="60"/>
      </w:pPr>
      <w:r>
        <w:rPr>
          <w:sz w:val="21"/>
        </w:rPr>
        <w:t>POST /api/agency/agents/assign — Assigner un agent</w:t>
      </w:r>
    </w:p>
    <w:p/>
    <w:p>
      <w:pPr>
        <w:pStyle w:val="Heading2"/>
        <w:spacing w:before="240" w:after="120"/>
      </w:pPr>
      <w:r>
        <w:rPr>
          <w:color w:val="064E3B"/>
        </w:rPr>
        <w:t>💸 Transaction Service (8088)</w:t>
      </w:r>
    </w:p>
    <w:p>
      <w:pPr>
        <w:spacing w:after="120"/>
      </w:pPr>
      <w:r>
        <w:rPr>
          <w:b w:val="0"/>
          <w:sz w:val="22"/>
        </w:rPr>
        <w:t>Gère toutes les opérations financières : dépôts, retraits, virements inter-comptes et intégration CamPay (Mobile Money). Les transactions modifient les soldes en appelant account-service via Feign.</w:t>
      </w:r>
    </w:p>
    <w:p>
      <w:pPr>
        <w:spacing w:after="120"/>
      </w:pPr>
      <w:r>
        <w:rPr>
          <w:b/>
          <w:sz w:val="22"/>
        </w:rPr>
        <w:t>Endpoints principaux :</w:t>
      </w:r>
    </w:p>
    <w:p>
      <w:pPr>
        <w:pStyle w:val="ListBullet"/>
        <w:spacing w:after="60"/>
      </w:pPr>
      <w:r>
        <w:rPr>
          <w:sz w:val="21"/>
        </w:rPr>
        <w:t>POST /api/transactions/depot/{compteId} — Dépôt</w:t>
      </w:r>
    </w:p>
    <w:p>
      <w:pPr>
        <w:pStyle w:val="ListBullet"/>
        <w:spacing w:after="60"/>
      </w:pPr>
      <w:r>
        <w:rPr>
          <w:sz w:val="21"/>
        </w:rPr>
        <w:t>POST /api/transactions/retrait/{compteId} — Retrait</w:t>
      </w:r>
    </w:p>
    <w:p>
      <w:pPr>
        <w:pStyle w:val="ListBullet"/>
        <w:spacing w:after="60"/>
      </w:pPr>
      <w:r>
        <w:rPr>
          <w:sz w:val="21"/>
        </w:rPr>
        <w:t>POST /api/transactions/virement/{compteId} — Virement</w:t>
      </w:r>
    </w:p>
    <w:p>
      <w:pPr>
        <w:pStyle w:val="ListBullet"/>
        <w:spacing w:after="60"/>
      </w:pPr>
      <w:r>
        <w:rPr>
          <w:sz w:val="21"/>
        </w:rPr>
        <w:t>POST /api/campay/webhook — Webhook CamPay</w:t>
      </w:r>
    </w:p>
    <w:p>
      <w:pPr>
        <w:pStyle w:val="ListBullet"/>
        <w:spacing w:after="60"/>
      </w:pPr>
      <w:r>
        <w:rPr>
          <w:sz w:val="21"/>
        </w:rPr>
        <w:t>GET /api/transactions/compte/{compteId} — Historique</w:t>
      </w:r>
    </w:p>
    <w:p/>
    <w:p>
      <w:pPr>
        <w:pStyle w:val="Heading2"/>
        <w:spacing w:before="240" w:after="120"/>
      </w:pPr>
      <w:r>
        <w:rPr>
          <w:color w:val="064E3B"/>
        </w:rPr>
        <w:t>🔔 Notification Service (8089)</w:t>
      </w:r>
    </w:p>
    <w:p>
      <w:pPr>
        <w:spacing w:after="120"/>
      </w:pPr>
      <w:r>
        <w:rPr>
          <w:b w:val="0"/>
          <w:sz w:val="22"/>
        </w:rPr>
        <w:t>Envoie des notifications aux clients et agents via Email (templates Thymeleaf) et SMS (Twilio). Les notifications sont déclenchées de manière asynchrone via RabbitMQ. Supporte les notifications en temps réel via WebSocket.</w:t>
      </w:r>
    </w:p>
    <w:p>
      <w:pPr>
        <w:spacing w:after="120"/>
      </w:pPr>
      <w:r>
        <w:rPr>
          <w:b/>
          <w:sz w:val="22"/>
        </w:rPr>
        <w:t>Endpoints principaux :</w:t>
      </w:r>
    </w:p>
    <w:p>
      <w:pPr>
        <w:pStyle w:val="ListBullet"/>
        <w:spacing w:after="60"/>
      </w:pPr>
      <w:r>
        <w:rPr>
          <w:sz w:val="21"/>
        </w:rPr>
        <w:t>Emails : prêt approuvé, compte ouvert, paiement reçu</w:t>
      </w:r>
    </w:p>
    <w:p>
      <w:pPr>
        <w:pStyle w:val="ListBullet"/>
        <w:spacing w:after="60"/>
      </w:pPr>
      <w:r>
        <w:rPr>
          <w:sz w:val="21"/>
        </w:rPr>
        <w:t>SMS : alertes critiques, rappels d'échéance</w:t>
      </w:r>
    </w:p>
    <w:p>
      <w:pPr>
        <w:pStyle w:val="ListBullet"/>
        <w:spacing w:after="60"/>
      </w:pPr>
      <w:r>
        <w:rPr>
          <w:sz w:val="21"/>
        </w:rPr>
        <w:t>Templates HTML Thymeleaf avec mise en page professionnelle</w:t>
      </w:r>
    </w:p>
    <w:p>
      <w:pPr>
        <w:pStyle w:val="ListBullet"/>
        <w:spacing w:after="60"/>
      </w:pPr>
      <w:r>
        <w:rPr>
          <w:sz w:val="21"/>
        </w:rPr>
        <w:t>WebSocket pour notifications push en temps réel</w:t>
      </w:r>
    </w:p>
    <w:p/>
    <w:p>
      <w:r>
        <w:br w:type="page"/>
      </w:r>
    </w:p>
    <w:p>
      <w:pPr>
        <w:pStyle w:val="Heading1"/>
        <w:spacing w:before="240" w:after="120"/>
      </w:pPr>
      <w:r>
        <w:rPr>
          <w:color w:val="064E3B"/>
        </w:rPr>
        <w:t>10. Interface Utilisateur</w:t>
      </w:r>
    </w:p>
    <w:p>
      <w:pPr>
        <w:spacing w:after="120"/>
      </w:pPr>
      <w:r>
        <w:rPr>
          <w:b w:val="0"/>
          <w:sz w:val="22"/>
        </w:rPr>
        <w:t>Le frontend React est organisé en espaces distincts selon le rôle de l'utilisateur. Chaque rôle dispose d'un layout personnalisé avec une navigation adaptée à ses responsabilités.</w:t>
      </w:r>
    </w:p>
    <w:p>
      <w:pPr>
        <w:pStyle w:val="Heading2"/>
        <w:spacing w:before="240" w:after="120"/>
      </w:pPr>
      <w:r>
        <w:rPr>
          <w:color w:val="064E3B"/>
        </w:rPr>
        <w:t>10.1 Espaces Utilisateurs</w:t>
      </w:r>
    </w:p>
    <w:tbl>
      <w:tblPr>
        <w:tblStyle w:val="LightShading-Accent6"/>
        <w:tblW w:type="auto" w:w="0"/>
        <w:jc w:val="center"/>
        <w:tblLook w:firstColumn="1" w:firstRow="1" w:lastColumn="0" w:lastRow="0" w:noHBand="0" w:noVBand="1" w:val="04A0"/>
      </w:tblPr>
      <w:tblGrid>
        <w:gridCol w:w="3022"/>
        <w:gridCol w:w="3022"/>
        <w:gridCol w:w="3022"/>
      </w:tblGrid>
      <w:tr>
        <w:tc>
          <w:tcPr>
            <w:tcW w:type="dxa" w:w="3022"/>
          </w:tcPr>
          <w:p>
            <w:r>
              <w:rPr>
                <w:b/>
                <w:sz w:val="19"/>
              </w:rPr>
              <w:t>Rôle</w:t>
            </w:r>
          </w:p>
        </w:tc>
        <w:tc>
          <w:tcPr>
            <w:tcW w:type="dxa" w:w="3022"/>
          </w:tcPr>
          <w:p>
            <w:r>
              <w:rPr>
                <w:b/>
                <w:sz w:val="19"/>
              </w:rPr>
              <w:t>Route</w:t>
            </w:r>
          </w:p>
        </w:tc>
        <w:tc>
          <w:tcPr>
            <w:tcW w:type="dxa" w:w="3022"/>
          </w:tcPr>
          <w:p>
            <w:r>
              <w:rPr>
                <w:b/>
                <w:sz w:val="19"/>
              </w:rPr>
              <w:t>Pages disponibles</w:t>
            </w:r>
          </w:p>
        </w:tc>
      </w:tr>
      <w:tr>
        <w:tc>
          <w:tcPr>
            <w:tcW w:type="dxa" w:w="3022"/>
          </w:tcPr>
          <w:p>
            <w:r>
              <w:rPr>
                <w:sz w:val="18"/>
              </w:rPr>
              <w:t>Admin</w:t>
            </w:r>
          </w:p>
        </w:tc>
        <w:tc>
          <w:tcPr>
            <w:tcW w:type="dxa" w:w="3022"/>
          </w:tcPr>
          <w:p>
            <w:r>
              <w:rPr>
                <w:sz w:val="18"/>
              </w:rPr>
              <w:t>/admin/**</w:t>
            </w:r>
          </w:p>
        </w:tc>
        <w:tc>
          <w:tcPr>
            <w:tcW w:type="dxa" w:w="3022"/>
          </w:tcPr>
          <w:p>
            <w:r>
              <w:rPr>
                <w:sz w:val="18"/>
              </w:rPr>
              <w:t>Dashboard, Clients, Prêts, Comptes, Validations, Transactions, Remboursements, Rapports, Notifications, Agents, Directeurs, Agences, Paramètres</w:t>
            </w:r>
          </w:p>
        </w:tc>
      </w:tr>
      <w:tr>
        <w:tc>
          <w:tcPr>
            <w:tcW w:type="dxa" w:w="3022"/>
          </w:tcPr>
          <w:p>
            <w:r>
              <w:rPr>
                <w:sz w:val="18"/>
              </w:rPr>
              <w:t>Directeur</w:t>
            </w:r>
          </w:p>
        </w:tc>
        <w:tc>
          <w:tcPr>
            <w:tcW w:type="dxa" w:w="3022"/>
          </w:tcPr>
          <w:p>
            <w:r>
              <w:rPr>
                <w:sz w:val="18"/>
              </w:rPr>
              <w:t>/directeur/**</w:t>
            </w:r>
          </w:p>
        </w:tc>
        <w:tc>
          <w:tcPr>
            <w:tcW w:type="dxa" w:w="3022"/>
          </w:tcPr>
          <w:p>
            <w:r>
              <w:rPr>
                <w:sz w:val="18"/>
              </w:rPr>
              <w:t>Dashboard, Clients (CRUD), Agents (toggle), Validations, Comptes, Prêts, Remboursements, Rapports, Guichet</w:t>
            </w:r>
          </w:p>
        </w:tc>
      </w:tr>
      <w:tr>
        <w:tc>
          <w:tcPr>
            <w:tcW w:type="dxa" w:w="3022"/>
          </w:tcPr>
          <w:p>
            <w:r>
              <w:rPr>
                <w:sz w:val="18"/>
              </w:rPr>
              <w:t>Agent</w:t>
            </w:r>
          </w:p>
        </w:tc>
        <w:tc>
          <w:tcPr>
            <w:tcW w:type="dxa" w:w="3022"/>
          </w:tcPr>
          <w:p>
            <w:r>
              <w:rPr>
                <w:sz w:val="18"/>
              </w:rPr>
              <w:t>/agent/**</w:t>
            </w:r>
          </w:p>
        </w:tc>
        <w:tc>
          <w:tcPr>
            <w:tcW w:type="dxa" w:w="3022"/>
          </w:tcPr>
          <w:p>
            <w:r>
              <w:rPr>
                <w:sz w:val="18"/>
              </w:rPr>
              <w:t>Dashboard, Mes Clients, Guichet, Demandes Prêt, Remboursements, Mon Profil</w:t>
            </w:r>
          </w:p>
        </w:tc>
      </w:tr>
      <w:tr>
        <w:tc>
          <w:tcPr>
            <w:tcW w:type="dxa" w:w="3022"/>
          </w:tcPr>
          <w:p>
            <w:r>
              <w:rPr>
                <w:sz w:val="18"/>
              </w:rPr>
              <w:t>Client</w:t>
            </w:r>
          </w:p>
        </w:tc>
        <w:tc>
          <w:tcPr>
            <w:tcW w:type="dxa" w:w="3022"/>
          </w:tcPr>
          <w:p>
            <w:r>
              <w:rPr>
                <w:sz w:val="18"/>
              </w:rPr>
              <w:t>/client/**</w:t>
            </w:r>
          </w:p>
        </w:tc>
        <w:tc>
          <w:tcPr>
            <w:tcW w:type="dxa" w:w="3022"/>
          </w:tcPr>
          <w:p>
            <w:r>
              <w:rPr>
                <w:sz w:val="18"/>
              </w:rPr>
              <w:t>Mon Espace, Mes Comptes, Mes Prêts, Transactions, Remboursements, Simulateur</w:t>
            </w:r>
          </w:p>
        </w:tc>
      </w:tr>
    </w:tbl>
    <w:p/>
    <w:p>
      <w:pPr>
        <w:pStyle w:val="Heading2"/>
        <w:spacing w:before="240" w:after="120"/>
      </w:pPr>
      <w:r>
        <w:rPr>
          <w:color w:val="064E3B"/>
        </w:rPr>
        <w:t>10.2 Fonctionnalités Clés du Directeur</w:t>
      </w:r>
    </w:p>
    <w:p>
      <w:pPr>
        <w:pStyle w:val="ListBullet"/>
        <w:spacing w:after="60"/>
      </w:pPr>
      <w:r>
        <w:rPr>
          <w:sz w:val="21"/>
        </w:rPr>
        <w:t>Vue consolidée des clients de son agence (via agents assignés)</w:t>
      </w:r>
    </w:p>
    <w:p>
      <w:pPr>
        <w:pStyle w:val="ListBullet"/>
        <w:spacing w:after="60"/>
      </w:pPr>
      <w:r>
        <w:rPr>
          <w:sz w:val="21"/>
        </w:rPr>
        <w:t>Création de nouveaux clients avec assignation d'agence</w:t>
      </w:r>
    </w:p>
    <w:p>
      <w:pPr>
        <w:pStyle w:val="ListBullet"/>
        <w:spacing w:after="60"/>
      </w:pPr>
      <w:r>
        <w:rPr>
          <w:sz w:val="21"/>
        </w:rPr>
        <w:t>Modification et changement de statut des clients</w:t>
      </w:r>
    </w:p>
    <w:p>
      <w:pPr>
        <w:pStyle w:val="ListBullet"/>
        <w:spacing w:after="60"/>
      </w:pPr>
      <w:r>
        <w:rPr>
          <w:sz w:val="21"/>
        </w:rPr>
        <w:t>Toggle actif/inactif des agents de son agence</w:t>
      </w:r>
    </w:p>
    <w:p>
      <w:pPr>
        <w:pStyle w:val="ListBullet"/>
        <w:spacing w:after="60"/>
      </w:pPr>
      <w:r>
        <w:rPr>
          <w:sz w:val="21"/>
        </w:rPr>
        <w:t>Validation des demandes de compte (EN_ATTENTE → ACTIF ou REJETÉ)</w:t>
      </w:r>
    </w:p>
    <w:p>
      <w:pPr>
        <w:pStyle w:val="ListBullet"/>
        <w:spacing w:after="60"/>
      </w:pPr>
      <w:r>
        <w:rPr>
          <w:sz w:val="21"/>
        </w:rPr>
        <w:t>Enregistrement de paiements de remboursement (→ PENDING_VALIDATION pour l'admin)</w:t>
      </w:r>
    </w:p>
    <w:p>
      <w:pPr>
        <w:pStyle w:val="ListBullet"/>
        <w:spacing w:after="60"/>
      </w:pPr>
      <w:r>
        <w:rPr>
          <w:sz w:val="21"/>
        </w:rPr>
        <w:t>Opérations guichet : Dépôt, Retrait, Virement pour les clients de l'agence</w:t>
      </w:r>
    </w:p>
    <w:p>
      <w:pPr>
        <w:pStyle w:val="ListBullet"/>
        <w:spacing w:after="60"/>
      </w:pPr>
      <w:r>
        <w:rPr>
          <w:sz w:val="21"/>
        </w:rPr>
        <w:t>Rapports financiers filtrés par agence</w:t>
      </w:r>
    </w:p>
    <w:p>
      <w:r>
        <w:br w:type="page"/>
      </w:r>
    </w:p>
    <w:p>
      <w:pPr>
        <w:pStyle w:val="Heading1"/>
        <w:spacing w:before="240" w:after="120"/>
      </w:pPr>
      <w:r>
        <w:rPr>
          <w:color w:val="064E3B"/>
        </w:rPr>
        <w:t>11. Déploiement et Infrastructure</w:t>
      </w:r>
    </w:p>
    <w:p>
      <w:pPr>
        <w:spacing w:after="120"/>
      </w:pPr>
      <w:r>
        <w:rPr>
          <w:b w:val="0"/>
          <w:sz w:val="22"/>
        </w:rPr>
        <w:t>L'ensemble du système est conteneurisé via Docker et orchestré par Docker Compose. Chaque service dispose de son propre Dockerfile multi-étapes (build Maven + image JRE légère). Le frontend utilise Nginx pour servir les fichiers React buildés.</w:t>
      </w:r>
    </w:p>
    <w:p>
      <w:r>
        <w:drawing>
          <wp:inline xmlns:a="http://schemas.openxmlformats.org/drawingml/2006/main" xmlns:pic="http://schemas.openxmlformats.org/drawingml/2006/picture">
            <wp:extent cx="5943600" cy="4003052"/>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943600" cy="4003052"/>
                    </a:xfrm>
                    <a:prstGeom prst="rect"/>
                  </pic:spPr>
                </pic:pic>
              </a:graphicData>
            </a:graphic>
          </wp:inline>
        </w:drawing>
      </w:r>
    </w:p>
    <w:p>
      <w:pPr>
        <w:jc w:val="center"/>
      </w:pPr>
      <w:r>
        <w:rPr>
          <w:i/>
          <w:color w:val="444444"/>
          <w:sz w:val="18"/>
        </w:rPr>
        <w:t>Figure 8 — Architecture de Déploiement Docker Compose</w:t>
      </w:r>
    </w:p>
    <w:p/>
    <w:p>
      <w:pPr>
        <w:pStyle w:val="Heading2"/>
        <w:spacing w:before="240" w:after="120"/>
      </w:pPr>
      <w:r>
        <w:rPr>
          <w:color w:val="064E3B"/>
        </w:rPr>
        <w:t>11.1 Variables d'Environnement (Docker Secrets)</w:t>
      </w:r>
    </w:p>
    <w:tbl>
      <w:tblPr>
        <w:tblStyle w:val="LightShading-Accent6"/>
        <w:tblW w:type="auto" w:w="0"/>
        <w:jc w:val="center"/>
        <w:tblLook w:firstColumn="1" w:firstRow="1" w:lastColumn="0" w:lastRow="0" w:noHBand="0" w:noVBand="1" w:val="04A0"/>
      </w:tblPr>
      <w:tblGrid>
        <w:gridCol w:w="4533"/>
        <w:gridCol w:w="4533"/>
      </w:tblGrid>
      <w:tr>
        <w:tc>
          <w:tcPr>
            <w:tcW w:type="dxa" w:w="4533"/>
          </w:tcPr>
          <w:p>
            <w:r>
              <w:rPr>
                <w:b/>
                <w:sz w:val="19"/>
              </w:rPr>
              <w:t>Variable</w:t>
            </w:r>
          </w:p>
        </w:tc>
        <w:tc>
          <w:tcPr>
            <w:tcW w:type="dxa" w:w="4533"/>
          </w:tcPr>
          <w:p>
            <w:r>
              <w:rPr>
                <w:b/>
                <w:sz w:val="19"/>
              </w:rPr>
              <w:t>Usage</w:t>
            </w:r>
          </w:p>
        </w:tc>
      </w:tr>
      <w:tr>
        <w:tc>
          <w:tcPr>
            <w:tcW w:type="dxa" w:w="4533"/>
          </w:tcPr>
          <w:p>
            <w:r>
              <w:rPr>
                <w:sz w:val="18"/>
              </w:rPr>
              <w:t>JWT_SECRET</w:t>
            </w:r>
          </w:p>
        </w:tc>
        <w:tc>
          <w:tcPr>
            <w:tcW w:type="dxa" w:w="4533"/>
          </w:tcPr>
          <w:p>
            <w:r>
              <w:rPr>
                <w:sz w:val="18"/>
              </w:rPr>
              <w:t>Clé HMAC-SHA256 partagée (256 bits) pour signer les JWT</w:t>
            </w:r>
          </w:p>
        </w:tc>
      </w:tr>
      <w:tr>
        <w:tc>
          <w:tcPr>
            <w:tcW w:type="dxa" w:w="4533"/>
          </w:tcPr>
          <w:p>
            <w:r>
              <w:rPr>
                <w:sz w:val="18"/>
              </w:rPr>
              <w:t>DB_USERNAME / DB_PASSWORD</w:t>
            </w:r>
          </w:p>
        </w:tc>
        <w:tc>
          <w:tcPr>
            <w:tcW w:type="dxa" w:w="4533"/>
          </w:tcPr>
          <w:p>
            <w:r>
              <w:rPr>
                <w:sz w:val="18"/>
              </w:rPr>
              <w:t>Credentials PostgreSQL</w:t>
            </w:r>
          </w:p>
        </w:tc>
      </w:tr>
      <w:tr>
        <w:tc>
          <w:tcPr>
            <w:tcW w:type="dxa" w:w="4533"/>
          </w:tcPr>
          <w:p>
            <w:r>
              <w:rPr>
                <w:sz w:val="18"/>
              </w:rPr>
              <w:t>RABBITMQ_USERNAME / PASSWORD</w:t>
            </w:r>
          </w:p>
        </w:tc>
        <w:tc>
          <w:tcPr>
            <w:tcW w:type="dxa" w:w="4533"/>
          </w:tcPr>
          <w:p>
            <w:r>
              <w:rPr>
                <w:sz w:val="18"/>
              </w:rPr>
              <w:t>Credentials RabbitMQ</w:t>
            </w:r>
          </w:p>
        </w:tc>
      </w:tr>
      <w:tr>
        <w:tc>
          <w:tcPr>
            <w:tcW w:type="dxa" w:w="4533"/>
          </w:tcPr>
          <w:p>
            <w:r>
              <w:rPr>
                <w:sz w:val="18"/>
              </w:rPr>
              <w:t>MAIL_HOST / PORT / USERNAME / PASSWORD</w:t>
            </w:r>
          </w:p>
        </w:tc>
        <w:tc>
          <w:tcPr>
            <w:tcW w:type="dxa" w:w="4533"/>
          </w:tcPr>
          <w:p>
            <w:r>
              <w:rPr>
                <w:sz w:val="18"/>
              </w:rPr>
              <w:t>Serveur SMTP pour emails</w:t>
            </w:r>
          </w:p>
        </w:tc>
      </w:tr>
      <w:tr>
        <w:tc>
          <w:tcPr>
            <w:tcW w:type="dxa" w:w="4533"/>
          </w:tcPr>
          <w:p>
            <w:r>
              <w:rPr>
                <w:sz w:val="18"/>
              </w:rPr>
              <w:t>CAMPAY_USERNAME / PASSWORD</w:t>
            </w:r>
          </w:p>
        </w:tc>
        <w:tc>
          <w:tcPr>
            <w:tcW w:type="dxa" w:w="4533"/>
          </w:tcPr>
          <w:p>
            <w:r>
              <w:rPr>
                <w:sz w:val="18"/>
              </w:rPr>
              <w:t>Credentials API CamPay (Mobile Money)</w:t>
            </w:r>
          </w:p>
        </w:tc>
      </w:tr>
      <w:tr>
        <w:tc>
          <w:tcPr>
            <w:tcW w:type="dxa" w:w="4533"/>
          </w:tcPr>
          <w:p>
            <w:r>
              <w:rPr>
                <w:sz w:val="18"/>
              </w:rPr>
              <w:t>TWILIO_ACCOUNT_SID / AUTH_TOKEN</w:t>
            </w:r>
          </w:p>
        </w:tc>
        <w:tc>
          <w:tcPr>
            <w:tcW w:type="dxa" w:w="4533"/>
          </w:tcPr>
          <w:p>
            <w:r>
              <w:rPr>
                <w:sz w:val="18"/>
              </w:rPr>
              <w:t>Credentials Twilio pour SMS</w:t>
            </w:r>
          </w:p>
        </w:tc>
      </w:tr>
      <w:tr>
        <w:tc>
          <w:tcPr>
            <w:tcW w:type="dxa" w:w="4533"/>
          </w:tcPr>
          <w:p>
            <w:r>
              <w:rPr>
                <w:sz w:val="18"/>
              </w:rPr>
              <w:t>GOOGLE_DRIVE_ROOT_FOLDER_ID</w:t>
            </w:r>
          </w:p>
        </w:tc>
        <w:tc>
          <w:tcPr>
            <w:tcW w:type="dxa" w:w="4533"/>
          </w:tcPr>
          <w:p>
            <w:r>
              <w:rPr>
                <w:sz w:val="18"/>
              </w:rPr>
              <w:t>Dossier Google Drive pour KYC documents</w:t>
            </w:r>
          </w:p>
        </w:tc>
      </w:tr>
      <w:tr>
        <w:tc>
          <w:tcPr>
            <w:tcW w:type="dxa" w:w="4533"/>
          </w:tcPr>
          <w:p>
            <w:r>
              <w:rPr>
                <w:sz w:val="18"/>
              </w:rPr>
              <w:t>ADMIN_EMAIL / ADMIN_PASSWORD</w:t>
            </w:r>
          </w:p>
        </w:tc>
        <w:tc>
          <w:tcPr>
            <w:tcW w:type="dxa" w:w="4533"/>
          </w:tcPr>
          <w:p>
            <w:r>
              <w:rPr>
                <w:sz w:val="18"/>
              </w:rPr>
              <w:t>Compte admin créé au démarrage</w:t>
            </w:r>
          </w:p>
        </w:tc>
      </w:tr>
    </w:tbl>
    <w:p/>
    <w:p>
      <w:pPr>
        <w:pStyle w:val="Heading2"/>
        <w:spacing w:before="240" w:after="120"/>
      </w:pPr>
      <w:r>
        <w:rPr>
          <w:color w:val="064E3B"/>
        </w:rPr>
        <w:t>11.2 Ordre de Démarrage</w:t>
      </w:r>
    </w:p>
    <w:p>
      <w:pPr>
        <w:spacing w:after="120"/>
      </w:pPr>
      <w:r>
        <w:rPr>
          <w:b w:val="0"/>
          <w:sz w:val="22"/>
        </w:rPr>
        <w:t>Les services respectent un ordre de démarrage via les conditions healthcheck de Docker Compose :</w:t>
      </w:r>
    </w:p>
    <w:p>
      <w:pPr>
        <w:pStyle w:val="ListBullet"/>
        <w:spacing w:after="60"/>
      </w:pPr>
      <w:r>
        <w:rPr>
          <w:sz w:val="21"/>
        </w:rPr>
        <w:t>1. Infrastructure : postgres, rabbitmq, redis</w:t>
      </w:r>
    </w:p>
    <w:p>
      <w:pPr>
        <w:pStyle w:val="ListBullet"/>
        <w:spacing w:after="60"/>
      </w:pPr>
      <w:r>
        <w:rPr>
          <w:sz w:val="21"/>
        </w:rPr>
        <w:t>2. Spring Cloud Core : config-service → registry-service</w:t>
      </w:r>
    </w:p>
    <w:p>
      <w:pPr>
        <w:pStyle w:val="ListBullet"/>
        <w:spacing w:after="60"/>
      </w:pPr>
      <w:r>
        <w:rPr>
          <w:sz w:val="21"/>
        </w:rPr>
        <w:t>3. API Gateway</w:t>
      </w:r>
    </w:p>
    <w:p>
      <w:pPr>
        <w:pStyle w:val="ListBullet"/>
        <w:spacing w:after="60"/>
      </w:pPr>
      <w:r>
        <w:rPr>
          <w:sz w:val="21"/>
        </w:rPr>
        <w:t>4. Services métier (parallèle) : auth, client, account, agency, loan, repayment, reporting, configuration, transaction, notification</w:t>
      </w:r>
    </w:p>
    <w:p>
      <w:pPr>
        <w:pStyle w:val="ListBullet"/>
        <w:spacing w:after="60"/>
      </w:pPr>
      <w:r>
        <w:rPr>
          <w:sz w:val="21"/>
        </w:rPr>
        <w:t>5. Frontend : app-frontend</w:t>
      </w:r>
    </w:p>
    <w:p>
      <w:r>
        <w:br w:type="page"/>
      </w:r>
    </w:p>
    <w:p>
      <w:pPr>
        <w:pStyle w:val="Heading1"/>
        <w:spacing w:before="240" w:after="120"/>
      </w:pPr>
      <w:r>
        <w:rPr>
          <w:color w:val="064E3B"/>
        </w:rPr>
        <w:t>12. Conclusion et Perspectives</w:t>
      </w:r>
    </w:p>
    <w:p>
      <w:pPr>
        <w:spacing w:after="120"/>
      </w:pPr>
      <w:r>
        <w:rPr>
          <w:b w:val="0"/>
          <w:sz w:val="22"/>
        </w:rPr>
        <w:t>MicrofinanceHub démontre la faisabilité de la construction d'une application financière complète selon les principes des architectures microservices modernes. Le projet intègre les meilleures pratiques du développement logiciel contemporain : séparation des responsabilités, communication asynchrone, sécurité par défaut, et déploiement conteneurisé.</w:t>
      </w:r>
    </w:p>
    <w:p>
      <w:pPr>
        <w:pStyle w:val="Heading2"/>
        <w:spacing w:before="240" w:after="120"/>
      </w:pPr>
      <w:r>
        <w:rPr>
          <w:color w:val="064E3B"/>
        </w:rPr>
        <w:t>Points Forts</w:t>
      </w:r>
    </w:p>
    <w:p>
      <w:pPr>
        <w:pStyle w:val="ListBullet"/>
        <w:spacing w:after="60"/>
      </w:pPr>
      <w:r>
        <w:rPr>
          <w:sz w:val="21"/>
        </w:rPr>
        <w:t>Architecture scalable : chaque service peut être mis à l'échelle indépendamment</w:t>
      </w:r>
    </w:p>
    <w:p>
      <w:pPr>
        <w:pStyle w:val="ListBullet"/>
        <w:spacing w:after="60"/>
      </w:pPr>
      <w:r>
        <w:rPr>
          <w:sz w:val="21"/>
        </w:rPr>
        <w:t>Sécurité multicouche : JWT RBAC + BCrypt + Redis sessions + Rate Limiting</w:t>
      </w:r>
    </w:p>
    <w:p>
      <w:pPr>
        <w:pStyle w:val="ListBullet"/>
        <w:spacing w:after="60"/>
      </w:pPr>
      <w:r>
        <w:rPr>
          <w:sz w:val="21"/>
        </w:rPr>
        <w:t>Résilience : communication asynchrone RabbitMQ, gestion des erreurs Feign</w:t>
      </w:r>
    </w:p>
    <w:p>
      <w:pPr>
        <w:pStyle w:val="ListBullet"/>
        <w:spacing w:after="60"/>
      </w:pPr>
      <w:r>
        <w:rPr>
          <w:sz w:val="21"/>
        </w:rPr>
        <w:t>Expérience utilisateur : interfaces adaptées à chaque rôle, actions contextuelles</w:t>
      </w:r>
    </w:p>
    <w:p>
      <w:pPr>
        <w:pStyle w:val="ListBullet"/>
        <w:spacing w:after="60"/>
      </w:pPr>
      <w:r>
        <w:rPr>
          <w:sz w:val="21"/>
        </w:rPr>
        <w:t>Intégration tiers : CamPay (Mobile Money), Twilio (SMS), Google Drive (KYC)</w:t>
      </w:r>
    </w:p>
    <w:p>
      <w:pPr>
        <w:pStyle w:val="ListBullet"/>
        <w:spacing w:after="60"/>
      </w:pPr>
      <w:r>
        <w:rPr>
          <w:sz w:val="21"/>
        </w:rPr>
        <w:t>Observabilité : logs structurés, Spring Actuator health checks</w:t>
      </w:r>
    </w:p>
    <w:p>
      <w:pPr>
        <w:pStyle w:val="ListBullet"/>
        <w:spacing w:after="60"/>
      </w:pPr>
      <w:r>
        <w:rPr>
          <w:sz w:val="21"/>
        </w:rPr>
        <w:t>Portabilité : déploiement complet en une commande Docker Compose</w:t>
      </w:r>
    </w:p>
    <w:p>
      <w:pPr>
        <w:pStyle w:val="Heading2"/>
        <w:spacing w:before="240" w:after="120"/>
      </w:pPr>
      <w:r>
        <w:rPr>
          <w:color w:val="064E3B"/>
        </w:rPr>
        <w:t>Perspectives d'Évolution</w:t>
      </w:r>
    </w:p>
    <w:p>
      <w:pPr>
        <w:pStyle w:val="ListBullet"/>
        <w:spacing w:after="60"/>
      </w:pPr>
      <w:r>
        <w:rPr>
          <w:sz w:val="21"/>
        </w:rPr>
        <w:t>Migration vers Kubernetes pour l'orchestration en production</w:t>
      </w:r>
    </w:p>
    <w:p>
      <w:pPr>
        <w:pStyle w:val="ListBullet"/>
        <w:spacing w:after="60"/>
      </w:pPr>
      <w:r>
        <w:rPr>
          <w:sz w:val="21"/>
        </w:rPr>
        <w:t>Centralisation des logs avec ELK Stack (Elasticsearch, Logstash, Kibana)</w:t>
      </w:r>
    </w:p>
    <w:p>
      <w:pPr>
        <w:pStyle w:val="ListBullet"/>
        <w:spacing w:after="60"/>
      </w:pPr>
      <w:r>
        <w:rPr>
          <w:sz w:val="21"/>
        </w:rPr>
        <w:t>Mise en place de Keycloak pour la gestion centralisée des identités (SSO)</w:t>
      </w:r>
    </w:p>
    <w:p>
      <w:pPr>
        <w:pStyle w:val="ListBullet"/>
        <w:spacing w:after="60"/>
      </w:pPr>
      <w:r>
        <w:rPr>
          <w:sz w:val="21"/>
        </w:rPr>
        <w:t>Circuit Breaker (Resilience4j) pour la tolérance aux pannes entre services</w:t>
      </w:r>
    </w:p>
    <w:p>
      <w:pPr>
        <w:pStyle w:val="ListBullet"/>
        <w:spacing w:after="60"/>
      </w:pPr>
      <w:r>
        <w:rPr>
          <w:sz w:val="21"/>
        </w:rPr>
        <w:t>Application mobile native (React Native / Flutter)</w:t>
      </w:r>
    </w:p>
    <w:p>
      <w:pPr>
        <w:pStyle w:val="ListBullet"/>
        <w:spacing w:after="60"/>
      </w:pPr>
      <w:r>
        <w:rPr>
          <w:sz w:val="21"/>
        </w:rPr>
        <w:t>Intelligence artificielle pour la notation de crédit (ML credit scoring)</w:t>
      </w:r>
    </w:p>
    <w:p>
      <w:pPr>
        <w:pStyle w:val="ListBullet"/>
        <w:spacing w:after="60"/>
      </w:pPr>
      <w:r>
        <w:rPr>
          <w:sz w:val="21"/>
        </w:rPr>
        <w:t>Audit trail complet et conformité réglementaire</w:t>
      </w:r>
    </w:p>
    <w:p>
      <w:pPr>
        <w:pStyle w:val="ListBullet"/>
        <w:spacing w:after="60"/>
      </w:pPr>
      <w:r>
        <w:rPr>
          <w:sz w:val="21"/>
        </w:rPr>
        <w:t>API publique documentée (OpenAPI 3.0) pour partenaires tiers</w:t>
      </w:r>
    </w:p>
    <w:p/>
    <w:p/>
    <w:p>
      <w:pPr>
        <w:jc w:val="center"/>
      </w:pPr>
      <w:r>
        <w:rPr>
          <w:i/>
          <w:color w:val="064E3B"/>
          <w:sz w:val="20"/>
        </w:rPr>
        <w:t>— MicrofinanceHub — Rapport de Présentation —</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