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60"/>
      </w:pPr>
      <w:r>
        <w:rPr>
          <w:rFonts w:ascii="Arial" w:cs="Arial" w:eastAsia="Arial" w:hAnsi="Arial"/>
          <w:b/>
          <w:bCs/>
          <w:color w:val="1A3C6E"/>
          <w:sz w:val="26"/>
          <w:szCs w:val="26"/>
        </w:rPr>
        <w:t xml:space="preserve">Task 1.4 — Strategic Competitive Landscape Synthesis</w:t>
      </w:r>
    </w:p>
    <w:p>
      <w:pPr>
        <w:spacing w:after="10"/>
      </w:pPr>
      <w:r>
        <w:rPr>
          <w:rFonts w:ascii="Arial" w:cs="Arial" w:eastAsia="Arial" w:hAnsi="Arial"/>
          <w:i/>
          <w:iCs/>
          <w:color w:val="666666"/>
          <w:sz w:val="16"/>
          <w:szCs w:val="16"/>
        </w:rPr>
        <w:t xml:space="preserve">German SME Banking for Sole Proprietors &amp; Microbusinesses (1–3 Employees)  ·  Staff PMM Germany  ·  May 2026</w:t>
      </w:r>
    </w:p>
    <w:p>
      <w:pPr>
        <w:pBdr>
          <w:bottom w:val="single" w:color="2E75B6" w:sz="3" w:space="1"/>
        </w:pBdr>
        <w:spacing w:after="30" w:before="30"/>
      </w:pPr>
    </w:p>
    <w:p>
      <w:pPr>
        <w:pStyle w:val="Heading1"/>
        <w:spacing w:after="40" w:before="140"/>
      </w:pPr>
      <w:r>
        <w:rPr>
          <w:rFonts w:ascii="Arial" w:cs="Arial" w:eastAsia="Arial" w:hAnsi="Arial"/>
          <w:b/>
          <w:bCs/>
          <w:color w:val="1A3C6E"/>
          <w:sz w:val="24"/>
          <w:szCs w:val="24"/>
        </w:rPr>
        <w:t xml:space="preserve">1. Market Size, Growth Expectations, Key Drivers and Trends</w:t>
      </w:r>
    </w:p>
    <w:p>
      <w:pPr>
        <w:spacing w:after="10" w:before="40"/>
      </w:pPr>
      <w:r>
        <w:rPr>
          <w:rFonts w:ascii="Arial" w:cs="Arial" w:eastAsia="Arial" w:hAnsi="Arial"/>
          <w:b/>
          <w:bCs/>
          <w:i w:val="false"/>
          <w:iCs w:val="false"/>
          <w:color w:val="333333"/>
          <w:sz w:val="18"/>
          <w:szCs w:val="18"/>
        </w:rPr>
        <w:t xml:space="preserve">Market size and unit economics.</w:t>
      </w:r>
    </w:p>
    <w:p>
      <w:pPr>
        <w:spacing w:after="40" w:before="40"/>
      </w:pPr>
      <w:r>
        <w:rPr>
          <w:rFonts w:ascii="Arial" w:cs="Arial" w:eastAsia="Arial" w:hAnsi="Arial"/>
          <w:b w:val="false"/>
          <w:bCs w:val="false"/>
          <w:i w:val="false"/>
          <w:iCs w:val="false"/>
          <w:color w:val="333333"/>
          <w:sz w:val="18"/>
          <w:szCs w:val="18"/>
        </w:rPr>
        <w:t xml:space="preserve">The primary addressable market is Germany’s 2.63 million microenterprises (sub-€2M turnover or ≤9 employees, including solo self-employed). The strategic focus — businesses with 1–3 employees — turns over approximately €89K–€266K per year based on average revenue per employee of ~€88,700 (Destatis). A conservative revenue-per-account estimate for a neobank or fintech provider — blending subscription fees (€0–€30/month), transaction fees, card interchange, and FX — places the weighted average at approximately €150–€350/year per account, yielding a direct Geschäftskonto TAM of roughly €400M–€920M/year. When adjacent revenue pools are included — accounting software subscriptions (€100–€400/year), partial Steuerberater displacement (€1,800–€2,500/year addressable spend), embedded lending margins, and card acquiring — the total addressable wallet per microenterprise expands to an estimated €800–€2,000/year, implying a full-stack TAM in the range of €2.1B–€5.3B/year.</w:t>
      </w:r>
    </w:p>
    <w:p>
      <w:pPr>
        <w:spacing w:after="10" w:before="40"/>
      </w:pPr>
      <w:r>
        <w:rPr>
          <w:rFonts w:ascii="Arial" w:cs="Arial" w:eastAsia="Arial" w:hAnsi="Arial"/>
          <w:b/>
          <w:bCs/>
          <w:i w:val="false"/>
          <w:iCs w:val="false"/>
          <w:color w:val="333333"/>
          <w:sz w:val="18"/>
          <w:szCs w:val="18"/>
        </w:rPr>
        <w:t xml:space="preserve">Supply-side proliferation.</w:t>
      </w:r>
    </w:p>
    <w:p>
      <w:pPr>
        <w:spacing w:after="40" w:before="40"/>
      </w:pPr>
      <w:r>
        <w:rPr>
          <w:rFonts w:ascii="Arial" w:cs="Arial" w:eastAsia="Arial" w:hAnsi="Arial"/>
          <w:b w:val="false"/>
          <w:bCs w:val="false"/>
          <w:i w:val="false"/>
          <w:iCs w:val="false"/>
          <w:color w:val="333333"/>
          <w:sz w:val="18"/>
          <w:szCs w:val="18"/>
        </w:rPr>
        <w:t xml:space="preserve">The number of non-incumbent providers offering a Geschäftskonto to German sole proprietors has grown from effectively zero in 2013 (N26’s founding year) to over 15 credible options today — including Finom, Kontist, Holvi, Vivid, Revolut, Accountable, SumUp, and Lexware Office, each entering the market between 2016 and 2025. Simultaneously, incumbents have responded by launching digital sub-brands targeting the same segment: Deutsche Bank created FYRST, and ING entered business banking with a fully digital Geschäftskonto in late 2024. The competitive supply of dedicated business accounts for this segment is expanding rapidly, signaling broad market conviction that the microenterprise wallet is under-monetized and up for grabs.</w:t>
      </w:r>
    </w:p>
    <w:p>
      <w:pPr>
        <w:spacing w:after="10" w:before="40"/>
      </w:pPr>
      <w:r>
        <w:rPr>
          <w:rFonts w:ascii="Arial" w:cs="Arial" w:eastAsia="Arial" w:hAnsi="Arial"/>
          <w:b/>
          <w:bCs/>
          <w:i w:val="false"/>
          <w:iCs w:val="false"/>
          <w:color w:val="333333"/>
          <w:sz w:val="18"/>
          <w:szCs w:val="18"/>
        </w:rPr>
        <w:t xml:space="preserve">What’s forcing the market to move right now.</w:t>
      </w:r>
    </w:p>
    <w:p>
      <w:pPr>
        <w:spacing w:after="40" w:before="40"/>
      </w:pPr>
      <w:r>
        <w:rPr>
          <w:rFonts w:ascii="Arial" w:cs="Arial" w:eastAsia="Arial" w:hAnsi="Arial"/>
          <w:b w:val="false"/>
          <w:bCs w:val="false"/>
          <w:i w:val="false"/>
          <w:iCs w:val="false"/>
          <w:color w:val="333333"/>
          <w:sz w:val="18"/>
          <w:szCs w:val="18"/>
        </w:rPr>
        <w:t xml:space="preserve">Five structural forces are reshaping the German microenterprise banking landscape. First, the e-invoicing mandate (January 2025) requires all B2B transactions in ZUGFeRD/XRechnung format, triggering active platform re-evaluation by sole proprietors who previously never questioned their banking setup. Second, AI-powered accounting tools from Finom, Vivid, and Norman are making Steuerberater-free tax filing viable for routine Freiberufler obligations, threatening to redirect the €1,800–€2,500/year currently spent on bookkeeping and compliance. Third, the customer base is undergoing a generational rotation: 57% of existing Mittelstand owners are over 55 and roughly 114,000 firms per year plan to close without a successor (KfW Nachfolge-Monitoring), while 585,000 new businesses were founded in 2024 — at a record-low average age of 34.4, with 39% aged 18–29 and 36% classified as digital businesses (KfW Gründungsmonitor 2025). The outgoing cohort is traditional, cash-heavy, and Sparkasse-loyal; the incoming cohort expects mobile-first banking with integrated invoicing. Fourth, the incumbent infrastructure is contracting in parallel: the combined number of Sparkassen and Volksbanken fell below 1,000 for the first time in 2025 (987 institutions, down 34 in one year), branches are closing, and fee hikes are accelerating — driven by post-pandemic cost pressure and ECB rate normalization. The banks that historically served this segment are simultaneously becoming fewer, more expensive, and harder to reach. Fifth, falling ECB rates (down to 2.0%) are compressing the deposit-interest income that neobanks relied on for profitability, forcing a strategic pivot toward lending, workflow integration, and fee-based revenue — or margin erosion.</w:t>
      </w:r>
    </w:p>
    <w:p>
      <w:pPr>
        <w:pBdr>
          <w:bottom w:val="single" w:color="2E75B6" w:sz="3" w:space="1"/>
        </w:pBdr>
        <w:spacing w:after="30" w:before="30"/>
      </w:pPr>
    </w:p>
    <w:p>
      <w:pPr>
        <w:pStyle w:val="Heading1"/>
        <w:spacing w:after="40" w:before="140"/>
      </w:pPr>
      <w:r>
        <w:rPr>
          <w:rFonts w:ascii="Arial" w:cs="Arial" w:eastAsia="Arial" w:hAnsi="Arial"/>
          <w:b/>
          <w:bCs/>
          <w:color w:val="1A3C6E"/>
          <w:sz w:val="24"/>
          <w:szCs w:val="24"/>
        </w:rPr>
        <w:t xml:space="preserve">2. Customer Intelligence: Who They Are, How They Bank, and What Makes Germany Different</w:t>
      </w:r>
    </w:p>
    <w:p>
      <w:pPr>
        <w:spacing w:after="10" w:before="40"/>
      </w:pPr>
      <w:r>
        <w:rPr>
          <w:rFonts w:ascii="Arial" w:cs="Arial" w:eastAsia="Arial" w:hAnsi="Arial"/>
          <w:b/>
          <w:bCs/>
          <w:i w:val="false"/>
          <w:iCs w:val="false"/>
          <w:color w:val="333333"/>
          <w:sz w:val="18"/>
          <w:szCs w:val="18"/>
        </w:rPr>
        <w:t xml:space="preserve">Who they are.</w:t>
      </w:r>
    </w:p>
    <w:p>
      <w:pPr>
        <w:spacing w:after="40" w:before="40"/>
      </w:pPr>
      <w:r>
        <w:rPr>
          <w:rFonts w:ascii="Arial" w:cs="Arial" w:eastAsia="Arial" w:hAnsi="Arial"/>
          <w:b w:val="false"/>
          <w:bCs w:val="false"/>
          <w:i w:val="false"/>
          <w:iCs w:val="false"/>
          <w:color w:val="333333"/>
          <w:sz w:val="18"/>
          <w:szCs w:val="18"/>
        </w:rPr>
        <w:t xml:space="preserve">Germany’s 2.63 million microenterprises break into distinct sub-segments with very different banking needs. The largest concentrations are professional/scientific/technical services and wholesale/retail (each 16%, ~430K enterprises), followed by construction (12%, ~313K), administrative services (7%, ~191K), and accommodation/food service (7%, ~181K) — a mix that spans from digitally native consultants who never touch cash to cash-heavy tradespeople and restaurateurs who deposit daily. The persona most receptive to digital banking is well-documented: under-40, urban, services or IT-based. KfW Gründungsmonitor 2025 shows the average new founder is 34.4 years old, 36% start digital businesses, and Berlin, Hamburg, München, Köln, and Freiburg are the highest-intensity founding cities for Freiberufler (IfM Bonn, 2024 data). The Freelancer-Kompass 2025 (n=3,210) confirms this cohort explicitly names Finom, Kontist, Holvi, and FYRST as preferred banks. A second underserved persona is the roughly 773,000+ self-employed with migration background (Bertelsmann/Prognos 2021), who face language barriers, lack Steuerberater relationships, and are largely invisible to German-only platforms — Norman Finance’s seven-language interface is the only product specifically addressing them.</w:t>
      </w:r>
    </w:p>
    <w:p>
      <w:pPr>
        <w:spacing w:after="10" w:before="40"/>
      </w:pPr>
      <w:r>
        <w:rPr>
          <w:rFonts w:ascii="Arial" w:cs="Arial" w:eastAsia="Arial" w:hAnsi="Arial"/>
          <w:b/>
          <w:bCs/>
          <w:i w:val="false"/>
          <w:iCs w:val="false"/>
          <w:color w:val="333333"/>
          <w:sz w:val="18"/>
          <w:szCs w:val="18"/>
        </w:rPr>
        <w:t xml:space="preserve">How they actually experience banking.</w:t>
      </w:r>
    </w:p>
    <w:p>
      <w:pPr>
        <w:spacing w:after="40" w:before="40"/>
      </w:pPr>
      <w:r>
        <w:rPr>
          <w:rFonts w:ascii="Arial" w:cs="Arial" w:eastAsia="Arial" w:hAnsi="Arial"/>
          <w:b w:val="false"/>
          <w:bCs w:val="false"/>
          <w:i w:val="false"/>
          <w:iCs w:val="false"/>
          <w:color w:val="333333"/>
          <w:sz w:val="18"/>
          <w:szCs w:val="18"/>
        </w:rPr>
        <w:t xml:space="preserve">The defining feature of this segment is inertia held together by a single relationship: the Steuerberater. 93% of German SMEs have a Hausbank with an average relationship duration of 20 years, and 56% of Kleinstunternehmen bank with a single institution (KfW Fokus Nr. 243, 2019). But loyalty is passive, not earned — NPS scores run at −23 for Großbanken and −17 for Sparkassen/Volksbanken, versus +29 to +48 for neobanks (Bain NPS Prism 2023). What holds sole proprietors in place is not satisfaction but the Steuerberater workflow: 89,995 Steuerberater operate in Germany, two-thirds in Einzelpraxen, and over 75% of their clients still exchange paper Pendelordner (BStBK STAX 2018). If the Steuerberater’s tools don’t connect to your bank, switching is not a banking decision — it is a tax-compliance risk. Meanwhile, the daily experience is burdensome: solo self-employed spend 8.7% of working time on bureaucracy — the highest of any size class — equivalent to 11 hours/month (KfW Mittelstandspanel 2024/25 via VGSD), with 52% naming Steuererklärungen and 42% Buchhaltung as the worst burden (Freelancer-Kompass 2026).</w:t>
      </w:r>
    </w:p>
    <w:p>
      <w:pPr>
        <w:spacing w:after="10" w:before="40"/>
      </w:pPr>
      <w:r>
        <w:rPr>
          <w:rFonts w:ascii="Arial" w:cs="Arial" w:eastAsia="Arial" w:hAnsi="Arial"/>
          <w:b/>
          <w:bCs/>
          <w:i w:val="false"/>
          <w:iCs w:val="false"/>
          <w:color w:val="333333"/>
          <w:sz w:val="18"/>
          <w:szCs w:val="18"/>
        </w:rPr>
        <w:t xml:space="preserve">What makes Germany structurally different.</w:t>
      </w:r>
    </w:p>
    <w:p>
      <w:pPr>
        <w:spacing w:after="40" w:before="40"/>
      </w:pPr>
      <w:r>
        <w:rPr>
          <w:rFonts w:ascii="Arial" w:cs="Arial" w:eastAsia="Arial" w:hAnsi="Arial"/>
          <w:b w:val="false"/>
          <w:bCs w:val="false"/>
          <w:i w:val="false"/>
          <w:iCs w:val="false"/>
          <w:color w:val="333333"/>
          <w:sz w:val="18"/>
          <w:szCs w:val="18"/>
        </w:rPr>
        <w:t xml:space="preserve">Three measurable peculiarities distinguish this market. First, cash: Germans use cash for 53% of point-of-sale transactions versus 43% in France, 22% in the Netherlands, and 12% in the UK (ECB SPACE 2024, UK Finance 2024) — meaning any business account that cannot handle cash deposits excludes trades, gastronomy, and micro-retail outright. Second, credit card aversion: Germany has just 6.58 million credit cards versus 143 million debit cards (Statista/ECB 2024), with Dispokredit (overdraft at ~11.3% average APR nationally, with Sparkassen/Volksbanken averaging 11.6–11.7%) serving as the de facto short-term credit instrument — a uniquely German habit where 26% of the population uses Dispo (Smava/YouGov 2019). Third, data privacy as a reflexive instinct: open banking penetration sits at roughly 2% of digital consumers versus 9.2% in the UK (PwC via OBL 2024), and 70% of German firms have cancelled innovation projects over data-protection concerns (Bitkom 2025). A foreign fintech entering Germany must understand that sharing financial data — even with your own accounting tool — feels transgressive in a way it simply does not in London or Amsterdam.</w:t>
      </w:r>
    </w:p>
    <w:p>
      <w:pPr>
        <w:pStyle w:val="Heading2"/>
        <w:spacing w:after="40" w:before="100"/>
      </w:pPr>
      <w:r>
        <w:rPr>
          <w:rFonts w:ascii="Arial" w:cs="Arial" w:eastAsia="Arial" w:hAnsi="Arial"/>
          <w:b/>
          <w:bCs/>
          <w:color w:val="1A3C6E"/>
          <w:sz w:val="20"/>
          <w:szCs w:val="20"/>
        </w:rPr>
        <w:t xml:space="preserve">2.2 Customer Personas</w:t>
      </w:r>
    </w:p>
    <w:p>
      <w:pPr>
        <w:spacing w:after="10" w:before="40"/>
      </w:pPr>
      <w:r>
        <w:rPr>
          <w:rFonts w:ascii="Arial" w:cs="Arial" w:eastAsia="Arial" w:hAnsi="Arial"/>
          <w:b/>
          <w:bCs/>
          <w:i w:val="false"/>
          <w:iCs w:val="false"/>
          <w:color w:val="333333"/>
          <w:sz w:val="18"/>
          <w:szCs w:val="18"/>
        </w:rPr>
        <w:t xml:space="preserve">The Digital Freelancer.</w:t>
      </w:r>
    </w:p>
    <w:p>
      <w:pPr>
        <w:spacing w:after="40" w:before="40"/>
      </w:pPr>
      <w:r>
        <w:rPr>
          <w:rFonts w:ascii="Arial" w:cs="Arial" w:eastAsia="Arial" w:hAnsi="Arial"/>
          <w:b w:val="false"/>
          <w:bCs w:val="false"/>
          <w:i w:val="false"/>
          <w:iCs w:val="false"/>
          <w:color w:val="333333"/>
          <w:sz w:val="18"/>
          <w:szCs w:val="18"/>
        </w:rPr>
        <w:t xml:space="preserve">Age 34–47, 84% male, urban (Berlin, Hamburg, Munich). IT/software, consulting, engineering. €104/hr average, €8K/month net. Banks with Finom, Kontist, Holvi, FYRST. 77% use AI tools daily. 34.5% non-native German speakers. Pain points: 52% name tax returns as worst burden; quarterly VAT consumes a full day; 30–90 day payment terms create liquidity gaps with no neobank credit option; ~35% face language friction in German-only banking interfaces. Needs: revenue-based short-term credit, automated VAT categorization, English-language option. [1][2][3]</w:t>
      </w:r>
    </w:p>
    <w:p>
      <w:pPr>
        <w:spacing w:after="10" w:before="40"/>
      </w:pPr>
      <w:r>
        <w:rPr>
          <w:rFonts w:ascii="Arial" w:cs="Arial" w:eastAsia="Arial" w:hAnsi="Arial"/>
          <w:b/>
          <w:bCs/>
          <w:i w:val="false"/>
          <w:iCs w:val="false"/>
          <w:color w:val="333333"/>
          <w:sz w:val="18"/>
          <w:szCs w:val="18"/>
        </w:rPr>
        <w:t xml:space="preserve">The Established Tradesperson.</w:t>
      </w:r>
    </w:p>
    <w:p>
      <w:pPr>
        <w:spacing w:after="40" w:before="40"/>
      </w:pPr>
      <w:r>
        <w:rPr>
          <w:rFonts w:ascii="Arial" w:cs="Arial" w:eastAsia="Arial" w:hAnsi="Arial"/>
          <w:b w:val="false"/>
          <w:bCs w:val="false"/>
          <w:i w:val="false"/>
          <w:iCs w:val="false"/>
          <w:color w:val="333333"/>
          <w:sz w:val="18"/>
          <w:szCs w:val="18"/>
        </w:rPr>
        <w:t xml:space="preserve">Age 55+, predominantly male, construction/services/manufacturing. €89K–€177K turnover. Banks with Sparkasse/Volksbank — chosen for cash deposits and branch access. 68% use digital tools for scheduling and quoting but not for banking. Pain points: cash deposit logistics dominate — receiving cash, traveling to a branch, depositing, reconciling — and the branch network is contracting (below 1,000 institutions in 2025); Dispo overdraft at 11.6% avg. APR used as working capital line; cannot leave incumbent without losing both cash and credit access. Needs: cash deposit access from a digital provider, affordable short-term credit. [3][5][6][8][9][10]</w:t>
      </w:r>
    </w:p>
    <w:p>
      <w:pPr>
        <w:spacing w:after="10" w:before="40"/>
      </w:pPr>
      <w:r>
        <w:rPr>
          <w:rFonts w:ascii="Arial" w:cs="Arial" w:eastAsia="Arial" w:hAnsi="Arial"/>
          <w:b/>
          <w:bCs/>
          <w:i w:val="false"/>
          <w:iCs w:val="false"/>
          <w:color w:val="333333"/>
          <w:sz w:val="18"/>
          <w:szCs w:val="18"/>
        </w:rPr>
        <w:t xml:space="preserve">The Migration-Background Founder.</w:t>
      </w:r>
    </w:p>
    <w:p>
      <w:pPr>
        <w:spacing w:after="40" w:before="40"/>
      </w:pPr>
      <w:r>
        <w:rPr>
          <w:rFonts w:ascii="Arial" w:cs="Arial" w:eastAsia="Arial" w:hAnsi="Arial"/>
          <w:b w:val="false"/>
          <w:bCs w:val="false"/>
          <w:i w:val="false"/>
          <w:iCs w:val="false"/>
          <w:color w:val="333333"/>
          <w:sz w:val="18"/>
          <w:szCs w:val="18"/>
        </w:rPr>
        <w:t xml:space="preserve">~773K+ self-employed, founding rate 2x native-born. Turkish, Ukrainian, Syrian, Romanian, Polish nationalities. Over-represented in gastronomy, retail, cleaning, personal services — all cash-intensive. Pain points: triple exclusion — excluded from digital banking by cash needs, excluded from credit by absent credit score history (“no history is treated nearly as negatively as a poor one”), excluded from support by language (only 2 of 18 providers offer meaningful non-German interfaces). Needs: multilingual onboarding, transaction-based credit assessment, cash deposit access. [3][13][14][15][16]</w:t>
      </w:r>
    </w:p>
    <w:p>
      <w:pPr>
        <w:spacing w:after="40" w:before="60"/>
      </w:pPr>
      <w:r>
        <w:rPr>
          <w:rFonts w:ascii="Arial" w:cs="Arial" w:eastAsia="Arial" w:hAnsi="Arial"/>
          <w:b/>
          <w:bCs/>
          <w:i w:val="false"/>
          <w:iCs w:val="false"/>
          <w:color w:val="333333"/>
          <w:sz w:val="18"/>
          <w:szCs w:val="18"/>
        </w:rPr>
        <w:t xml:space="preserve">All three personas — despite different demographics and digital maturity — converge on the same two structural barriers: cash deposit access and short-term credit. These are not feature requests for specific segments; they are horizontal blockers that determine which provider a sole proprietor can use.</w:t>
      </w:r>
    </w:p>
    <w:p>
      <w:pPr>
        <w:pBdr>
          <w:bottom w:val="single" w:color="2E75B6" w:sz="3" w:space="1"/>
        </w:pBdr>
        <w:spacing w:after="30" w:before="30"/>
      </w:pPr>
    </w:p>
    <w:p>
      <w:pPr>
        <w:pStyle w:val="Heading1"/>
        <w:spacing w:after="40" w:before="140"/>
      </w:pPr>
      <w:r>
        <w:rPr>
          <w:rFonts w:ascii="Arial" w:cs="Arial" w:eastAsia="Arial" w:hAnsi="Arial"/>
          <w:b/>
          <w:bCs/>
          <w:color w:val="1A3C6E"/>
          <w:sz w:val="24"/>
          <w:szCs w:val="24"/>
        </w:rPr>
        <w:t xml:space="preserve">3. Competitive Landscape</w:t>
      </w:r>
    </w:p>
    <w:p>
      <w:pPr>
        <w:pStyle w:val="Heading2"/>
        <w:spacing w:after="40" w:before="100"/>
      </w:pPr>
      <w:r>
        <w:rPr>
          <w:rFonts w:ascii="Arial" w:cs="Arial" w:eastAsia="Arial" w:hAnsi="Arial"/>
          <w:b/>
          <w:bCs/>
          <w:color w:val="1A3C6E"/>
          <w:sz w:val="20"/>
          <w:szCs w:val="20"/>
        </w:rPr>
        <w:t xml:space="preserve">3.1 Value Propositions, Competitive Advantages, and Inter-Tier Dynamics</w:t>
      </w:r>
    </w:p>
    <w:p>
      <w:pPr>
        <w:spacing w:after="40" w:before="40"/>
      </w:pPr>
      <w:r>
        <w:rPr>
          <w:rFonts w:ascii="Arial" w:cs="Arial" w:eastAsia="Arial" w:hAnsi="Arial"/>
          <w:b w:val="false"/>
          <w:bCs w:val="false"/>
          <w:i w:val="false"/>
          <w:iCs w:val="false"/>
          <w:color w:val="333333"/>
          <w:sz w:val="18"/>
          <w:szCs w:val="18"/>
        </w:rPr>
        <w:t xml:space="preserve">The German microenterprise banking market operates across three tiers. No single tier currently delivers the full stack. Detailed player-by-player analysis is documented in companion files: Task 1.1 (Incumbents, 5 players), Task 1.2 (Neobanks, 6 players), and Task 1.3 (Specialized Fintechs, 7 players).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2702"/>
        <w:gridCol w:w="2702"/>
        <w:gridCol w:w="2702"/>
      </w:tblGrid>
      <w:tr>
        <w:tc>
          <w:tcPr>
            <w:tcW w:type="dxa" w:w="1800"/>
            <w:tcBorders>
              <w:top w:val="single" w:color="CCCCCC" w:sz="1"/>
              <w:left w:val="single" w:color="CCCCCC" w:sz="1"/>
              <w:bottom w:val="single" w:color="CCCCCC" w:sz="1"/>
              <w:right w:val="single" w:color="CCCCCC" w:sz="1"/>
            </w:tcBorders>
            <w:shd w:fill="1A3C6E" w:val="clear"/>
            <w:tcMar>
              <w:top w:type="dxa" w:w="40"/>
              <w:left w:type="dxa" w:w="80"/>
              <w:bottom w:type="dxa" w:w="40"/>
              <w:right w:type="dxa" w:w="80"/>
            </w:tcMar>
            <w:vAlign w:val="center"/>
          </w:tcPr>
          <w:p>
            <w:pPr>
              <w:spacing w:after="0" w:before="0"/>
            </w:pPr>
            <w:r>
              <w:rPr>
                <w:rFonts w:ascii="Arial" w:cs="Arial" w:eastAsia="Arial" w:hAnsi="Arial"/>
                <w:b/>
                <w:bCs/>
                <w:color w:val="FFFFFF"/>
                <w:sz w:val="16"/>
                <w:szCs w:val="16"/>
              </w:rPr>
              <w:t xml:space="preserve"/>
            </w:r>
          </w:p>
        </w:tc>
        <w:tc>
          <w:tcPr>
            <w:tcW w:type="dxa" w:w="2702"/>
            <w:tcBorders>
              <w:top w:val="single" w:color="CCCCCC" w:sz="1"/>
              <w:left w:val="single" w:color="CCCCCC" w:sz="1"/>
              <w:bottom w:val="single" w:color="CCCCCC" w:sz="1"/>
              <w:right w:val="single" w:color="CCCCCC" w:sz="1"/>
            </w:tcBorders>
            <w:shd w:fill="1A3C6E" w:val="clear"/>
            <w:tcMar>
              <w:top w:type="dxa" w:w="40"/>
              <w:left w:type="dxa" w:w="80"/>
              <w:bottom w:type="dxa" w:w="40"/>
              <w:right w:type="dxa" w:w="80"/>
            </w:tcMar>
            <w:vAlign w:val="center"/>
          </w:tcPr>
          <w:p>
            <w:pPr>
              <w:spacing w:after="0" w:before="0"/>
            </w:pPr>
            <w:r>
              <w:rPr>
                <w:rFonts w:ascii="Arial" w:cs="Arial" w:eastAsia="Arial" w:hAnsi="Arial"/>
                <w:b/>
                <w:bCs/>
                <w:color w:val="FFFFFF"/>
                <w:sz w:val="16"/>
                <w:szCs w:val="16"/>
              </w:rPr>
              <w:t xml:space="preserve">Incumbents</w:t>
            </w:r>
          </w:p>
        </w:tc>
        <w:tc>
          <w:tcPr>
            <w:tcW w:type="dxa" w:w="2702"/>
            <w:tcBorders>
              <w:top w:val="single" w:color="CCCCCC" w:sz="1"/>
              <w:left w:val="single" w:color="CCCCCC" w:sz="1"/>
              <w:bottom w:val="single" w:color="CCCCCC" w:sz="1"/>
              <w:right w:val="single" w:color="CCCCCC" w:sz="1"/>
            </w:tcBorders>
            <w:shd w:fill="1A3C6E" w:val="clear"/>
            <w:tcMar>
              <w:top w:type="dxa" w:w="40"/>
              <w:left w:type="dxa" w:w="80"/>
              <w:bottom w:type="dxa" w:w="40"/>
              <w:right w:type="dxa" w:w="80"/>
            </w:tcMar>
            <w:vAlign w:val="center"/>
          </w:tcPr>
          <w:p>
            <w:pPr>
              <w:spacing w:after="0" w:before="0"/>
            </w:pPr>
            <w:r>
              <w:rPr>
                <w:rFonts w:ascii="Arial" w:cs="Arial" w:eastAsia="Arial" w:hAnsi="Arial"/>
                <w:b/>
                <w:bCs/>
                <w:color w:val="FFFFFF"/>
                <w:sz w:val="16"/>
                <w:szCs w:val="16"/>
              </w:rPr>
              <w:t xml:space="preserve">Neobanks</w:t>
            </w:r>
          </w:p>
        </w:tc>
        <w:tc>
          <w:tcPr>
            <w:tcW w:type="dxa" w:w="2702"/>
            <w:tcBorders>
              <w:top w:val="single" w:color="CCCCCC" w:sz="1"/>
              <w:left w:val="single" w:color="CCCCCC" w:sz="1"/>
              <w:bottom w:val="single" w:color="CCCCCC" w:sz="1"/>
              <w:right w:val="single" w:color="CCCCCC" w:sz="1"/>
            </w:tcBorders>
            <w:shd w:fill="1A3C6E" w:val="clear"/>
            <w:tcMar>
              <w:top w:type="dxa" w:w="40"/>
              <w:left w:type="dxa" w:w="80"/>
              <w:bottom w:type="dxa" w:w="40"/>
              <w:right w:type="dxa" w:w="80"/>
            </w:tcMar>
            <w:vAlign w:val="center"/>
          </w:tcPr>
          <w:p>
            <w:pPr>
              <w:spacing w:after="0" w:before="0"/>
            </w:pPr>
            <w:r>
              <w:rPr>
                <w:rFonts w:ascii="Arial" w:cs="Arial" w:eastAsia="Arial" w:hAnsi="Arial"/>
                <w:b/>
                <w:bCs/>
                <w:color w:val="FFFFFF"/>
                <w:sz w:val="16"/>
                <w:szCs w:val="16"/>
              </w:rPr>
              <w:t xml:space="preserve">Specialized Fintechs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Core value proposition</w:t>
            </w:r>
          </w:p>
        </w:tc>
        <w:tc>
          <w:tcPr>
            <w:tcW w:type="dxa" w:w="2702"/>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Full-service Hausbank with branch access, cash handling, instant credit, and German deposit insurance — for any legal form</w:t>
            </w:r>
          </w:p>
        </w:tc>
        <w:tc>
          <w:tcPr>
            <w:tcW w:type="dxa" w:w="2702"/>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Digital-first Geschäftskonto at low or zero cost with fast onboarding and increasingly integrated invoicing, bookkeeping, or tax tools</w:t>
            </w:r>
          </w:p>
        </w:tc>
        <w:tc>
          <w:tcPr>
            <w:tcW w:type="dxa" w:w="2702"/>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Workflow-first platforms (accounting, tax filing, POS acquiring) that have added a Geschäftskonto as an embedded feature</w:t>
            </w:r>
          </w:p>
        </w:tc>
      </w:tr>
      <w:tr>
        <w:tc>
          <w:tcPr>
            <w:tcW w:type="dxa" w:w="18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Primary competitive advantage</w:t>
            </w:r>
          </w:p>
        </w:tc>
        <w:tc>
          <w:tcPr>
            <w:tcW w:type="dxa" w:w="2702"/>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Regulatory trust (BaFin/EdB), 20-year avg. relationship depth, credit access (Dispo to Geschäftskredit), physical cash infrastructure</w:t>
            </w:r>
          </w:p>
        </w:tc>
        <w:tc>
          <w:tcPr>
            <w:tcW w:type="dxa" w:w="2702"/>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Speed, price, and mobile UX; emerging workflow integration (AI bookkeeping, VAT filing, e-invoicing) that incumbents have not built</w:t>
            </w:r>
          </w:p>
        </w:tc>
        <w:tc>
          <w:tcPr>
            <w:tcW w:type="dxa" w:w="2702"/>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Own the daily operational layer: DATEV-native accounting, end-to-end ELSTER filing, or POS acquiring + settlement</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Who they serve best</w:t>
            </w:r>
          </w:p>
        </w:tc>
        <w:tc>
          <w:tcPr>
            <w:tcW w:type="dxa" w:w="2702"/>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Risk-averse sole proprietors, cash-heavy trades (Handwerk, gastronomy), established businesses needing credit</w:t>
            </w:r>
          </w:p>
        </w:tc>
        <w:tc>
          <w:tcPr>
            <w:tcW w:type="dxa" w:w="2702"/>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Digitally native Freiberufler, young founders, internationally active sole proprietors, price-sensitive micro-businesses</w:t>
            </w:r>
          </w:p>
        </w:tc>
        <w:tc>
          <w:tcPr>
            <w:tcW w:type="dxa" w:w="2702"/>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Sole proprietors seeking to reduce Steuerberater dependency, merchants needing integrated POS, compliance-first users</w:t>
            </w:r>
          </w:p>
        </w:tc>
      </w:tr>
    </w:tbl>
    <w:p>
      <w:pPr>
        <w:spacing w:after="10" w:before="80"/>
      </w:pPr>
      <w:r>
        <w:rPr>
          <w:rFonts w:ascii="Arial" w:cs="Arial" w:eastAsia="Arial" w:hAnsi="Arial"/>
          <w:b/>
          <w:bCs/>
          <w:i w:val="false"/>
          <w:iCs w:val="false"/>
          <w:color w:val="333333"/>
          <w:sz w:val="18"/>
          <w:szCs w:val="18"/>
        </w:rPr>
        <w:t xml:space="preserve">Inter-tier relationships.</w:t>
      </w:r>
    </w:p>
    <w:p>
      <w:pPr>
        <w:spacing w:after="40" w:before="40"/>
      </w:pPr>
      <w:r>
        <w:rPr>
          <w:rFonts w:ascii="Arial" w:cs="Arial" w:eastAsia="Arial" w:hAnsi="Arial"/>
          <w:b w:val="false"/>
          <w:bCs w:val="false"/>
          <w:i w:val="false"/>
          <w:iCs w:val="false"/>
          <w:color w:val="333333"/>
          <w:sz w:val="18"/>
          <w:szCs w:val="18"/>
        </w:rPr>
        <w:t xml:space="preserve">The three tiers do not only compete — they also depend on and enable each other. Incumbents and specialized fintechs have the most symbiotic relationship: sevDesk is designed to sit on top of an incumbent account via PSD2, and Lexware Office’s Geschäftskonto is powered by Solaris SE’s banking licence. Neither side is attempting to replace the other — they serve different parts of the same customer’s financial life. Neobanks and specialized fintechs are converging from opposite directions onto the same product surface: Finom adds AI bookkeeping to banking, while Lexware and Accountable add banking to accounting. This is the most contested boundary. However, partnerships also exist: Accountable’s Geschäftskonto runs on Swan/BNP Paribas BaaS, Norman Finance recommends Qonto and Vivid for banking in its own guides, and several fintechs position themselves as bank-agnostic overlays that complement a neobank account. Incumbents and neobanks compete most directly on the Geschäftskonto itself but occupy different trust segments: incumbents hold the Hausbank position for credit-dependent customers, while neobanks capture the Zweitkonto for daily operations. ING’s 2024 Geschäftskonto launch — fully digital, near-zero cost, with a €250K credit line — represents the most direct incumbent response to neobank positioning.</w:t>
      </w:r>
    </w:p>
    <w:p>
      <w:pPr>
        <w:spacing w:after="10" w:before="40"/>
      </w:pPr>
      <w:r>
        <w:rPr>
          <w:rFonts w:ascii="Arial" w:cs="Arial" w:eastAsia="Arial" w:hAnsi="Arial"/>
          <w:b/>
          <w:bCs/>
          <w:i w:val="false"/>
          <w:iCs w:val="false"/>
          <w:color w:val="333333"/>
          <w:sz w:val="18"/>
          <w:szCs w:val="18"/>
        </w:rPr>
        <w:t xml:space="preserve">Competitive advantages under pressure.</w:t>
      </w:r>
    </w:p>
    <w:p>
      <w:pPr>
        <w:spacing w:after="40" w:before="40"/>
      </w:pPr>
      <w:r>
        <w:rPr>
          <w:rFonts w:ascii="Arial" w:cs="Arial" w:eastAsia="Arial" w:hAnsi="Arial"/>
          <w:b w:val="false"/>
          <w:bCs w:val="false"/>
          <w:i w:val="false"/>
          <w:iCs w:val="false"/>
          <w:color w:val="333333"/>
          <w:sz w:val="18"/>
          <w:szCs w:val="18"/>
        </w:rPr>
        <w:t xml:space="preserve">Several documented trends from Section 1 are shifting the relative strength of each tier’s position. Incumbents’ branch network — historically the primary differentiator for cash-heavy sole proprietors — is contracting: the combined number of Sparkassen and Volksbanken fell below 1,000 for the first time in 2025, and fee increases are documented across multiple institutions. Neobanks’ free-tier economics are under pressure as ECB rate normalization compresses deposit-float income; Finom repriced in September 2025, and the broader environment favors fee-based and lending-based revenue models. Incumbents’ credit advantage is complicated by a demand-side shift: only 27% of German SMEs would currently consider a bank loan (KfW 2025, down from 66% in 2017). Specialized fintechs’ DATEV integration advantage — currently the strongest lock-in mechanism in the market — could face pressure if FiDA mandates broader financial-data API access in 2027–2030.</w:t>
      </w:r>
    </w:p>
    <w:p>
      <w:pPr>
        <w:spacing w:after="10" w:before="40"/>
      </w:pPr>
      <w:r>
        <w:rPr>
          <w:rFonts w:ascii="Arial" w:cs="Arial" w:eastAsia="Arial" w:hAnsi="Arial"/>
          <w:b/>
          <w:bCs/>
          <w:i w:val="false"/>
          <w:iCs w:val="false"/>
          <w:color w:val="333333"/>
          <w:sz w:val="18"/>
          <w:szCs w:val="18"/>
        </w:rPr>
        <w:t xml:space="preserve">Market motion.</w:t>
      </w:r>
    </w:p>
    <w:p>
      <w:pPr>
        <w:spacing w:after="40" w:before="40"/>
      </w:pPr>
      <w:r>
        <w:rPr>
          <w:rFonts w:ascii="Arial" w:cs="Arial" w:eastAsia="Arial" w:hAnsi="Arial"/>
          <w:b w:val="false"/>
          <w:bCs w:val="false"/>
          <w:i w:val="false"/>
          <w:iCs w:val="false"/>
          <w:color w:val="333333"/>
          <w:sz w:val="18"/>
          <w:szCs w:val="18"/>
        </w:rPr>
        <w:t xml:space="preserve">Available indicators suggest continued expansion rather than stabilization. On the supply side, the number of Geschäftskonto providers continues to grow (ING entered in late 2024; Tide has announced German market entry). On the demand side, the generational rotation described in Section 1 — 585,000 new founders at average age 34.4, with 36% digital businesses — is expanding the digitally addressable customer pool even as total solo self-employment declines. Repricing is documented most broadly among incumbents — Sparkassen fee hikes, Postbank restructuring effective April 2026 — while individual neobanks (Finom, Holvi, Vivid) have adjusted pricing following strategic pivots rather than as a market-wide pattern.</w:t>
      </w:r>
    </w:p>
    <w:p>
      <w:pPr>
        <w:spacing w:after="40" w:before="60"/>
      </w:pPr>
      <w:r>
        <w:rPr>
          <w:rFonts w:ascii="Arial" w:cs="Arial" w:eastAsia="Arial" w:hAnsi="Arial"/>
          <w:b w:val="false"/>
          <w:bCs w:val="false"/>
          <w:i w:val="false"/>
          <w:iCs w:val="false"/>
          <w:color w:val="333333"/>
          <w:sz w:val="18"/>
          <w:szCs w:val="18"/>
        </w:rPr>
        <w:t xml:space="preserve">The three tiers have evolved into a complementary ecosystem rather than a direct competitive battlefield. The documented inter-tier partnerships suggest the market is moving toward modular assembly rather than full-stack consolidation: players are specializing deeper and connecting via PSD2, BaaS, and API integrations rather than building across all dimensions. The competitive question for a new entrant is therefore not “which tier to displace” but which combination of owned capabilities and partner integrations assembles the most complete customer experience.</w:t>
      </w:r>
    </w:p>
    <w:p>
      <w:pPr>
        <w:pStyle w:val="Heading2"/>
        <w:spacing w:after="40" w:before="100"/>
      </w:pPr>
      <w:r>
        <w:rPr>
          <w:rFonts w:ascii="Arial" w:cs="Arial" w:eastAsia="Arial" w:hAnsi="Arial"/>
          <w:b/>
          <w:bCs/>
          <w:color w:val="1A3C6E"/>
          <w:sz w:val="20"/>
          <w:szCs w:val="20"/>
        </w:rPr>
        <w:t xml:space="preserve">3.2 Feature-Group Maturity</w:t>
      </w:r>
    </w:p>
    <w:p>
      <w:pPr>
        <w:spacing w:after="40" w:before="40"/>
      </w:pPr>
      <w:r>
        <w:rPr>
          <w:rFonts w:ascii="Arial" w:cs="Arial" w:eastAsia="Arial" w:hAnsi="Arial"/>
          <w:b w:val="false"/>
          <w:bCs w:val="false"/>
          <w:i w:val="false"/>
          <w:iCs w:val="false"/>
          <w:color w:val="333333"/>
          <w:sz w:val="18"/>
          <w:szCs w:val="18"/>
        </w:rPr>
        <w:t xml:space="preserve">The value proposition specialization described in 3.1 translates directly into feature coverage: no player in the market scores above 3 in more than four of the six feature groups, and the majority carry at least two zeroes. The purpose of this comparison is to identify where incumbents and neobanks — the two tiers that hold the primary banking relationship — systematically under-invest, and where specialized fintechs have built capability that neither banking tier matches. Detailed feature-by-feature analysis for each player is documented in the companion research files (Tasks 1.1, 1.2, 1.3).</w:t>
      </w:r>
    </w:p>
    <w:p>
      <w:pPr>
        <w:spacing w:after="40" w:before="40"/>
      </w:pPr>
      <w:r>
        <w:rPr>
          <w:rFonts w:ascii="Arial" w:cs="Arial" w:eastAsia="Arial" w:hAnsi="Arial"/>
          <w:b w:val="false"/>
          <w:bCs w:val="false"/>
          <w:i/>
          <w:iCs/>
          <w:color w:val="777777"/>
          <w:sz w:val="16"/>
          <w:szCs w:val="16"/>
        </w:rPr>
        <w:t xml:space="preserve">Scores use a 0–5 scale where 5 = best-in-class in the category, 0 = absent.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0"/>
        <w:gridCol w:w="1050"/>
        <w:gridCol w:w="1050"/>
        <w:gridCol w:w="1050"/>
        <w:gridCol w:w="1500"/>
        <w:gridCol w:w="1500"/>
        <w:gridCol w:w="1156"/>
      </w:tblGrid>
      <w:tr>
        <w:tc>
          <w:tcPr>
            <w:tcW w:type="dxa" w:w="1600"/>
            <w:tcBorders>
              <w:top w:val="single" w:color="CCCCCC" w:sz="1"/>
              <w:left w:val="single" w:color="CCCCCC" w:sz="1"/>
              <w:bottom w:val="single" w:color="CCCCCC" w:sz="1"/>
              <w:right w:val="single" w:color="CCCCCC" w:sz="1"/>
            </w:tcBorders>
            <w:shd w:fill="1A3C6E" w:val="clear"/>
            <w:tcMar>
              <w:top w:type="dxa" w:w="40"/>
              <w:left w:type="dxa" w:w="80"/>
              <w:bottom w:type="dxa" w:w="40"/>
              <w:right w:type="dxa" w:w="80"/>
            </w:tcMar>
            <w:vAlign w:val="center"/>
          </w:tcPr>
          <w:p>
            <w:pPr>
              <w:spacing w:after="0" w:before="0"/>
            </w:pPr>
            <w:r>
              <w:rPr>
                <w:rFonts w:ascii="Arial" w:cs="Arial" w:eastAsia="Arial" w:hAnsi="Arial"/>
                <w:b/>
                <w:bCs/>
                <w:color w:val="FFFFFF"/>
                <w:sz w:val="16"/>
                <w:szCs w:val="16"/>
              </w:rPr>
              <w:t xml:space="preserve">Player</w:t>
            </w:r>
          </w:p>
        </w:tc>
        <w:tc>
          <w:tcPr>
            <w:tcW w:type="dxa" w:w="1050"/>
            <w:tcBorders>
              <w:top w:val="single" w:color="CCCCCC" w:sz="1"/>
              <w:left w:val="single" w:color="CCCCCC" w:sz="1"/>
              <w:bottom w:val="single" w:color="CCCCCC" w:sz="1"/>
              <w:right w:val="single" w:color="CCCCCC" w:sz="1"/>
            </w:tcBorders>
            <w:shd w:fill="1A3C6E" w:val="clear"/>
            <w:tcMar>
              <w:top w:type="dxa" w:w="40"/>
              <w:left w:type="dxa" w:w="80"/>
              <w:bottom w:type="dxa" w:w="40"/>
              <w:right w:type="dxa" w:w="80"/>
            </w:tcMar>
            <w:vAlign w:val="center"/>
          </w:tcPr>
          <w:p>
            <w:pPr>
              <w:spacing w:after="0" w:before="0"/>
            </w:pPr>
            <w:r>
              <w:rPr>
                <w:rFonts w:ascii="Arial" w:cs="Arial" w:eastAsia="Arial" w:hAnsi="Arial"/>
                <w:b/>
                <w:bCs/>
                <w:color w:val="FFFFFF"/>
                <w:sz w:val="16"/>
                <w:szCs w:val="16"/>
              </w:rPr>
              <w:t xml:space="preserve">Transact.</w:t>
            </w:r>
          </w:p>
        </w:tc>
        <w:tc>
          <w:tcPr>
            <w:tcW w:type="dxa" w:w="1050"/>
            <w:tcBorders>
              <w:top w:val="single" w:color="CCCCCC" w:sz="1"/>
              <w:left w:val="single" w:color="CCCCCC" w:sz="1"/>
              <w:bottom w:val="single" w:color="CCCCCC" w:sz="1"/>
              <w:right w:val="single" w:color="CCCCCC" w:sz="1"/>
            </w:tcBorders>
            <w:shd w:fill="1A3C6E" w:val="clear"/>
            <w:tcMar>
              <w:top w:type="dxa" w:w="40"/>
              <w:left w:type="dxa" w:w="80"/>
              <w:bottom w:type="dxa" w:w="40"/>
              <w:right w:type="dxa" w:w="80"/>
            </w:tcMar>
            <w:vAlign w:val="center"/>
          </w:tcPr>
          <w:p>
            <w:pPr>
              <w:spacing w:after="0" w:before="0"/>
            </w:pPr>
            <w:r>
              <w:rPr>
                <w:rFonts w:ascii="Arial" w:cs="Arial" w:eastAsia="Arial" w:hAnsi="Arial"/>
                <w:b/>
                <w:bCs/>
                <w:color w:val="FFFFFF"/>
                <w:sz w:val="16"/>
                <w:szCs w:val="16"/>
              </w:rPr>
              <w:t xml:space="preserve">Cash Mgmt</w:t>
            </w:r>
          </w:p>
        </w:tc>
        <w:tc>
          <w:tcPr>
            <w:tcW w:type="dxa" w:w="1050"/>
            <w:tcBorders>
              <w:top w:val="single" w:color="CCCCCC" w:sz="1"/>
              <w:left w:val="single" w:color="CCCCCC" w:sz="1"/>
              <w:bottom w:val="single" w:color="CCCCCC" w:sz="1"/>
              <w:right w:val="single" w:color="CCCCCC" w:sz="1"/>
            </w:tcBorders>
            <w:shd w:fill="1A3C6E" w:val="clear"/>
            <w:tcMar>
              <w:top w:type="dxa" w:w="40"/>
              <w:left w:type="dxa" w:w="80"/>
              <w:bottom w:type="dxa" w:w="40"/>
              <w:right w:type="dxa" w:w="80"/>
            </w:tcMar>
            <w:vAlign w:val="center"/>
          </w:tcPr>
          <w:p>
            <w:pPr>
              <w:spacing w:after="0" w:before="0"/>
            </w:pPr>
            <w:r>
              <w:rPr>
                <w:rFonts w:ascii="Arial" w:cs="Arial" w:eastAsia="Arial" w:hAnsi="Arial"/>
                <w:b/>
                <w:bCs/>
                <w:color w:val="FFFFFF"/>
                <w:sz w:val="16"/>
                <w:szCs w:val="16"/>
              </w:rPr>
              <w:t xml:space="preserve">Lending</w:t>
            </w:r>
          </w:p>
        </w:tc>
        <w:tc>
          <w:tcPr>
            <w:tcW w:type="dxa" w:w="1500"/>
            <w:tcBorders>
              <w:top w:val="single" w:color="CCCCCC" w:sz="1"/>
              <w:left w:val="single" w:color="CCCCCC" w:sz="1"/>
              <w:bottom w:val="single" w:color="CCCCCC" w:sz="1"/>
              <w:right w:val="single" w:color="CCCCCC" w:sz="1"/>
            </w:tcBorders>
            <w:shd w:fill="1A3C6E" w:val="clear"/>
            <w:tcMar>
              <w:top w:type="dxa" w:w="40"/>
              <w:left w:type="dxa" w:w="80"/>
              <w:bottom w:type="dxa" w:w="40"/>
              <w:right w:type="dxa" w:w="80"/>
            </w:tcMar>
            <w:vAlign w:val="center"/>
          </w:tcPr>
          <w:p>
            <w:pPr>
              <w:spacing w:after="0" w:before="0"/>
            </w:pPr>
            <w:r>
              <w:rPr>
                <w:rFonts w:ascii="Arial" w:cs="Arial" w:eastAsia="Arial" w:hAnsi="Arial"/>
                <w:b/>
                <w:bCs/>
                <w:color w:val="FFFFFF"/>
                <w:sz w:val="16"/>
                <w:szCs w:val="16"/>
              </w:rPr>
              <w:t xml:space="preserve">Acctg &amp; Tax</w:t>
            </w:r>
          </w:p>
        </w:tc>
        <w:tc>
          <w:tcPr>
            <w:tcW w:type="dxa" w:w="1500"/>
            <w:tcBorders>
              <w:top w:val="single" w:color="CCCCCC" w:sz="1"/>
              <w:left w:val="single" w:color="CCCCCC" w:sz="1"/>
              <w:bottom w:val="single" w:color="CCCCCC" w:sz="1"/>
              <w:right w:val="single" w:color="CCCCCC" w:sz="1"/>
            </w:tcBorders>
            <w:shd w:fill="1A3C6E" w:val="clear"/>
            <w:tcMar>
              <w:top w:type="dxa" w:w="40"/>
              <w:left w:type="dxa" w:w="80"/>
              <w:bottom w:type="dxa" w:w="40"/>
              <w:right w:type="dxa" w:w="80"/>
            </w:tcMar>
            <w:vAlign w:val="center"/>
          </w:tcPr>
          <w:p>
            <w:pPr>
              <w:spacing w:after="0" w:before="0"/>
            </w:pPr>
            <w:r>
              <w:rPr>
                <w:rFonts w:ascii="Arial" w:cs="Arial" w:eastAsia="Arial" w:hAnsi="Arial"/>
                <w:b/>
                <w:bCs/>
                <w:color w:val="FFFFFF"/>
                <w:sz w:val="16"/>
                <w:szCs w:val="16"/>
              </w:rPr>
              <w:t xml:space="preserve">Fin. Mgmt</w:t>
            </w:r>
          </w:p>
        </w:tc>
        <w:tc>
          <w:tcPr>
            <w:tcW w:type="dxa" w:w="1156"/>
            <w:tcBorders>
              <w:top w:val="single" w:color="CCCCCC" w:sz="1"/>
              <w:left w:val="single" w:color="CCCCCC" w:sz="1"/>
              <w:bottom w:val="single" w:color="CCCCCC" w:sz="1"/>
              <w:right w:val="single" w:color="CCCCCC" w:sz="1"/>
            </w:tcBorders>
            <w:shd w:fill="1A3C6E" w:val="clear"/>
            <w:tcMar>
              <w:top w:type="dxa" w:w="40"/>
              <w:left w:type="dxa" w:w="80"/>
              <w:bottom w:type="dxa" w:w="40"/>
              <w:right w:type="dxa" w:w="80"/>
            </w:tcMar>
            <w:vAlign w:val="center"/>
          </w:tcPr>
          <w:p>
            <w:pPr>
              <w:spacing w:after="0" w:before="0"/>
            </w:pPr>
            <w:r>
              <w:rPr>
                <w:rFonts w:ascii="Arial" w:cs="Arial" w:eastAsia="Arial" w:hAnsi="Arial"/>
                <w:b/>
                <w:bCs/>
                <w:color w:val="FFFFFF"/>
                <w:sz w:val="16"/>
                <w:szCs w:val="16"/>
              </w:rPr>
              <w:t xml:space="preserve">Pmt Acquiring</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Sparkasse</w:t>
            </w:r>
          </w:p>
        </w:tc>
        <w:tc>
          <w:tcPr>
            <w:tcW w:type="dxa" w:w="10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3</w:t>
            </w:r>
          </w:p>
        </w:tc>
        <w:tc>
          <w:tcPr>
            <w:tcW w:type="dxa" w:w="10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5</w:t>
            </w:r>
          </w:p>
        </w:tc>
        <w:tc>
          <w:tcPr>
            <w:tcW w:type="dxa" w:w="10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5</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1</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0</w:t>
            </w:r>
          </w:p>
        </w:tc>
        <w:tc>
          <w:tcPr>
            <w:tcW w:type="dxa" w:w="1156"/>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0</w:t>
            </w:r>
          </w:p>
        </w:tc>
      </w:tr>
      <w:tr>
        <w:tc>
          <w:tcPr>
            <w:tcW w:type="dxa" w:w="16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Commerzbank</w:t>
            </w:r>
          </w:p>
        </w:tc>
        <w:tc>
          <w:tcPr>
            <w:tcW w:type="dxa" w:w="105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3</w:t>
            </w:r>
          </w:p>
        </w:tc>
        <w:tc>
          <w:tcPr>
            <w:tcW w:type="dxa" w:w="105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4</w:t>
            </w:r>
          </w:p>
        </w:tc>
        <w:tc>
          <w:tcPr>
            <w:tcW w:type="dxa" w:w="105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5</w:t>
            </w:r>
          </w:p>
        </w:tc>
        <w:tc>
          <w:tcPr>
            <w:tcW w:type="dxa" w:w="15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1</w:t>
            </w:r>
          </w:p>
        </w:tc>
        <w:tc>
          <w:tcPr>
            <w:tcW w:type="dxa" w:w="15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0</w:t>
            </w:r>
          </w:p>
        </w:tc>
        <w:tc>
          <w:tcPr>
            <w:tcW w:type="dxa" w:w="1156"/>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1</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ING</w:t>
            </w:r>
          </w:p>
        </w:tc>
        <w:tc>
          <w:tcPr>
            <w:tcW w:type="dxa" w:w="10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3</w:t>
            </w:r>
          </w:p>
        </w:tc>
        <w:tc>
          <w:tcPr>
            <w:tcW w:type="dxa" w:w="10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1</w:t>
            </w:r>
          </w:p>
        </w:tc>
        <w:tc>
          <w:tcPr>
            <w:tcW w:type="dxa" w:w="10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4</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2</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1</w:t>
            </w:r>
          </w:p>
        </w:tc>
        <w:tc>
          <w:tcPr>
            <w:tcW w:type="dxa" w:w="1156"/>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0</w:t>
            </w:r>
          </w:p>
        </w:tc>
      </w:tr>
      <w:tr>
        <w:tc>
          <w:tcPr>
            <w:tcW w:type="dxa" w:w="16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FYRST</w:t>
            </w:r>
          </w:p>
        </w:tc>
        <w:tc>
          <w:tcPr>
            <w:tcW w:type="dxa" w:w="105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3</w:t>
            </w:r>
          </w:p>
        </w:tc>
        <w:tc>
          <w:tcPr>
            <w:tcW w:type="dxa" w:w="105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3</w:t>
            </w:r>
          </w:p>
        </w:tc>
        <w:tc>
          <w:tcPr>
            <w:tcW w:type="dxa" w:w="105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2</w:t>
            </w:r>
          </w:p>
        </w:tc>
        <w:tc>
          <w:tcPr>
            <w:tcW w:type="dxa" w:w="15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1</w:t>
            </w:r>
          </w:p>
        </w:tc>
        <w:tc>
          <w:tcPr>
            <w:tcW w:type="dxa" w:w="15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0</w:t>
            </w:r>
          </w:p>
        </w:tc>
        <w:tc>
          <w:tcPr>
            <w:tcW w:type="dxa" w:w="1156"/>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0</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N26</w:t>
            </w:r>
          </w:p>
        </w:tc>
        <w:tc>
          <w:tcPr>
            <w:tcW w:type="dxa" w:w="10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3</w:t>
            </w:r>
          </w:p>
        </w:tc>
        <w:tc>
          <w:tcPr>
            <w:tcW w:type="dxa" w:w="10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2</w:t>
            </w:r>
          </w:p>
        </w:tc>
        <w:tc>
          <w:tcPr>
            <w:tcW w:type="dxa" w:w="10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2</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1</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0</w:t>
            </w:r>
          </w:p>
        </w:tc>
        <w:tc>
          <w:tcPr>
            <w:tcW w:type="dxa" w:w="1156"/>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0</w:t>
            </w:r>
          </w:p>
        </w:tc>
      </w:tr>
      <w:tr>
        <w:tc>
          <w:tcPr>
            <w:tcW w:type="dxa" w:w="16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Finom</w:t>
            </w:r>
          </w:p>
        </w:tc>
        <w:tc>
          <w:tcPr>
            <w:tcW w:type="dxa" w:w="105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4</w:t>
            </w:r>
          </w:p>
        </w:tc>
        <w:tc>
          <w:tcPr>
            <w:tcW w:type="dxa" w:w="105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1</w:t>
            </w:r>
          </w:p>
        </w:tc>
        <w:tc>
          <w:tcPr>
            <w:tcW w:type="dxa" w:w="105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0</w:t>
            </w:r>
          </w:p>
        </w:tc>
        <w:tc>
          <w:tcPr>
            <w:tcW w:type="dxa" w:w="15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3</w:t>
            </w:r>
          </w:p>
        </w:tc>
        <w:tc>
          <w:tcPr>
            <w:tcW w:type="dxa" w:w="15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4</w:t>
            </w:r>
          </w:p>
        </w:tc>
        <w:tc>
          <w:tcPr>
            <w:tcW w:type="dxa" w:w="1156"/>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0</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Kontist</w:t>
            </w:r>
          </w:p>
        </w:tc>
        <w:tc>
          <w:tcPr>
            <w:tcW w:type="dxa" w:w="10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3</w:t>
            </w:r>
          </w:p>
        </w:tc>
        <w:tc>
          <w:tcPr>
            <w:tcW w:type="dxa" w:w="10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0</w:t>
            </w:r>
          </w:p>
        </w:tc>
        <w:tc>
          <w:tcPr>
            <w:tcW w:type="dxa" w:w="10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3</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4</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3</w:t>
            </w:r>
          </w:p>
        </w:tc>
        <w:tc>
          <w:tcPr>
            <w:tcW w:type="dxa" w:w="1156"/>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0</w:t>
            </w:r>
          </w:p>
        </w:tc>
      </w:tr>
      <w:tr>
        <w:tc>
          <w:tcPr>
            <w:tcW w:type="dxa" w:w="16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Holvi</w:t>
            </w:r>
          </w:p>
        </w:tc>
        <w:tc>
          <w:tcPr>
            <w:tcW w:type="dxa" w:w="105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3</w:t>
            </w:r>
          </w:p>
        </w:tc>
        <w:tc>
          <w:tcPr>
            <w:tcW w:type="dxa" w:w="105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0</w:t>
            </w:r>
          </w:p>
        </w:tc>
        <w:tc>
          <w:tcPr>
            <w:tcW w:type="dxa" w:w="105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2</w:t>
            </w:r>
          </w:p>
        </w:tc>
        <w:tc>
          <w:tcPr>
            <w:tcW w:type="dxa" w:w="15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3</w:t>
            </w:r>
          </w:p>
        </w:tc>
        <w:tc>
          <w:tcPr>
            <w:tcW w:type="dxa" w:w="15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5</w:t>
            </w:r>
          </w:p>
        </w:tc>
        <w:tc>
          <w:tcPr>
            <w:tcW w:type="dxa" w:w="1156"/>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0</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Vivid</w:t>
            </w:r>
          </w:p>
        </w:tc>
        <w:tc>
          <w:tcPr>
            <w:tcW w:type="dxa" w:w="10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4</w:t>
            </w:r>
          </w:p>
        </w:tc>
        <w:tc>
          <w:tcPr>
            <w:tcW w:type="dxa" w:w="10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0</w:t>
            </w:r>
          </w:p>
        </w:tc>
        <w:tc>
          <w:tcPr>
            <w:tcW w:type="dxa" w:w="10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0</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4</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4</w:t>
            </w:r>
          </w:p>
        </w:tc>
        <w:tc>
          <w:tcPr>
            <w:tcW w:type="dxa" w:w="1156"/>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0</w:t>
            </w:r>
          </w:p>
        </w:tc>
      </w:tr>
      <w:tr>
        <w:tc>
          <w:tcPr>
            <w:tcW w:type="dxa" w:w="16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Revolut</w:t>
            </w:r>
          </w:p>
        </w:tc>
        <w:tc>
          <w:tcPr>
            <w:tcW w:type="dxa" w:w="105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5</w:t>
            </w:r>
          </w:p>
        </w:tc>
        <w:tc>
          <w:tcPr>
            <w:tcW w:type="dxa" w:w="105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0</w:t>
            </w:r>
          </w:p>
        </w:tc>
        <w:tc>
          <w:tcPr>
            <w:tcW w:type="dxa" w:w="105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0</w:t>
            </w:r>
          </w:p>
        </w:tc>
        <w:tc>
          <w:tcPr>
            <w:tcW w:type="dxa" w:w="15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1</w:t>
            </w:r>
          </w:p>
        </w:tc>
        <w:tc>
          <w:tcPr>
            <w:tcW w:type="dxa" w:w="15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0</w:t>
            </w:r>
          </w:p>
        </w:tc>
        <w:tc>
          <w:tcPr>
            <w:tcW w:type="dxa" w:w="1156"/>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3</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Qonto</w:t>
            </w:r>
          </w:p>
        </w:tc>
        <w:tc>
          <w:tcPr>
            <w:tcW w:type="dxa" w:w="10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4</w:t>
            </w:r>
          </w:p>
        </w:tc>
        <w:tc>
          <w:tcPr>
            <w:tcW w:type="dxa" w:w="10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0</w:t>
            </w:r>
          </w:p>
        </w:tc>
        <w:tc>
          <w:tcPr>
            <w:tcW w:type="dxa" w:w="10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0</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3</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3</w:t>
            </w:r>
          </w:p>
        </w:tc>
        <w:tc>
          <w:tcPr>
            <w:tcW w:type="dxa" w:w="1156"/>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4</w:t>
            </w:r>
          </w:p>
        </w:tc>
      </w:tr>
      <w:tr>
        <w:tc>
          <w:tcPr>
            <w:tcW w:type="dxa" w:w="16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Lexware Office</w:t>
            </w:r>
          </w:p>
        </w:tc>
        <w:tc>
          <w:tcPr>
            <w:tcW w:type="dxa" w:w="105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2</w:t>
            </w:r>
          </w:p>
        </w:tc>
        <w:tc>
          <w:tcPr>
            <w:tcW w:type="dxa" w:w="105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0</w:t>
            </w:r>
          </w:p>
        </w:tc>
        <w:tc>
          <w:tcPr>
            <w:tcW w:type="dxa" w:w="105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0</w:t>
            </w:r>
          </w:p>
        </w:tc>
        <w:tc>
          <w:tcPr>
            <w:tcW w:type="dxa" w:w="15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5</w:t>
            </w:r>
          </w:p>
        </w:tc>
        <w:tc>
          <w:tcPr>
            <w:tcW w:type="dxa" w:w="15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4</w:t>
            </w:r>
          </w:p>
        </w:tc>
        <w:tc>
          <w:tcPr>
            <w:tcW w:type="dxa" w:w="1156"/>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0</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Accountable</w:t>
            </w:r>
          </w:p>
        </w:tc>
        <w:tc>
          <w:tcPr>
            <w:tcW w:type="dxa" w:w="10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2</w:t>
            </w:r>
          </w:p>
        </w:tc>
        <w:tc>
          <w:tcPr>
            <w:tcW w:type="dxa" w:w="10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0</w:t>
            </w:r>
          </w:p>
        </w:tc>
        <w:tc>
          <w:tcPr>
            <w:tcW w:type="dxa" w:w="10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0</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5</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4</w:t>
            </w:r>
          </w:p>
        </w:tc>
        <w:tc>
          <w:tcPr>
            <w:tcW w:type="dxa" w:w="1156"/>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0</w:t>
            </w:r>
          </w:p>
        </w:tc>
      </w:tr>
      <w:tr>
        <w:tc>
          <w:tcPr>
            <w:tcW w:type="dxa" w:w="16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SumUp</w:t>
            </w:r>
          </w:p>
        </w:tc>
        <w:tc>
          <w:tcPr>
            <w:tcW w:type="dxa" w:w="105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3</w:t>
            </w:r>
          </w:p>
        </w:tc>
        <w:tc>
          <w:tcPr>
            <w:tcW w:type="dxa" w:w="105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0</w:t>
            </w:r>
          </w:p>
        </w:tc>
        <w:tc>
          <w:tcPr>
            <w:tcW w:type="dxa" w:w="105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2</w:t>
            </w:r>
          </w:p>
        </w:tc>
        <w:tc>
          <w:tcPr>
            <w:tcW w:type="dxa" w:w="15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1</w:t>
            </w:r>
          </w:p>
        </w:tc>
        <w:tc>
          <w:tcPr>
            <w:tcW w:type="dxa" w:w="15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3</w:t>
            </w:r>
          </w:p>
        </w:tc>
        <w:tc>
          <w:tcPr>
            <w:tcW w:type="dxa" w:w="1156"/>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5</w:t>
            </w:r>
          </w:p>
        </w:tc>
      </w:tr>
    </w:tbl>
    <w:p>
      <w:pPr>
        <w:spacing w:after="40" w:before="60"/>
      </w:pPr>
      <w:r>
        <w:rPr>
          <w:rFonts w:ascii="Arial" w:cs="Arial" w:eastAsia="Arial" w:hAnsi="Arial"/>
          <w:b w:val="false"/>
          <w:bCs w:val="false"/>
          <w:i w:val="false"/>
          <w:iCs w:val="false"/>
          <w:color w:val="333333"/>
          <w:sz w:val="18"/>
          <w:szCs w:val="18"/>
        </w:rPr>
        <w:t xml:space="preserve">The two feature groups where neobanks are most consistently underinvested relative to incumbents are cash management (incumbent average: 3.25, neobank average: 0.5) and lending (incumbent average: 4.0, neobank average: 1.2). These are the categories that sustain the incumbent Hausbank relationship — the reason the dual-account pattern described in Section 2 persists. A sole proprietor who needs a Dispo to bridge a 60-day payment gap, or who deposits cash from a market stall, cannot leave their Sparkasse regardless of how good their neobank’s UX is. Qonto’s current profile reflects the same neobank-tier constraint: 0 on cash management, 2 on lending. Closing even part of this gap — through embedded lending partnerships, revenue-based credit, or cash-deposit network access — would directly address the structural lock-in that keeps the incumbent Hausbank in place.</w:t>
      </w:r>
    </w:p>
    <w:p>
      <w:pPr>
        <w:spacing w:after="40" w:before="40"/>
      </w:pPr>
      <w:r>
        <w:rPr>
          <w:rFonts w:ascii="Arial" w:cs="Arial" w:eastAsia="Arial" w:hAnsi="Arial"/>
          <w:b w:val="false"/>
          <w:bCs w:val="false"/>
          <w:i w:val="false"/>
          <w:iCs w:val="false"/>
          <w:color w:val="333333"/>
          <w:sz w:val="18"/>
          <w:szCs w:val="18"/>
        </w:rPr>
        <w:t xml:space="preserve">The feature maturity comparison reveals that the neobank tier has broadly reached parity with incumbents on transacting and has begun competing on accounting and financial management — but cash management and lending remain incumbent monopolies in practice. These two categories are the structural foundation of the Hausbank relationship. Section 4 examines the full gap landscape in detail.</w:t>
      </w:r>
    </w:p>
    <w:p>
      <w:pPr>
        <w:pBdr>
          <w:bottom w:val="single" w:color="2E75B6" w:sz="3" w:space="1"/>
        </w:pBdr>
        <w:spacing w:after="30" w:before="30"/>
      </w:pPr>
    </w:p>
    <w:p>
      <w:pPr>
        <w:pStyle w:val="Heading1"/>
        <w:spacing w:after="40" w:before="140"/>
      </w:pPr>
      <w:r>
        <w:rPr>
          <w:rFonts w:ascii="Arial" w:cs="Arial" w:eastAsia="Arial" w:hAnsi="Arial"/>
          <w:b/>
          <w:bCs/>
          <w:color w:val="1A3C6E"/>
          <w:sz w:val="24"/>
          <w:szCs w:val="24"/>
        </w:rPr>
        <w:t xml:space="preserve">4. Gap Analysis</w:t>
      </w:r>
    </w:p>
    <w:p>
      <w:pPr>
        <w:pStyle w:val="Heading2"/>
        <w:spacing w:after="40" w:before="100"/>
      </w:pPr>
      <w:r>
        <w:rPr>
          <w:rFonts w:ascii="Arial" w:cs="Arial" w:eastAsia="Arial" w:hAnsi="Arial"/>
          <w:b/>
          <w:bCs/>
          <w:color w:val="1A3C6E"/>
          <w:sz w:val="20"/>
          <w:szCs w:val="20"/>
        </w:rPr>
        <w:t xml:space="preserve">4.1 Unaddressed Gaps Across the Landscape</w:t>
      </w:r>
    </w:p>
    <w:p>
      <w:pPr>
        <w:spacing w:after="40" w:before="40"/>
      </w:pPr>
      <w:r>
        <w:rPr>
          <w:rFonts w:ascii="Arial" w:cs="Arial" w:eastAsia="Arial" w:hAnsi="Arial"/>
          <w:b w:val="false"/>
          <w:bCs w:val="false"/>
          <w:i w:val="false"/>
          <w:iCs w:val="false"/>
          <w:color w:val="333333"/>
          <w:sz w:val="18"/>
          <w:szCs w:val="18"/>
        </w:rPr>
        <w:t xml:space="preserve">The research across all three tiers surfaces gaps that fall into two categories: features offered by some players but absent from most, and needs that no player in the market addresses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800"/>
        <w:gridCol w:w="1700"/>
        <w:gridCol w:w="1100"/>
      </w:tblGrid>
      <w:tr>
        <w:tc>
          <w:tcPr>
            <w:tcW w:type="dxa" w:w="2400"/>
            <w:tcBorders>
              <w:top w:val="single" w:color="CCCCCC" w:sz="1"/>
              <w:left w:val="single" w:color="CCCCCC" w:sz="1"/>
              <w:bottom w:val="single" w:color="CCCCCC" w:sz="1"/>
              <w:right w:val="single" w:color="CCCCCC" w:sz="1"/>
            </w:tcBorders>
            <w:shd w:fill="1A3C6E" w:val="clear"/>
            <w:tcMar>
              <w:top w:type="dxa" w:w="40"/>
              <w:left w:type="dxa" w:w="80"/>
              <w:bottom w:type="dxa" w:w="40"/>
              <w:right w:type="dxa" w:w="80"/>
            </w:tcMar>
            <w:vAlign w:val="center"/>
          </w:tcPr>
          <w:p>
            <w:pPr>
              <w:spacing w:after="0" w:before="0"/>
            </w:pPr>
            <w:r>
              <w:rPr>
                <w:rFonts w:ascii="Arial" w:cs="Arial" w:eastAsia="Arial" w:hAnsi="Arial"/>
                <w:b/>
                <w:bCs/>
                <w:color w:val="FFFFFF"/>
                <w:sz w:val="16"/>
                <w:szCs w:val="16"/>
              </w:rPr>
              <w:t xml:space="preserve">Gap</w:t>
            </w:r>
          </w:p>
        </w:tc>
        <w:tc>
          <w:tcPr>
            <w:tcW w:type="dxa" w:w="1700"/>
            <w:tcBorders>
              <w:top w:val="single" w:color="CCCCCC" w:sz="1"/>
              <w:left w:val="single" w:color="CCCCCC" w:sz="1"/>
              <w:bottom w:val="single" w:color="CCCCCC" w:sz="1"/>
              <w:right w:val="single" w:color="CCCCCC" w:sz="1"/>
            </w:tcBorders>
            <w:shd w:fill="1A3C6E" w:val="clear"/>
            <w:tcMar>
              <w:top w:type="dxa" w:w="40"/>
              <w:left w:type="dxa" w:w="80"/>
              <w:bottom w:type="dxa" w:w="40"/>
              <w:right w:type="dxa" w:w="80"/>
            </w:tcMar>
            <w:vAlign w:val="center"/>
          </w:tcPr>
          <w:p>
            <w:pPr>
              <w:spacing w:after="0" w:before="0"/>
            </w:pPr>
            <w:r>
              <w:rPr>
                <w:rFonts w:ascii="Arial" w:cs="Arial" w:eastAsia="Arial" w:hAnsi="Arial"/>
                <w:b/>
                <w:bCs/>
                <w:color w:val="FFFFFF"/>
                <w:sz w:val="16"/>
                <w:szCs w:val="16"/>
              </w:rPr>
              <w:t xml:space="preserve">Incumbents</w:t>
            </w:r>
          </w:p>
        </w:tc>
        <w:tc>
          <w:tcPr>
            <w:tcW w:type="dxa" w:w="1800"/>
            <w:tcBorders>
              <w:top w:val="single" w:color="CCCCCC" w:sz="1"/>
              <w:left w:val="single" w:color="CCCCCC" w:sz="1"/>
              <w:bottom w:val="single" w:color="CCCCCC" w:sz="1"/>
              <w:right w:val="single" w:color="CCCCCC" w:sz="1"/>
            </w:tcBorders>
            <w:shd w:fill="1A3C6E" w:val="clear"/>
            <w:tcMar>
              <w:top w:type="dxa" w:w="40"/>
              <w:left w:type="dxa" w:w="80"/>
              <w:bottom w:type="dxa" w:w="40"/>
              <w:right w:type="dxa" w:w="80"/>
            </w:tcMar>
            <w:vAlign w:val="center"/>
          </w:tcPr>
          <w:p>
            <w:pPr>
              <w:spacing w:after="0" w:before="0"/>
            </w:pPr>
            <w:r>
              <w:rPr>
                <w:rFonts w:ascii="Arial" w:cs="Arial" w:eastAsia="Arial" w:hAnsi="Arial"/>
                <w:b/>
                <w:bCs/>
                <w:color w:val="FFFFFF"/>
                <w:sz w:val="16"/>
                <w:szCs w:val="16"/>
              </w:rPr>
              <w:t xml:space="preserve">Neobanks</w:t>
            </w:r>
          </w:p>
        </w:tc>
        <w:tc>
          <w:tcPr>
            <w:tcW w:type="dxa" w:w="1700"/>
            <w:tcBorders>
              <w:top w:val="single" w:color="CCCCCC" w:sz="1"/>
              <w:left w:val="single" w:color="CCCCCC" w:sz="1"/>
              <w:bottom w:val="single" w:color="CCCCCC" w:sz="1"/>
              <w:right w:val="single" w:color="CCCCCC" w:sz="1"/>
            </w:tcBorders>
            <w:shd w:fill="1A3C6E" w:val="clear"/>
            <w:tcMar>
              <w:top w:type="dxa" w:w="40"/>
              <w:left w:type="dxa" w:w="80"/>
              <w:bottom w:type="dxa" w:w="40"/>
              <w:right w:type="dxa" w:w="80"/>
            </w:tcMar>
            <w:vAlign w:val="center"/>
          </w:tcPr>
          <w:p>
            <w:pPr>
              <w:spacing w:after="0" w:before="0"/>
            </w:pPr>
            <w:r>
              <w:rPr>
                <w:rFonts w:ascii="Arial" w:cs="Arial" w:eastAsia="Arial" w:hAnsi="Arial"/>
                <w:b/>
                <w:bCs/>
                <w:color w:val="FFFFFF"/>
                <w:sz w:val="16"/>
                <w:szCs w:val="16"/>
              </w:rPr>
              <w:t xml:space="preserve">Fintechs</w:t>
            </w:r>
          </w:p>
        </w:tc>
        <w:tc>
          <w:tcPr>
            <w:tcW w:type="dxa" w:w="1100"/>
            <w:tcBorders>
              <w:top w:val="single" w:color="CCCCCC" w:sz="1"/>
              <w:left w:val="single" w:color="CCCCCC" w:sz="1"/>
              <w:bottom w:val="single" w:color="CCCCCC" w:sz="1"/>
              <w:right w:val="single" w:color="CCCCCC" w:sz="1"/>
            </w:tcBorders>
            <w:shd w:fill="1A3C6E" w:val="clear"/>
            <w:tcMar>
              <w:top w:type="dxa" w:w="40"/>
              <w:left w:type="dxa" w:w="80"/>
              <w:bottom w:type="dxa" w:w="40"/>
              <w:right w:type="dxa" w:w="80"/>
            </w:tcMar>
            <w:vAlign w:val="center"/>
          </w:tcPr>
          <w:p>
            <w:pPr>
              <w:spacing w:after="0" w:before="0"/>
            </w:pPr>
            <w:r>
              <w:rPr>
                <w:rFonts w:ascii="Arial" w:cs="Arial" w:eastAsia="Arial" w:hAnsi="Arial"/>
                <w:b/>
                <w:bCs/>
                <w:color w:val="FFFFFF"/>
                <w:sz w:val="16"/>
                <w:szCs w:val="16"/>
              </w:rPr>
              <w:t xml:space="preserve">Coverage</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Embedded credit (Dispo / working capital)</w:t>
            </w:r>
          </w:p>
        </w:tc>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All offer</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2/6 (N26 Schufa-dep., Kontist €50K via partner)</w:t>
            </w:r>
          </w:p>
        </w:tc>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1/3 (SumUp MCA only)</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7 of 14</w:t>
            </w:r>
          </w:p>
        </w:tc>
      </w:tr>
      <w:tr>
        <w:tc>
          <w:tcPr>
            <w:tcW w:type="dxa" w:w="24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Cash deposit facility</w:t>
            </w:r>
          </w:p>
        </w:tc>
        <w:tc>
          <w:tcPr>
            <w:tcW w:type="dxa" w:w="17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All offer</w:t>
            </w:r>
          </w:p>
        </w:tc>
        <w:tc>
          <w:tcPr>
            <w:tcW w:type="dxa" w:w="18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1/6 (N26 at 1.5% via retail)</w:t>
            </w:r>
          </w:p>
        </w:tc>
        <w:tc>
          <w:tcPr>
            <w:tcW w:type="dxa" w:w="17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0/3</w:t>
            </w:r>
          </w:p>
        </w:tc>
        <w:tc>
          <w:tcPr>
            <w:tcW w:type="dxa" w:w="11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5 of 14</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Native DATEV integration (real-time)</w:t>
            </w:r>
          </w:p>
        </w:tc>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0/4 (CSV export only)</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1/6 reliable (Finom export; N26 unreliable)</w:t>
            </w:r>
          </w:p>
        </w:tc>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1/3 native (Lexware)</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2 of 14</w:t>
            </w:r>
          </w:p>
        </w:tc>
      </w:tr>
      <w:tr>
        <w:tc>
          <w:tcPr>
            <w:tcW w:type="dxa" w:w="24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E-invoicing (ZUGFeRD / XRechnung)</w:t>
            </w:r>
          </w:p>
        </w:tc>
        <w:tc>
          <w:tcPr>
            <w:tcW w:type="dxa" w:w="17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0/4</w:t>
            </w:r>
          </w:p>
        </w:tc>
        <w:tc>
          <w:tcPr>
            <w:tcW w:type="dxa" w:w="18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2/6 (Holvi, Vivid)</w:t>
            </w:r>
          </w:p>
        </w:tc>
        <w:tc>
          <w:tcPr>
            <w:tcW w:type="dxa" w:w="17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2/3 (Lexware, Accountable)</w:t>
            </w:r>
          </w:p>
        </w:tc>
        <w:tc>
          <w:tcPr>
            <w:tcW w:type="dxa" w:w="11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4–5 of 14</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Integrated VAT / ELSTER filing</w:t>
            </w:r>
          </w:p>
        </w:tc>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0/4</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2/6 (Kontist UStVA, Vivid full)</w:t>
            </w:r>
          </w:p>
        </w:tc>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2/3 (Lexware, Accountable)</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4 of 14</w:t>
            </w:r>
          </w:p>
        </w:tc>
      </w:tr>
      <w:tr>
        <w:tc>
          <w:tcPr>
            <w:tcW w:type="dxa" w:w="24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Non-SEPA international transfers</w:t>
            </w:r>
          </w:p>
        </w:tc>
        <w:tc>
          <w:tcPr>
            <w:tcW w:type="dxa" w:w="17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3/4 (ING absent)</w:t>
            </w:r>
          </w:p>
        </w:tc>
        <w:tc>
          <w:tcPr>
            <w:tcW w:type="dxa" w:w="18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3/6 (Revolut, Finom, Vivid)</w:t>
            </w:r>
          </w:p>
        </w:tc>
        <w:tc>
          <w:tcPr>
            <w:tcW w:type="dxa" w:w="17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1/3 (PayPal at high cost)</w:t>
            </w:r>
          </w:p>
        </w:tc>
        <w:tc>
          <w:tcPr>
            <w:tcW w:type="dxa" w:w="11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7 of 14</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Payroll for first employee</w:t>
            </w:r>
          </w:p>
        </w:tc>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0/4</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0/6</w:t>
            </w:r>
          </w:p>
        </w:tc>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0/3</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0 of 14</w:t>
            </w:r>
          </w:p>
        </w:tc>
      </w:tr>
      <w:tr>
        <w:tc>
          <w:tcPr>
            <w:tcW w:type="dxa" w:w="24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Freiberufler-to-GmbH continuity</w:t>
            </w:r>
          </w:p>
        </w:tc>
        <w:tc>
          <w:tcPr>
            <w:tcW w:type="dxa" w:w="17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No guided transition</w:t>
            </w:r>
          </w:p>
        </w:tc>
        <w:tc>
          <w:tcPr>
            <w:tcW w:type="dxa" w:w="18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N26 personal-name only; Accountable excludes GmbH</w:t>
            </w:r>
          </w:p>
        </w:tc>
        <w:tc>
          <w:tcPr>
            <w:tcW w:type="dxa" w:w="17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Mixed</w:t>
            </w:r>
          </w:p>
        </w:tc>
        <w:tc>
          <w:tcPr>
            <w:tcW w:type="dxa" w:w="1100"/>
            <w:tcBorders>
              <w:top w:val="single" w:color="CCCCCC" w:sz="1"/>
              <w:left w:val="single" w:color="CCCCCC" w:sz="1"/>
              <w:bottom w:val="single" w:color="CCCCCC" w:sz="1"/>
              <w:right w:val="single" w:color="CCCCCC" w:sz="1"/>
            </w:tcBorders>
            <w:shd w:fill="E8EEF5" w:val="clear"/>
            <w:tcMar>
              <w:top w:type="dxa" w:w="40"/>
              <w:left w:type="dxa" w:w="80"/>
              <w:bottom w:type="dxa" w:w="40"/>
              <w:right w:type="dxa" w:w="80"/>
            </w:tcMar>
          </w:tcPr>
          <w:p>
            <w:pPr>
              <w:spacing w:after="0" w:before="0"/>
            </w:pPr>
            <w:r>
              <w:rPr>
                <w:rFonts w:ascii="Arial" w:cs="Arial" w:eastAsia="Arial" w:hAnsi="Arial"/>
                <w:sz w:val="15"/>
                <w:szCs w:val="15"/>
              </w:rPr>
              <w:t xml:space="preserve">0 of 14 as managed journey</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Multi-language full-parity onboarding</w:t>
            </w:r>
          </w:p>
        </w:tc>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0/4 (German only)</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1/6 partial (Revolut English)</w:t>
            </w:r>
          </w:p>
        </w:tc>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1/3 (Norman 7 langs, no banking)</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before="0"/>
            </w:pPr>
            <w:r>
              <w:rPr>
                <w:rFonts w:ascii="Arial" w:cs="Arial" w:eastAsia="Arial" w:hAnsi="Arial"/>
                <w:sz w:val="15"/>
                <w:szCs w:val="15"/>
              </w:rPr>
              <w:t xml:space="preserve">0 of 14 w/ full banking</w:t>
            </w:r>
          </w:p>
        </w:tc>
      </w:tr>
    </w:tbl>
    <w:p>
      <w:pPr>
        <w:pStyle w:val="Heading2"/>
        <w:spacing w:after="40" w:before="100"/>
      </w:pPr>
      <w:r>
        <w:rPr>
          <w:rFonts w:ascii="Arial" w:cs="Arial" w:eastAsia="Arial" w:hAnsi="Arial"/>
          <w:b/>
          <w:bCs/>
          <w:color w:val="1A3C6E"/>
          <w:sz w:val="20"/>
          <w:szCs w:val="20"/>
        </w:rPr>
        <w:t xml:space="preserve">4.2 Top Three Friction Points Faced by German Sole Proprietors Today</w:t>
      </w:r>
    </w:p>
    <w:p>
      <w:pPr>
        <w:spacing w:after="40" w:before="40"/>
      </w:pPr>
      <w:r>
        <w:rPr>
          <w:rFonts w:ascii="Arial" w:cs="Arial" w:eastAsia="Arial" w:hAnsi="Arial"/>
          <w:b w:val="false"/>
          <w:bCs w:val="false"/>
          <w:i w:val="false"/>
          <w:iCs w:val="false"/>
          <w:color w:val="333333"/>
          <w:sz w:val="18"/>
          <w:szCs w:val="18"/>
        </w:rPr>
        <w:t xml:space="preserve">Three friction points emerge consistently across KfW panel data, VGSD surveys, Freelancer-Kompass findings, and documented customer reviews aggregated in Tasks 1.1–1.3. Each is described from the perspective of the sole proprietor experiencing it.</w:t>
      </w:r>
    </w:p>
    <w:p>
      <w:pPr>
        <w:spacing w:after="10" w:before="40"/>
      </w:pPr>
      <w:r>
        <w:rPr>
          <w:rFonts w:ascii="Arial" w:cs="Arial" w:eastAsia="Arial" w:hAnsi="Arial"/>
          <w:b/>
          <w:bCs/>
          <w:i w:val="false"/>
          <w:iCs w:val="false"/>
          <w:color w:val="333333"/>
          <w:sz w:val="18"/>
          <w:szCs w:val="18"/>
        </w:rPr>
        <w:t xml:space="preserve">Friction 1: “I take cash from customers and I have nowhere to put it.”</w:t>
      </w:r>
    </w:p>
    <w:p>
      <w:pPr>
        <w:spacing w:after="40" w:before="40"/>
      </w:pPr>
      <w:r>
        <w:rPr>
          <w:rFonts w:ascii="Arial" w:cs="Arial" w:eastAsia="Arial" w:hAnsi="Arial"/>
          <w:b w:val="false"/>
          <w:bCs w:val="false"/>
          <w:i w:val="false"/>
          <w:iCs w:val="false"/>
          <w:color w:val="333333"/>
          <w:sz w:val="18"/>
          <w:szCs w:val="18"/>
        </w:rPr>
        <w:t xml:space="preserve">A Handwerker who completes a bathroom renovation receives €1,500 in cash. A café owner counts the register at end of day. A market vendor deposits weekly takings. Cash still accounts for 53% of German point-of-sale transactions by number (ECB SPACE 2024). For these sole proprietors, depositing cash into their business account is a routine operational necessity — not an edge case. Neobanks do not offer cash deposit facilities (with the exception of N26 at 1.5% fee via retail partners). Specialized fintechs offer zero cash handling. The documented consequence: sole proprietors in cash-handling occupations maintain an incumbent Geschäftskonto specifically for deposits, paying €5–€20/month for an account whose only function is accepting cash (Für-Gründer Geschäftskonto-Vergleich 2025). Comparison guides explicitly advise opening a second account at a Filialbank for cash deposits while running daily transactions through a cheaper online provider (firmenkonten24.de) — formalizing the dual-account pattern as an accepted workaround rather than a solved problem.</w:t>
      </w:r>
    </w:p>
    <w:p>
      <w:pPr>
        <w:spacing w:after="10" w:before="40"/>
      </w:pPr>
      <w:r>
        <w:rPr>
          <w:rFonts w:ascii="Arial" w:cs="Arial" w:eastAsia="Arial" w:hAnsi="Arial"/>
          <w:b/>
          <w:bCs/>
          <w:i w:val="false"/>
          <w:iCs w:val="false"/>
          <w:color w:val="333333"/>
          <w:sz w:val="18"/>
          <w:szCs w:val="18"/>
        </w:rPr>
        <w:t xml:space="preserve">Friction 2: “My client is 45 days late and my Krankenkasse won’t wait.”</w:t>
      </w:r>
    </w:p>
    <w:p>
      <w:pPr>
        <w:spacing w:after="40" w:before="40"/>
      </w:pPr>
      <w:r>
        <w:rPr>
          <w:rFonts w:ascii="Arial" w:cs="Arial" w:eastAsia="Arial" w:hAnsi="Arial"/>
          <w:b w:val="false"/>
          <w:bCs w:val="false"/>
          <w:i w:val="false"/>
          <w:iCs w:val="false"/>
          <w:color w:val="333333"/>
          <w:sz w:val="18"/>
          <w:szCs w:val="18"/>
        </w:rPr>
        <w:t xml:space="preserve">A project-based IT consultant invoices €6,000 in March. The client’s payment terms are 60 days. Meanwhile, quarterly health insurance, liability insurance, office rent, and the Umsatzsteuer-Voranmeldung are due via Lastschrift. This is not an unusual month — it is the structural reality of project-based self-employment, where payment terms of 30–90 days are standard. At a Sparkasse or Volksbank, the Dispo is available — at an average rate of 11.6–11.7% p.a. (konto.org, October 2025), with individual institutions charging up to 15.6%. At Deutsche Bank/FYRST, rates range from 8.0% to 14.0% depending on Kontomodell and creditworthiness (finanzvergleich.com 2026). At their neobank, there is no Dispo at all — only Kontist offers a small embedded credit line (€500–€3,000 via Solaris) and N26 a Schufa-dependent facility. No neobank offers revenue-based or transaction-data-underwritten credit. The consequence: the sole proprietor uses the incumbent’s Dispo because it is the only option available, reinforcing the Hausbank relationship regardless of neobank UX preference.</w:t>
      </w:r>
    </w:p>
    <w:p>
      <w:pPr>
        <w:spacing w:after="10" w:before="40"/>
      </w:pPr>
      <w:r>
        <w:rPr>
          <w:rFonts w:ascii="Arial" w:cs="Arial" w:eastAsia="Arial" w:hAnsi="Arial"/>
          <w:b/>
          <w:bCs/>
          <w:i w:val="false"/>
          <w:iCs w:val="false"/>
          <w:color w:val="333333"/>
          <w:sz w:val="18"/>
          <w:szCs w:val="18"/>
        </w:rPr>
        <w:t xml:space="preserve">Friction 3: “Every quarter I lose a weekend to Umsatzsteuer.”</w:t>
      </w:r>
    </w:p>
    <w:p>
      <w:pPr>
        <w:spacing w:after="40" w:before="40"/>
      </w:pPr>
      <w:r>
        <w:rPr>
          <w:rFonts w:ascii="Arial" w:cs="Arial" w:eastAsia="Arial" w:hAnsi="Arial"/>
          <w:b w:val="false"/>
          <w:bCs w:val="false"/>
          <w:i w:val="false"/>
          <w:iCs w:val="false"/>
          <w:color w:val="333333"/>
          <w:sz w:val="18"/>
          <w:szCs w:val="18"/>
        </w:rPr>
        <w:t xml:space="preserve">A freelance designer earns €8,000–€12,000/month across 4–6 clients. Every quarter, she must pull three months of bank statements, match each incoming payment to an invoice, categorize expenses by VAT rate (19% standard, 7% reduced), calculate the Umsatzsteuer-Voranmeldung, and either file through ELSTER herself or package everything for her Steuerberater — who charges approximately €200 per quarterly filing or €1,800–€2,500/year for the full relationship (Norman Finance 2026). Over 75% of Steuerberater clients still exchange documents via paper Pendelordner (BStBK STAX 2018). Solo self-employed spend 8.7% of their working time on bureaucracy — the highest of any business size class, equivalent to 11 hours/month (KfW Mittelstandspanel 2024/25 via VGSD). The Freelancer-Kompass 2026 reports that 52% of freelancers name Steuererklärungen and 42% name Buchhaltung as their most burdensome administrative tasks. Across the 14 players reviewed, only 4 (Kontist, Vivid, Lexware Office, Accountable) offer any form of integrated UStVA filing.</w:t>
      </w:r>
    </w:p>
    <w:p>
      <w:pPr>
        <w:pStyle w:val="Heading2"/>
        <w:spacing w:after="40" w:before="100"/>
      </w:pPr>
      <w:r>
        <w:rPr>
          <w:rFonts w:ascii="Arial" w:cs="Arial" w:eastAsia="Arial" w:hAnsi="Arial"/>
          <w:b/>
          <w:bCs/>
          <w:color w:val="1A3C6E"/>
          <w:sz w:val="20"/>
          <w:szCs w:val="20"/>
        </w:rPr>
        <w:t xml:space="preserve">4.3 The Cash Deposit Opportunity</w:t>
      </w:r>
    </w:p>
    <w:p>
      <w:pPr>
        <w:spacing w:after="10" w:before="40"/>
      </w:pPr>
      <w:r>
        <w:rPr>
          <w:rFonts w:ascii="Arial" w:cs="Arial" w:eastAsia="Arial" w:hAnsi="Arial"/>
          <w:b/>
          <w:bCs/>
          <w:i w:val="false"/>
          <w:iCs w:val="false"/>
          <w:color w:val="333333"/>
          <w:sz w:val="18"/>
          <w:szCs w:val="18"/>
        </w:rPr>
        <w:t xml:space="preserve">The wallet share gap.</w:t>
      </w:r>
    </w:p>
    <w:p>
      <w:pPr>
        <w:spacing w:after="40" w:before="40"/>
      </w:pPr>
      <w:r>
        <w:rPr>
          <w:rFonts w:ascii="Arial" w:cs="Arial" w:eastAsia="Arial" w:hAnsi="Arial"/>
          <w:b w:val="false"/>
          <w:bCs w:val="false"/>
          <w:i w:val="false"/>
          <w:iCs w:val="false"/>
          <w:color w:val="333333"/>
          <w:sz w:val="18"/>
          <w:szCs w:val="18"/>
        </w:rPr>
        <w:t xml:space="preserve">Qonto’s ~€42K turnover per customer against the segment average of ~€177K suggests approximately 24% wallet capture. The 76% flowing elsewhere goes primarily to incumbent Hausbanken — and for cash-handling businesses, it goes there because it physically has no alternative.</w:t>
      </w:r>
    </w:p>
    <w:p>
      <w:pPr>
        <w:spacing w:after="10" w:before="40"/>
      </w:pPr>
      <w:r>
        <w:rPr>
          <w:rFonts w:ascii="Arial" w:cs="Arial" w:eastAsia="Arial" w:hAnsi="Arial"/>
          <w:b/>
          <w:bCs/>
          <w:i w:val="false"/>
          <w:iCs w:val="false"/>
          <w:color w:val="333333"/>
          <w:sz w:val="18"/>
          <w:szCs w:val="18"/>
        </w:rPr>
        <w:t xml:space="preserve">Why cash deposits.</w:t>
      </w:r>
    </w:p>
    <w:p>
      <w:pPr>
        <w:pStyle w:val="ListParagraph"/>
        <w:numPr>
          <w:ilvl w:val="0"/>
          <w:numId w:val="2"/>
        </w:numPr>
        <w:spacing w:after="15" w:before="15"/>
      </w:pPr>
      <w:r>
        <w:rPr>
          <w:rFonts w:ascii="Arial" w:cs="Arial" w:eastAsia="Arial" w:hAnsi="Arial"/>
          <w:sz w:val="17"/>
          <w:szCs w:val="17"/>
        </w:rPr>
        <w:t xml:space="preserve">53% of German POS transactions are still cash (ECB SPACE 2024)</w:t>
      </w:r>
    </w:p>
    <w:p>
      <w:pPr>
        <w:pStyle w:val="ListParagraph"/>
        <w:numPr>
          <w:ilvl w:val="0"/>
          <w:numId w:val="2"/>
        </w:numPr>
        <w:spacing w:after="15" w:before="15"/>
      </w:pPr>
      <w:r>
        <w:rPr>
          <w:rFonts w:ascii="Arial" w:cs="Arial" w:eastAsia="Arial" w:hAnsi="Arial"/>
          <w:sz w:val="17"/>
          <w:szCs w:val="17"/>
        </w:rPr>
        <w:t xml:space="preserve">Construction (313K enterprises), retail (430K), and gastronomy (181K) represent ~35% of the 2.63M microenterprise TAM</w:t>
      </w:r>
    </w:p>
    <w:p>
      <w:pPr>
        <w:pStyle w:val="ListParagraph"/>
        <w:numPr>
          <w:ilvl w:val="0"/>
          <w:numId w:val="2"/>
        </w:numPr>
        <w:spacing w:after="15" w:before="15"/>
      </w:pPr>
      <w:r>
        <w:rPr>
          <w:rFonts w:ascii="Arial" w:cs="Arial" w:eastAsia="Arial" w:hAnsi="Arial"/>
          <w:sz w:val="17"/>
          <w:szCs w:val="17"/>
        </w:rPr>
        <w:t xml:space="preserve">0 neobanks and 0 specialized fintechs offer native cash deposit facilities</w:t>
      </w:r>
    </w:p>
    <w:p>
      <w:pPr>
        <w:pStyle w:val="ListParagraph"/>
        <w:numPr>
          <w:ilvl w:val="0"/>
          <w:numId w:val="2"/>
        </w:numPr>
        <w:spacing w:after="15" w:before="15"/>
      </w:pPr>
      <w:r>
        <w:rPr>
          <w:rFonts w:ascii="Arial" w:cs="Arial" w:eastAsia="Arial" w:hAnsi="Arial"/>
          <w:sz w:val="17"/>
          <w:szCs w:val="17"/>
        </w:rPr>
        <w:t xml:space="preserve">N26’s retail-partner model (1.5% fee, max €999/24h) is the only neobank workaround</w:t>
      </w:r>
    </w:p>
    <w:p>
      <w:pPr>
        <w:pStyle w:val="ListParagraph"/>
        <w:numPr>
          <w:ilvl w:val="0"/>
          <w:numId w:val="2"/>
        </w:numPr>
        <w:spacing w:after="15" w:before="15"/>
      </w:pPr>
      <w:r>
        <w:rPr>
          <w:rFonts w:ascii="Arial" w:cs="Arial" w:eastAsia="Arial" w:hAnsi="Arial"/>
          <w:sz w:val="17"/>
          <w:szCs w:val="17"/>
        </w:rPr>
        <w:t xml:space="preserve">Comparison guides explicitly advise sole proprietors to open a second account at a Filialbank for cash deposits (firmenkonten24.de, Gründerbank Stuttgart)</w:t>
      </w:r>
    </w:p>
    <w:p>
      <w:pPr>
        <w:pStyle w:val="ListParagraph"/>
        <w:numPr>
          <w:ilvl w:val="0"/>
          <w:numId w:val="2"/>
        </w:numPr>
        <w:spacing w:after="15" w:before="15"/>
      </w:pPr>
      <w:r>
        <w:rPr>
          <w:rFonts w:ascii="Arial" w:cs="Arial" w:eastAsia="Arial" w:hAnsi="Arial"/>
          <w:sz w:val="17"/>
          <w:szCs w:val="17"/>
        </w:rPr>
        <w:t xml:space="preserve">The dual-account pattern documented in Section 2 is sustained primarily by this single infrastructure gap</w:t>
      </w:r>
    </w:p>
    <w:p>
      <w:pPr>
        <w:spacing w:after="10" w:before="40"/>
      </w:pPr>
      <w:r>
        <w:rPr>
          <w:rFonts w:ascii="Arial" w:cs="Arial" w:eastAsia="Arial" w:hAnsi="Arial"/>
          <w:b/>
          <w:bCs/>
          <w:i w:val="false"/>
          <w:iCs w:val="false"/>
          <w:color w:val="333333"/>
          <w:sz w:val="18"/>
          <w:szCs w:val="18"/>
        </w:rPr>
        <w:t xml:space="preserve">Why this captures market share — not just wallet share.</w:t>
      </w:r>
    </w:p>
    <w:p>
      <w:pPr>
        <w:pStyle w:val="ListParagraph"/>
        <w:numPr>
          <w:ilvl w:val="0"/>
          <w:numId w:val="2"/>
        </w:numPr>
        <w:spacing w:after="15" w:before="15"/>
      </w:pPr>
      <w:r>
        <w:rPr>
          <w:rFonts w:ascii="Arial" w:cs="Arial" w:eastAsia="Arial" w:hAnsi="Arial"/>
          <w:sz w:val="17"/>
          <w:szCs w:val="17"/>
        </w:rPr>
        <w:t xml:space="preserve">Cash-handling sole proprietors currently cannot adopt a neobank as primary account — they are structurally excluded, not choosing to stay with incumbents</w:t>
      </w:r>
    </w:p>
    <w:p>
      <w:pPr>
        <w:pStyle w:val="ListParagraph"/>
        <w:numPr>
          <w:ilvl w:val="0"/>
          <w:numId w:val="2"/>
        </w:numPr>
        <w:spacing w:after="15" w:before="15"/>
      </w:pPr>
      <w:r>
        <w:rPr>
          <w:rFonts w:ascii="Arial" w:cs="Arial" w:eastAsia="Arial" w:hAnsi="Arial"/>
          <w:sz w:val="17"/>
          <w:szCs w:val="17"/>
        </w:rPr>
        <w:t xml:space="preserve">Solving cash deposits converts a segment that is currently non-addressable (~35% of TAM) into addressable</w:t>
      </w:r>
    </w:p>
    <w:p>
      <w:pPr>
        <w:pStyle w:val="ListParagraph"/>
        <w:numPr>
          <w:ilvl w:val="0"/>
          <w:numId w:val="2"/>
        </w:numPr>
        <w:spacing w:after="15" w:before="15"/>
      </w:pPr>
      <w:r>
        <w:rPr>
          <w:rFonts w:ascii="Arial" w:cs="Arial" w:eastAsia="Arial" w:hAnsi="Arial"/>
          <w:sz w:val="17"/>
          <w:szCs w:val="17"/>
        </w:rPr>
        <w:t xml:space="preserve">Every cash deposit is a new transaction on Qonto’s rails + a data point for underwriting + a reason to move Lastschrift mandates over</w:t>
      </w:r>
    </w:p>
    <w:p>
      <w:pPr>
        <w:pStyle w:val="ListParagraph"/>
        <w:numPr>
          <w:ilvl w:val="0"/>
          <w:numId w:val="2"/>
        </w:numPr>
        <w:spacing w:after="15" w:before="15"/>
      </w:pPr>
      <w:r>
        <w:rPr>
          <w:rFonts w:ascii="Arial" w:cs="Arial" w:eastAsia="Arial" w:hAnsi="Arial"/>
          <w:sz w:val="17"/>
          <w:szCs w:val="17"/>
        </w:rPr>
        <w:t xml:space="preserve">Incumbent branch networks are contracting (below 1,000 Sparkassen + Volksbanken for the first time in 2025) and raising fees — creating a switching trigger that a cash-enabled neobank can intercept</w:t>
      </w:r>
    </w:p>
    <w:p>
      <w:pPr>
        <w:spacing w:after="10" w:before="40"/>
      </w:pPr>
      <w:r>
        <w:rPr>
          <w:rFonts w:ascii="Arial" w:cs="Arial" w:eastAsia="Arial" w:hAnsi="Arial"/>
          <w:b/>
          <w:bCs/>
          <w:i w:val="false"/>
          <w:iCs w:val="false"/>
          <w:color w:val="333333"/>
          <w:sz w:val="18"/>
          <w:szCs w:val="18"/>
        </w:rPr>
        <w:t xml:space="preserve">Effort needed.</w:t>
      </w:r>
    </w:p>
    <w:p>
      <w:pPr>
        <w:spacing w:after="40" w:before="40"/>
      </w:pPr>
      <w:r>
        <w:rPr>
          <w:rFonts w:ascii="Arial" w:cs="Arial" w:eastAsia="Arial" w:hAnsi="Arial"/>
          <w:b w:val="false"/>
          <w:bCs w:val="false"/>
          <w:i w:val="false"/>
          <w:iCs w:val="false"/>
          <w:color w:val="333333"/>
          <w:sz w:val="18"/>
          <w:szCs w:val="18"/>
        </w:rPr>
        <w:t xml:space="preserve">Cash deposit infrastructure is not a product build — it is a partnership negotiation. The model is proven in Germany: N26 deposits cash via REWE, Penny, dm, and Rossmann; ING launched a retail cash service across 12,500+ partner locations in 2024. Neither built physical infrastructure — both contracted existing retail networks. The challenge is commercial (fee structure, settlement terms, minimum volumes) rather than technical or regulatory. No banking licence change is required. The capability is unorthodox for a neobank — none has made it a strategic priority — but the playbook exists and the retail partner infrastructure is already live in the German market.</w:t>
      </w:r>
    </w:p>
    <w:p>
      <w:pPr>
        <w:pBdr>
          <w:bottom w:val="single" w:color="2E75B6" w:sz="3" w:space="1"/>
        </w:pBdr>
        <w:spacing w:after="30" w:before="30"/>
      </w:pPr>
    </w:p>
    <w:p>
      <w:pPr>
        <w:spacing w:after="10" w:before="40"/>
      </w:pPr>
      <w:r>
        <w:rPr>
          <w:rFonts w:ascii="Arial" w:cs="Arial" w:eastAsia="Arial" w:hAnsi="Arial"/>
          <w:b/>
          <w:bCs/>
          <w:i w:val="false"/>
          <w:iCs w:val="false"/>
          <w:color w:val="555555"/>
          <w:sz w:val="16"/>
          <w:szCs w:val="16"/>
        </w:rPr>
        <w:t xml:space="preserve">Sources and citations:</w:t>
      </w:r>
    </w:p>
    <w:p>
      <w:pPr>
        <w:spacing w:after="40" w:before="40"/>
      </w:pPr>
      <w:r>
        <w:rPr>
          <w:rFonts w:ascii="Arial" w:cs="Arial" w:eastAsia="Arial" w:hAnsi="Arial"/>
          <w:b w:val="false"/>
          <w:bCs w:val="false"/>
          <w:i/>
          <w:iCs/>
          <w:color w:val="888888"/>
          <w:sz w:val="14"/>
          <w:szCs w:val="14"/>
        </w:rPr>
        <w:t xml:space="preserve">[1] Freelancer-Kompass 2025, freelancermap, n=3,210, Jan–Feb 2025. freelancermap.de/marktstudie  [2] Freelancer-Studie 2025, freelance.de, n=2,851, Jan–Mar 2025. Via VGSD.  [3] KfW Gründungsmonitor 2025, n=60,000, June 2025.  [4] IW Köln/VGSD/BAGSV survey, n=6,300, Jul–Sep 2023, published June 2024.  [5] KfW Mittelstandspanel 2024/25, n=13,079. Via VGSD.  [6] KfW Nachfolge-Monitoring Mittelstand 2024.  [7] Stripe: Self-employment in Germany’s skilled trades, Oct 2024.  [8] Bitkom/ZDH: Digitalisierung im Handwerk, 2022.  [9] ZDH survey on payment systems in skilled trades, 2025.  [10] Osthaven/S-Payment/EHI Retail Institute: Germany Pays Digitally, Apr 2025.  [11] Stripe: Opening a business account in Germany, Nov 2025.  [12] konto.org: Sparkasse/Volksbank overdraft rates, Oct 2025.  [13] Bertelsmann Stiftung/Prognos AG: Migrantenunternehmen in Deutschland 2005–2018, 2021.  [14] BAMF Migrationsbericht 2023, published 2024.  [15] GIROMATCH: Credit Score in Germany — What Expats Need to Know, 2026.  [16] Polychronopoulos et al.: Migrant entrepreneurship support in Europe, F1000Research, 2024.</w:t>
      </w:r>
    </w:p>
    <w:p>
      <w:pPr>
        <w:spacing w:after="40" w:before="40"/>
      </w:pPr>
      <w:r>
        <w:rPr>
          <w:rFonts w:ascii="Arial" w:cs="Arial" w:eastAsia="Arial" w:hAnsi="Arial"/>
          <w:b w:val="false"/>
          <w:bCs w:val="false"/>
          <w:i/>
          <w:iCs/>
          <w:color w:val="888888"/>
          <w:sz w:val="14"/>
          <w:szCs w:val="14"/>
        </w:rPr>
        <w:t xml:space="preserve">Companion research: Task 1.1 (Incumbent Banks, 5 players, 30+ sources), Task 1.2 (Neobanks Group A, 6 players, 24+ sources), Task 1.3 (Specialized Fintechs, 7 players, 159+ sources). Additional data: ECB SPACE 2024, UK Finance 2024, Bundesbank Zahlungsverhalten 2023, Bain NPS Prism 2023, BStBK STAX 2018, IfM Bonn NUI Regionenranking 2024, Creditreform Insolvenzstatistik 2025, Bitkom Digital Finance 2025, VGSD Selbstständigen-Report 2024, Norman Finance 2026, Accountable 2026.</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140"/>
      <w:outlineLvl w:val="0"/>
    </w:pPr>
    <w:rPr>
      <w:rFonts w:ascii="Arial" w:cs="Arial" w:eastAsia="Arial" w:hAnsi="Arial"/>
      <w:b/>
      <w:bCs/>
      <w:color w:val="1A3C6E"/>
      <w:sz w:val="24"/>
      <w:szCs w:val="24"/>
    </w:rPr>
  </w:style>
  <w:style w:type="paragraph" w:styleId="Heading2">
    <w:name w:val="Heading 2"/>
    <w:basedOn w:val="Normal"/>
    <w:next w:val="Normal"/>
    <w:qFormat/>
    <w:pPr>
      <w:spacing w:after="40" w:before="100"/>
      <w:outlineLvl w:val="1"/>
    </w:pPr>
    <w:rPr>
      <w:rFonts w:ascii="Arial" w:cs="Arial" w:eastAsia="Arial" w:hAnsi="Arial"/>
      <w:b/>
      <w:bCs/>
      <w:color w:val="1A3C6E"/>
      <w:sz w:val="20"/>
      <w:szCs w:val="20"/>
    </w:rPr>
  </w:style>
  <w:style w:type="paragraph" w:styleId="Heading3">
    <w:name w:val="Heading 3"/>
    <w:basedOn w:val="Normal"/>
    <w:next w:val="Normal"/>
    <w:qFormat/>
    <w:pPr>
      <w:spacing w:after="30" w:before="80"/>
      <w:outlineLvl w:val="2"/>
    </w:pPr>
    <w:rPr>
      <w:rFonts w:ascii="Arial" w:cs="Arial" w:eastAsia="Arial" w:hAnsi="Arial"/>
      <w:b/>
      <w:bCs/>
      <w:color w:val="1A3C6E"/>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2026-05-04T10:25:30.942Z</dcterms:created>
  <dcterms:modified xsi:type="dcterms:W3CDTF">2026-05-04T10:25:30.958Z</dcterms:modified>
</cp:coreProperties>
</file>

<file path=docProps/custom.xml><?xml version="1.0" encoding="utf-8"?>
<Properties xmlns="http://schemas.openxmlformats.org/officeDocument/2006/custom-properties" xmlns:vt="http://schemas.openxmlformats.org/officeDocument/2006/docPropsVTypes"/>
</file>