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sz w:val="40"/>
          <w:szCs w:val="40"/>
        </w:rPr>
        <w:t xml:space="preserve">German Incumbent Banks for Sole Proprietors and Microbusinesses: A Research Overview</w:t>
      </w:r>
    </w:p>
    <w:p>
      <w:pPr>
        <w:spacing w:after="80"/>
      </w:pPr>
      <w:r>
        <w:rPr>
          <w:rFonts w:ascii="Arial" w:cs="Arial" w:eastAsia="Arial" w:hAnsi="Arial"/>
          <w:i/>
          <w:iCs/>
          <w:color w:val="666666"/>
          <w:sz w:val="22"/>
          <w:szCs w:val="22"/>
        </w:rPr>
        <w:t xml:space="preserve">Task 1.1 — Qonto Market Product Owner Case Study (Germany)</w:t>
      </w:r>
    </w:p>
    <w:p>
      <w:pPr>
        <w:spacing w:after="320"/>
      </w:pPr>
      <w:r>
        <w:rPr>
          <w:rFonts w:ascii="Arial" w:cs="Arial" w:eastAsia="Arial" w:hAnsi="Arial"/>
          <w:i/>
          <w:iCs/>
          <w:color w:val="666666"/>
          <w:sz w:val="22"/>
          <w:szCs w:val="22"/>
        </w:rPr>
        <w:t xml:space="preserve">Segment: Freiberufler, Einzelunternehmer, and microbusinesses with 1–3 employees</w:t>
      </w:r>
    </w:p>
    <w:p>
      <w:pPr>
        <w:pBdr>
          <w:bottom w:val="single" w:color="CCCCCC" w:sz="6" w:space="1"/>
        </w:pBdr>
        <w:spacing w:after="200" w:before="200"/>
      </w:pPr>
    </w:p>
    <w:p>
      <w:pPr>
        <w:pStyle w:val="Heading1"/>
        <w:spacing w:after="160" w:before="360"/>
      </w:pPr>
      <w:r>
        <w:rPr>
          <w:rFonts w:ascii="Arial" w:cs="Arial" w:eastAsia="Arial" w:hAnsi="Arial"/>
          <w:b/>
          <w:bCs/>
          <w:sz w:val="32"/>
          <w:szCs w:val="32"/>
        </w:rPr>
        <w:t xml:space="preserve">Scope and Research Questions</w:t>
      </w:r>
    </w:p>
    <w:p>
      <w:pPr>
        <w:spacing w:after="160"/>
      </w:pPr>
      <w:r>
        <w:rPr>
          <w:rFonts w:ascii="Arial" w:cs="Arial" w:eastAsia="Arial" w:hAnsi="Arial"/>
          <w:sz w:val="24"/>
          <w:szCs w:val="24"/>
        </w:rPr>
        <w:t xml:space="preserve">This document examines incumbent banks operating in Germany as they pertain to a specific customer segment: self-employed individuals (Freiberufler, Einzelunternehmer), sole proprietors (Kleingewerbe), and microbusinesses with one to three employees. The document addresses five research questions: (1) who are the key incumbent players, (2) what is their operational model, (3) what are their value propositions and competitive advantages, (4) what does customer experience look like in practice, and (5) where do gaps in customer experience and value propositions exist.</w:t>
      </w:r>
    </w:p>
    <w:p>
      <w:pPr>
        <w:pBdr>
          <w:bottom w:val="single" w:color="CCCCCC" w:sz="6" w:space="1"/>
        </w:pBdr>
        <w:spacing w:after="200" w:before="200"/>
      </w:pPr>
    </w:p>
    <w:p>
      <w:pPr>
        <w:pStyle w:val="Heading1"/>
        <w:spacing w:after="160" w:before="360"/>
      </w:pPr>
      <w:r>
        <w:rPr>
          <w:rFonts w:ascii="Arial" w:cs="Arial" w:eastAsia="Arial" w:hAnsi="Arial"/>
          <w:b/>
          <w:bCs/>
          <w:sz w:val="32"/>
          <w:szCs w:val="32"/>
        </w:rPr>
        <w:t xml:space="preserve">1. Key Incumbent Players</w:t>
      </w:r>
    </w:p>
    <w:p>
      <w:pPr>
        <w:spacing w:after="160"/>
      </w:pPr>
      <w:r>
        <w:rPr>
          <w:rFonts w:ascii="Arial" w:cs="Arial" w:eastAsia="Arial" w:hAnsi="Arial"/>
          <w:sz w:val="24"/>
          <w:szCs w:val="24"/>
        </w:rPr>
        <w:t>Germany maintains what is formally described as a “three-pillar banking system,” comprising private commercial banks, public-sector savings banks, and cooperative banks.</w:t>
      </w:r>
      <w:r>
        <w:rPr>
          <w:rFonts w:ascii="Arial" w:cs="Arial" w:eastAsia="Arial" w:hAnsi="Arial"/>
          <w:sz w:val="18"/>
          <w:szCs w:val="18"/>
          <w:vertAlign w:val="superscript"/>
        </w:rPr>
        <w:t xml:space="preserve">[1]</w:t>
      </w:r>
      <w:r>
        <w:rPr>
          <w:rFonts w:ascii="Arial" w:cs="Arial" w:eastAsia="Arial" w:hAnsi="Arial"/>
          <w:sz w:val="24"/>
          <w:szCs w:val="24"/>
        </w:rPr>
        <w:t xml:space="preserve"> For the sole proprietor and microbusiness segment specifically, the most relevant institutions are Sparkasse (savings bank network), Volksbank/Raiffeisenbank (cooperative network), Commerzbank, Deutsche Bank — the latter two primarily through their dedicated sub-offerings for smaller business customers — and ING Germany, which entered the business banking segment in late 2024 as the country’s largest direct bank.</w:t>
      </w:r>
    </w:p>
    <w:p>
      <w:pPr>
        <w:pBdr>
          <w:bottom w:val="single" w:color="CCCCCC" w:sz="6" w:space="1"/>
        </w:pBdr>
        <w:spacing w:after="200" w:before="200"/>
      </w:pPr>
    </w:p>
    <w:p>
      <w:pPr>
        <w:pStyle w:val="Heading1"/>
        <w:spacing w:after="160" w:before="360"/>
      </w:pPr>
      <w:r>
        <w:rPr>
          <w:rFonts w:ascii="Arial" w:cs="Arial" w:eastAsia="Arial" w:hAnsi="Arial"/>
          <w:b/>
          <w:bCs/>
          <w:sz w:val="32"/>
          <w:szCs w:val="32"/>
        </w:rPr>
        <w:t xml:space="preserve">2. Operational Models</w:t>
      </w:r>
    </w:p>
    <w:p>
      <w:pPr>
        <w:pStyle w:val="Heading2"/>
        <w:spacing w:after="100" w:before="240"/>
      </w:pPr>
      <w:r>
        <w:rPr>
          <w:rFonts w:ascii="Arial" w:cs="Arial" w:eastAsia="Arial" w:hAnsi="Arial"/>
          <w:b/>
          <w:bCs/>
          <w:sz w:val="28"/>
          <w:szCs w:val="28"/>
        </w:rPr>
        <w:t xml:space="preserve">Sparkasse</w:t>
      </w:r>
    </w:p>
    <w:p>
      <w:pPr>
        <w:spacing w:after="160"/>
      </w:pPr>
      <w:r>
        <w:rPr>
          <w:rFonts w:ascii="Arial" w:cs="Arial" w:eastAsia="Arial" w:hAnsi="Arial"/>
          <w:sz w:val="24"/>
          <w:szCs w:val="24"/>
        </w:rPr>
        <w:t xml:space="preserve">Sparkasse operates as a decentralised network of approximately 370 legally independent regional savings banks unified under the umbrella of the Deutscher Sparkassen- und Giroverband (DSGV).</w:t>
      </w:r>
      <w:r>
        <w:rPr>
          <w:rFonts w:ascii="Arial" w:cs="Arial" w:eastAsia="Arial" w:hAnsi="Arial"/>
          <w:sz w:val="18"/>
          <w:szCs w:val="18"/>
          <w:vertAlign w:val="superscript"/>
        </w:rPr>
        <w:t xml:space="preserve">[2]</w:t>
      </w:r>
      <w:r>
        <w:rPr>
          <w:rFonts w:ascii="Arial" w:cs="Arial" w:eastAsia="Arial" w:hAnsi="Arial"/>
          <w:sz w:val="24"/>
          <w:szCs w:val="24"/>
        </w:rPr>
        <w:t xml:space="preserve"> Each regional institution sets its own fees and product terms independently, resulting in significant variation across Germany.</w:t>
      </w:r>
      <w:r>
        <w:rPr>
          <w:rFonts w:ascii="Arial" w:cs="Arial" w:eastAsia="Arial" w:hAnsi="Arial"/>
          <w:sz w:val="18"/>
          <w:szCs w:val="18"/>
          <w:vertAlign w:val="superscript"/>
        </w:rPr>
        <w:t xml:space="preserve">[3]</w:t>
      </w:r>
      <w:r>
        <w:rPr>
          <w:rFonts w:ascii="Arial" w:cs="Arial" w:eastAsia="Arial" w:hAnsi="Arial"/>
          <w:sz w:val="24"/>
          <w:szCs w:val="24"/>
        </w:rPr>
        <w:t xml:space="preserve"> The network operates under a public mandate that includes a statutory obligation to provide banking services and financing to all customer groups, including sole proprietors and small businesses.</w:t>
      </w:r>
      <w:r>
        <w:rPr>
          <w:rFonts w:ascii="Arial" w:cs="Arial" w:eastAsia="Arial" w:hAnsi="Arial"/>
          <w:sz w:val="18"/>
          <w:szCs w:val="18"/>
          <w:vertAlign w:val="superscript"/>
        </w:rPr>
        <w:t xml:space="preserve">[4]</w:t>
      </w:r>
    </w:p>
    <w:p>
      <w:pPr>
        <w:pStyle w:val="Heading2"/>
        <w:spacing w:after="100" w:before="240"/>
      </w:pPr>
      <w:r>
        <w:rPr>
          <w:rFonts w:ascii="Arial" w:cs="Arial" w:eastAsia="Arial" w:hAnsi="Arial"/>
          <w:b/>
          <w:bCs/>
          <w:sz w:val="28"/>
          <w:szCs w:val="28"/>
        </w:rPr>
        <w:t xml:space="preserve">Volksbank/Raiffeisenbank</w:t>
      </w:r>
    </w:p>
    <w:p>
      <w:pPr>
        <w:spacing w:after="160"/>
      </w:pPr>
      <w:r>
        <w:rPr>
          <w:rFonts w:ascii="Arial" w:cs="Arial" w:eastAsia="Arial" w:hAnsi="Arial"/>
          <w:sz w:val="24"/>
          <w:szCs w:val="24"/>
        </w:rPr>
        <w:t xml:space="preserve">Volksbank/Raiffeisenbank operates as a cooperative financial network of approximately 659 independent member-owned institutions as of 2024, with total assets of €1.64 trillion.</w:t>
      </w:r>
      <w:r>
        <w:rPr>
          <w:rFonts w:ascii="Arial" w:cs="Arial" w:eastAsia="Arial" w:hAnsi="Arial"/>
          <w:sz w:val="18"/>
          <w:szCs w:val="18"/>
          <w:vertAlign w:val="superscript"/>
        </w:rPr>
        <w:t xml:space="preserve">[5]</w:t>
      </w:r>
      <w:r>
        <w:rPr>
          <w:rFonts w:ascii="Arial" w:cs="Arial" w:eastAsia="Arial" w:hAnsi="Arial"/>
          <w:sz w:val="24"/>
          <w:szCs w:val="24"/>
        </w:rPr>
        <w:t xml:space="preserve"> The network is coordinated through DZ Bank as its central institution.</w:t>
      </w:r>
      <w:r>
        <w:rPr>
          <w:rFonts w:ascii="Arial" w:cs="Arial" w:eastAsia="Arial" w:hAnsi="Arial"/>
          <w:sz w:val="18"/>
          <w:szCs w:val="18"/>
          <w:vertAlign w:val="superscript"/>
        </w:rPr>
        <w:t xml:space="preserve">[6]</w:t>
      </w:r>
      <w:r>
        <w:rPr>
          <w:rFonts w:ascii="Arial" w:cs="Arial" w:eastAsia="Arial" w:hAnsi="Arial"/>
          <w:sz w:val="24"/>
          <w:szCs w:val="24"/>
        </w:rPr>
        <w:t xml:space="preserve"> Like Sparkasse, each local Volksbank sets its own product terms. Account opening is conducted exclusively in person at a branch; no online account opening option is available.</w:t>
      </w:r>
      <w:r>
        <w:rPr>
          <w:rFonts w:ascii="Arial" w:cs="Arial" w:eastAsia="Arial" w:hAnsi="Arial"/>
          <w:sz w:val="18"/>
          <w:szCs w:val="18"/>
          <w:vertAlign w:val="superscript"/>
        </w:rPr>
        <w:t xml:space="preserve">[7]</w:t>
      </w:r>
      <w:r>
        <w:rPr>
          <w:rFonts w:ascii="Arial" w:cs="Arial" w:eastAsia="Arial" w:hAnsi="Arial"/>
          <w:sz w:val="24"/>
          <w:szCs w:val="24"/>
        </w:rPr>
        <w:t xml:space="preserve"> The cooperative model was historically developed as a self-help organisation for craftspeople and small business owners, and the network continues to position itself as a partner specifically for the Mittelstand and sole proprietors.</w:t>
      </w:r>
      <w:r>
        <w:rPr>
          <w:rFonts w:ascii="Arial" w:cs="Arial" w:eastAsia="Arial" w:hAnsi="Arial"/>
          <w:sz w:val="18"/>
          <w:szCs w:val="18"/>
          <w:vertAlign w:val="superscript"/>
        </w:rPr>
        <w:t xml:space="preserve">[8]</w:t>
      </w:r>
    </w:p>
    <w:p>
      <w:pPr>
        <w:pStyle w:val="Heading2"/>
        <w:spacing w:after="100" w:before="240"/>
      </w:pPr>
      <w:r>
        <w:rPr>
          <w:rFonts w:ascii="Arial" w:cs="Arial" w:eastAsia="Arial" w:hAnsi="Arial"/>
          <w:b/>
          <w:bCs/>
          <w:sz w:val="28"/>
          <w:szCs w:val="28"/>
        </w:rPr>
        <w:t xml:space="preserve">Commerzbank</w:t>
      </w:r>
    </w:p>
    <w:p>
      <w:pPr>
        <w:spacing w:after="160"/>
      </w:pPr>
      <w:r>
        <w:rPr>
          <w:rFonts w:ascii="Arial" w:cs="Arial" w:eastAsia="Arial" w:hAnsi="Arial"/>
          <w:sz w:val="24"/>
          <w:szCs w:val="24"/>
        </w:rPr>
        <w:t xml:space="preserve">Commerzbank operates as a private commercial bank with approximately 30,000 corporate clients and 11 million private and small-business customers in Germany.</w:t>
      </w:r>
      <w:r>
        <w:rPr>
          <w:rFonts w:ascii="Arial" w:cs="Arial" w:eastAsia="Arial" w:hAnsi="Arial"/>
          <w:sz w:val="18"/>
          <w:szCs w:val="18"/>
          <w:vertAlign w:val="superscript"/>
        </w:rPr>
        <w:t xml:space="preserve">[9]</w:t>
      </w:r>
      <w:r>
        <w:rPr>
          <w:rFonts w:ascii="Arial" w:cs="Arial" w:eastAsia="Arial" w:hAnsi="Arial"/>
          <w:sz w:val="24"/>
          <w:szCs w:val="24"/>
        </w:rPr>
        <w:t xml:space="preserve"> It offers three Geschäftskonto tiers for business customers: Klassik (€15.90/month), Premium (€34.90/month, with an introductory rate of €8.90/month for the first 24 months), and PremiumPlus (€54.90/month).</w:t>
      </w:r>
      <w:r>
        <w:rPr>
          <w:rFonts w:ascii="Arial" w:cs="Arial" w:eastAsia="Arial" w:hAnsi="Arial"/>
          <w:sz w:val="18"/>
          <w:szCs w:val="18"/>
          <w:vertAlign w:val="superscript"/>
        </w:rPr>
        <w:t xml:space="preserve">[10]</w:t>
      </w:r>
      <w:r>
        <w:rPr>
          <w:rFonts w:ascii="Arial" w:cs="Arial" w:eastAsia="Arial" w:hAnsi="Arial"/>
          <w:sz w:val="24"/>
          <w:szCs w:val="24"/>
        </w:rPr>
        <w:t xml:space="preserve"> The bank has undergone a digital transformation programme, with over 90% of customer contacts now occurring digitally and more than 50% of product sales concluded via digital channels.</w:t>
      </w:r>
      <w:r>
        <w:rPr>
          <w:rFonts w:ascii="Arial" w:cs="Arial" w:eastAsia="Arial" w:hAnsi="Arial"/>
          <w:sz w:val="18"/>
          <w:szCs w:val="18"/>
          <w:vertAlign w:val="superscript"/>
        </w:rPr>
        <w:t xml:space="preserve">[11]</w:t>
      </w:r>
      <w:r>
        <w:rPr>
          <w:rFonts w:ascii="Arial" w:cs="Arial" w:eastAsia="Arial" w:hAnsi="Arial"/>
          <w:sz w:val="24"/>
          <w:szCs w:val="24"/>
        </w:rPr>
        <w:t xml:space="preserve"> For smaller firms, Commerzbank no longer assigns a dedicated personal advisor, replacing this with a shared business advisory centre.</w:t>
      </w:r>
      <w:r>
        <w:rPr>
          <w:rFonts w:ascii="Arial" w:cs="Arial" w:eastAsia="Arial" w:hAnsi="Arial"/>
          <w:sz w:val="18"/>
          <w:szCs w:val="18"/>
          <w:vertAlign w:val="superscript"/>
        </w:rPr>
        <w:t xml:space="preserve">[12]</w:t>
      </w:r>
    </w:p>
    <w:p>
      <w:pPr>
        <w:pStyle w:val="Heading2"/>
        <w:spacing w:after="100" w:before="240"/>
      </w:pPr>
      <w:r>
        <w:rPr>
          <w:rFonts w:ascii="Arial" w:cs="Arial" w:eastAsia="Arial" w:hAnsi="Arial"/>
          <w:b/>
          <w:bCs/>
          <w:sz w:val="28"/>
          <w:szCs w:val="28"/>
        </w:rPr>
        <w:t xml:space="preserve">Deutsche Bank / FYRST</w:t>
      </w:r>
    </w:p>
    <w:p>
      <w:pPr>
        <w:spacing w:after="160"/>
      </w:pPr>
      <w:r>
        <w:rPr>
          <w:rFonts w:ascii="Arial" w:cs="Arial" w:eastAsia="Arial" w:hAnsi="Arial"/>
          <w:sz w:val="24"/>
          <w:szCs w:val="24"/>
        </w:rPr>
        <w:t xml:space="preserve">Deutsche Bank operates through its main brand as well as FYRST, a digital sub-brand created specifically for Freiberufler and sole proprietors.</w:t>
      </w:r>
      <w:r>
        <w:rPr>
          <w:rFonts w:ascii="Arial" w:cs="Arial" w:eastAsia="Arial" w:hAnsi="Arial"/>
          <w:sz w:val="18"/>
          <w:szCs w:val="18"/>
          <w:vertAlign w:val="superscript"/>
        </w:rPr>
        <w:t xml:space="preserve">[13]</w:t>
      </w:r>
      <w:r>
        <w:rPr>
          <w:rFonts w:ascii="Arial" w:cs="Arial" w:eastAsia="Arial" w:hAnsi="Arial"/>
          <w:sz w:val="24"/>
          <w:szCs w:val="24"/>
        </w:rPr>
        <w:t xml:space="preserve"> FYRST offers two tiers: BASE at €0/month (available exclusively to sole proprietors and Freiberufler) and COMPLETE at €10/month.</w:t>
      </w:r>
      <w:r>
        <w:rPr>
          <w:rFonts w:ascii="Arial" w:cs="Arial" w:eastAsia="Arial" w:hAnsi="Arial"/>
          <w:sz w:val="18"/>
          <w:szCs w:val="18"/>
          <w:vertAlign w:val="superscript"/>
        </w:rPr>
        <w:t xml:space="preserve">[14]</w:t>
      </w:r>
      <w:r>
        <w:rPr>
          <w:rFonts w:ascii="Arial" w:cs="Arial" w:eastAsia="Arial" w:hAnsi="Arial"/>
          <w:sz w:val="24"/>
          <w:szCs w:val="24"/>
        </w:rPr>
        <w:t xml:space="preserve"> Deutsche Bank positions itself broadly under the concept of the “Global Hausbank” — the trusted long-term financial partner for German businesses including the self-employed.</w:t>
      </w:r>
      <w:r>
        <w:rPr>
          <w:rFonts w:ascii="Arial" w:cs="Arial" w:eastAsia="Arial" w:hAnsi="Arial"/>
          <w:sz w:val="18"/>
          <w:szCs w:val="18"/>
          <w:vertAlign w:val="superscript"/>
        </w:rPr>
        <w:t xml:space="preserve">[15]</w:t>
      </w:r>
    </w:p>
    <w:p>
      <w:pPr>
        <w:pStyle w:val="Heading2"/>
        <w:spacing w:after="100" w:before="240"/>
      </w:pPr>
      <w:r>
        <w:rPr>
          <w:rFonts w:ascii="Arial" w:cs="Arial" w:eastAsia="Arial" w:hAnsi="Arial"/>
          <w:b/>
          <w:bCs/>
          <w:sz w:val="28"/>
          <w:szCs w:val="28"/>
        </w:rPr>
        <w:t xml:space="preserve">ING Germany</w:t>
      </w:r>
    </w:p>
    <w:p>
      <w:pPr>
        <w:spacing w:after="160"/>
      </w:pPr>
      <w:r>
        <w:rPr>
          <w:rFonts w:ascii="Arial" w:cs="Arial" w:eastAsia="Arial" w:hAnsi="Arial"/>
          <w:sz w:val="24"/>
          <w:szCs w:val="24"/>
        </w:rPr>
        <w:t xml:space="preserve">ING Germany operates as a direct bank with no branch network and is the largest direct bank in Germany by customer count, serving over 9 million private customers.</w:t>
      </w:r>
      <w:r>
        <w:rPr>
          <w:rFonts w:ascii="Arial" w:cs="Arial" w:eastAsia="Arial" w:hAnsi="Arial"/>
          <w:sz w:val="18"/>
          <w:szCs w:val="18"/>
          <w:vertAlign w:val="superscript"/>
        </w:rPr>
        <w:t xml:space="preserve">[58]</w:t>
      </w:r>
      <w:r>
        <w:rPr>
          <w:rFonts w:ascii="Arial" w:cs="Arial" w:eastAsia="Arial" w:hAnsi="Arial"/>
          <w:sz w:val="24"/>
          <w:szCs w:val="24"/>
        </w:rPr>
        <w:t xml:space="preserve"> It holds a full German banking licence regulated by BaFin. Its Geschäftskonto was introduced on 30 September 2024, representing a deliberate strategic expansion into business banking as a “third pillar” alongside its existing private and wholesale customer segments.</w:t>
      </w:r>
      <w:r>
        <w:rPr>
          <w:rFonts w:ascii="Arial" w:cs="Arial" w:eastAsia="Arial" w:hAnsi="Arial"/>
          <w:sz w:val="18"/>
          <w:szCs w:val="18"/>
          <w:vertAlign w:val="superscript"/>
        </w:rPr>
        <w:t xml:space="preserve">[59]</w:t>
      </w:r>
      <w:r>
        <w:rPr>
          <w:rFonts w:ascii="Arial" w:cs="Arial" w:eastAsia="Arial" w:hAnsi="Arial"/>
          <w:sz w:val="24"/>
          <w:szCs w:val="24"/>
        </w:rPr>
        <w:t xml:space="preserve"> The Business Banking segment targets Selbständige, Freiberufler, and SMEs with annual revenues up to €50 million. Account opening is fully digital and takes approximately 20 minutes.</w:t>
      </w:r>
      <w:r>
        <w:rPr>
          <w:rFonts w:ascii="Arial" w:cs="Arial" w:eastAsia="Arial" w:hAnsi="Arial"/>
          <w:sz w:val="18"/>
          <w:szCs w:val="18"/>
          <w:vertAlign w:val="superscript"/>
        </w:rPr>
        <w:t xml:space="preserve">[60]</w:t>
      </w:r>
      <w:r>
        <w:rPr>
          <w:rFonts w:ascii="Arial" w:cs="Arial" w:eastAsia="Arial" w:hAnsi="Arial"/>
          <w:sz w:val="24"/>
          <w:szCs w:val="24"/>
        </w:rPr>
        <w:t xml:space="preserve"> Pricing uses a “Persönlicher Bestpreis” model in which the cheapest applicable tariff is calculated retroactively at month-end, starting from €0. The first six months are free of monthly fees and transaction costs; founders in their first year of business receive twelve months free.</w:t>
      </w:r>
      <w:r>
        <w:rPr>
          <w:rFonts w:ascii="Arial" w:cs="Arial" w:eastAsia="Arial" w:hAnsi="Arial"/>
          <w:sz w:val="18"/>
          <w:szCs w:val="18"/>
          <w:vertAlign w:val="superscript"/>
        </w:rPr>
        <w:t xml:space="preserve">[61]</w:t>
      </w:r>
      <w:r>
        <w:rPr>
          <w:rFonts w:ascii="Arial" w:cs="Arial" w:eastAsia="Arial" w:hAnsi="Arial"/>
          <w:sz w:val="24"/>
          <w:szCs w:val="24"/>
        </w:rPr>
        <w:t xml:space="preserve"> Accepted legal forms include Selbständige, Freiberufler, e.K., GmbH, KG, and OHG; GbR, UG, and GmbH &amp; Co. KG are not currently accepted. Cash deposits are not supported within the standard account, though limited cash handling is available via the Reisebank partner network.</w:t>
      </w:r>
      <w:r>
        <w:rPr>
          <w:rFonts w:ascii="Arial" w:cs="Arial" w:eastAsia="Arial" w:hAnsi="Arial"/>
          <w:sz w:val="18"/>
          <w:szCs w:val="18"/>
          <w:vertAlign w:val="superscript"/>
        </w:rPr>
        <w:t xml:space="preserve">[62]</w:t>
      </w:r>
    </w:p>
    <w:p>
      <w:pPr>
        <w:pBdr>
          <w:bottom w:val="single" w:color="CCCCCC" w:sz="6" w:space="1"/>
        </w:pBdr>
        <w:spacing w:after="200" w:before="200"/>
      </w:pPr>
    </w:p>
    <w:p>
      <w:pPr>
        <w:pStyle w:val="Heading1"/>
        <w:spacing w:after="160" w:before="360"/>
      </w:pPr>
      <w:r>
        <w:rPr>
          <w:rFonts w:ascii="Arial" w:cs="Arial" w:eastAsia="Arial" w:hAnsi="Arial"/>
          <w:b/>
          <w:bCs/>
          <w:sz w:val="32"/>
          <w:szCs w:val="32"/>
        </w:rPr>
        <w:t xml:space="preserve">3. Value Propositions and Competitive Advantages</w:t>
      </w:r>
    </w:p>
    <w:p>
      <w:pPr>
        <w:pStyle w:val="Heading2"/>
        <w:spacing w:after="100" w:before="240"/>
      </w:pPr>
      <w:r>
        <w:rPr>
          <w:rFonts w:ascii="Arial" w:cs="Arial" w:eastAsia="Arial" w:hAnsi="Arial"/>
          <w:b/>
          <w:bCs/>
          <w:sz w:val="28"/>
          <w:szCs w:val="28"/>
        </w:rPr>
        <w:t xml:space="preserve">Sparkasse</w:t>
      </w:r>
    </w:p>
    <w:p>
      <w:pPr>
        <w:spacing w:after="160"/>
      </w:pPr>
      <w:r>
        <w:rPr>
          <w:rFonts w:ascii="Arial" w:cs="Arial" w:eastAsia="Arial" w:hAnsi="Arial"/>
          <w:sz w:val="24"/>
          <w:szCs w:val="24"/>
        </w:rPr>
        <w:t xml:space="preserve">Sparkasse holds the dominant market position in the SME and sole proprietor segment. According to the DSGV, three out of four companies in Germany are customers of the Savings Banks Finance Group.</w:t>
      </w:r>
      <w:r>
        <w:rPr>
          <w:rFonts w:ascii="Arial" w:cs="Arial" w:eastAsia="Arial" w:hAnsi="Arial"/>
          <w:sz w:val="18"/>
          <w:szCs w:val="18"/>
          <w:vertAlign w:val="superscript"/>
        </w:rPr>
        <w:t xml:space="preserve">[16]</w:t>
      </w:r>
      <w:r>
        <w:rPr>
          <w:rFonts w:ascii="Arial" w:cs="Arial" w:eastAsia="Arial" w:hAnsi="Arial"/>
          <w:sz w:val="24"/>
          <w:szCs w:val="24"/>
        </w:rPr>
        <w:t xml:space="preserve"> The network provides more than two-thirds of financing for German SMEs.</w:t>
      </w:r>
      <w:r>
        <w:rPr>
          <w:rFonts w:ascii="Arial" w:cs="Arial" w:eastAsia="Arial" w:hAnsi="Arial"/>
          <w:sz w:val="18"/>
          <w:szCs w:val="18"/>
          <w:vertAlign w:val="superscript"/>
        </w:rPr>
        <w:t xml:space="preserve">[17]</w:t>
      </w:r>
      <w:r>
        <w:rPr>
          <w:rFonts w:ascii="Arial" w:cs="Arial" w:eastAsia="Arial" w:hAnsi="Arial"/>
          <w:sz w:val="24"/>
          <w:szCs w:val="24"/>
        </w:rPr>
        <w:t xml:space="preserve"> Its stated competitive advantages include deep local knowledge of customers and their personal situations, a nationwide branch presence, and over 200 years of operational history.</w:t>
      </w:r>
      <w:r>
        <w:rPr>
          <w:rFonts w:ascii="Arial" w:cs="Arial" w:eastAsia="Arial" w:hAnsi="Arial"/>
          <w:sz w:val="18"/>
          <w:szCs w:val="18"/>
          <w:vertAlign w:val="superscript"/>
        </w:rPr>
        <w:t xml:space="preserve">[18]</w:t>
      </w:r>
      <w:r>
        <w:rPr>
          <w:rFonts w:ascii="Arial" w:cs="Arial" w:eastAsia="Arial" w:hAnsi="Arial"/>
          <w:sz w:val="24"/>
          <w:szCs w:val="24"/>
        </w:rPr>
        <w:t xml:space="preserve"> Sparkasse offers business accounts (Geschäftskonten) for all legal forms including Freiberufler and Einzelunternehmer, with monthly fees typically ranging from €3 to €10 depending on the regional institution.</w:t>
      </w:r>
      <w:r>
        <w:rPr>
          <w:rFonts w:ascii="Arial" w:cs="Arial" w:eastAsia="Arial" w:hAnsi="Arial"/>
          <w:sz w:val="18"/>
          <w:szCs w:val="18"/>
          <w:vertAlign w:val="superscript"/>
        </w:rPr>
        <w:t xml:space="preserve">[19]</w:t>
      </w:r>
      <w:r>
        <w:rPr>
          <w:rFonts w:ascii="Arial" w:cs="Arial" w:eastAsia="Arial" w:hAnsi="Arial"/>
          <w:sz w:val="24"/>
          <w:szCs w:val="24"/>
        </w:rPr>
        <w:t xml:space="preserve"> The network operates over 15,000 branch offices and more than 21,000 ATMs across Germany.</w:t>
      </w:r>
      <w:r>
        <w:rPr>
          <w:rFonts w:ascii="Arial" w:cs="Arial" w:eastAsia="Arial" w:hAnsi="Arial"/>
          <w:sz w:val="18"/>
          <w:szCs w:val="18"/>
          <w:vertAlign w:val="superscript"/>
        </w:rPr>
        <w:t xml:space="preserve">[20]</w:t>
      </w:r>
    </w:p>
    <w:p>
      <w:pPr>
        <w:pStyle w:val="Heading2"/>
        <w:spacing w:after="100" w:before="240"/>
      </w:pPr>
      <w:r>
        <w:rPr>
          <w:rFonts w:ascii="Arial" w:cs="Arial" w:eastAsia="Arial" w:hAnsi="Arial"/>
          <w:b/>
          <w:bCs/>
          <w:sz w:val="28"/>
          <w:szCs w:val="28"/>
        </w:rPr>
        <w:t xml:space="preserve">Volksbank/Raiffeisenbank</w:t>
      </w:r>
    </w:p>
    <w:p>
      <w:pPr>
        <w:spacing w:after="160"/>
      </w:pPr>
      <w:r>
        <w:rPr>
          <w:rFonts w:ascii="Arial" w:cs="Arial" w:eastAsia="Arial" w:hAnsi="Arial"/>
          <w:sz w:val="24"/>
          <w:szCs w:val="24"/>
        </w:rPr>
        <w:t xml:space="preserve">Volksbank/Raiffeisenbank positions its cooperative ownership structure as a core differentiator — members are shareholders, not merely customers.</w:t>
      </w:r>
      <w:r>
        <w:rPr>
          <w:rFonts w:ascii="Arial" w:cs="Arial" w:eastAsia="Arial" w:hAnsi="Arial"/>
          <w:sz w:val="18"/>
          <w:szCs w:val="18"/>
          <w:vertAlign w:val="superscript"/>
        </w:rPr>
        <w:t xml:space="preserve">[21]</w:t>
      </w:r>
      <w:r>
        <w:rPr>
          <w:rFonts w:ascii="Arial" w:cs="Arial" w:eastAsia="Arial" w:hAnsi="Arial"/>
          <w:sz w:val="24"/>
          <w:szCs w:val="24"/>
        </w:rPr>
        <w:t xml:space="preserve"> The network has approximately 700 institutions and over 7,500 branches, forming one of the densest banking service networks in Europe.</w:t>
      </w:r>
      <w:r>
        <w:rPr>
          <w:rFonts w:ascii="Arial" w:cs="Arial" w:eastAsia="Arial" w:hAnsi="Arial"/>
          <w:sz w:val="18"/>
          <w:szCs w:val="18"/>
          <w:vertAlign w:val="superscript"/>
        </w:rPr>
        <w:t xml:space="preserve">[22]</w:t>
      </w:r>
      <w:r>
        <w:rPr>
          <w:rFonts w:ascii="Arial" w:cs="Arial" w:eastAsia="Arial" w:hAnsi="Arial"/>
          <w:sz w:val="24"/>
          <w:szCs w:val="24"/>
        </w:rPr>
        <w:t xml:space="preserve"> Its competitive strength is concentrated in rural Germany and among trade-sector sole proprietors (Handwerker), where multi-generational relationships between local banks and local businesses are common.</w:t>
      </w:r>
      <w:r>
        <w:rPr>
          <w:rFonts w:ascii="Arial" w:cs="Arial" w:eastAsia="Arial" w:hAnsi="Arial"/>
          <w:sz w:val="18"/>
          <w:szCs w:val="18"/>
          <w:vertAlign w:val="superscript"/>
        </w:rPr>
        <w:t xml:space="preserve">[23]</w:t>
      </w:r>
      <w:r>
        <w:rPr>
          <w:rFonts w:ascii="Arial" w:cs="Arial" w:eastAsia="Arial" w:hAnsi="Arial"/>
          <w:sz w:val="24"/>
          <w:szCs w:val="24"/>
        </w:rPr>
        <w:t xml:space="preserve"> Monthly fees for business accounts range between €5 and €20 depending on the region.</w:t>
      </w:r>
      <w:r>
        <w:rPr>
          <w:rFonts w:ascii="Arial" w:cs="Arial" w:eastAsia="Arial" w:hAnsi="Arial"/>
          <w:sz w:val="18"/>
          <w:szCs w:val="18"/>
          <w:vertAlign w:val="superscript"/>
        </w:rPr>
        <w:t xml:space="preserve">[24]</w:t>
      </w:r>
    </w:p>
    <w:p>
      <w:pPr>
        <w:pStyle w:val="Heading2"/>
        <w:spacing w:after="100" w:before="240"/>
      </w:pPr>
      <w:r>
        <w:rPr>
          <w:rFonts w:ascii="Arial" w:cs="Arial" w:eastAsia="Arial" w:hAnsi="Arial"/>
          <w:b/>
          <w:bCs/>
          <w:sz w:val="28"/>
          <w:szCs w:val="28"/>
        </w:rPr>
        <w:t xml:space="preserve">Commerzbank</w:t>
      </w:r>
    </w:p>
    <w:p>
      <w:pPr>
        <w:spacing w:after="160"/>
      </w:pPr>
      <w:r>
        <w:rPr>
          <w:rFonts w:ascii="Arial" w:cs="Arial" w:eastAsia="Arial" w:hAnsi="Arial"/>
          <w:sz w:val="24"/>
          <w:szCs w:val="24"/>
        </w:rPr>
        <w:t xml:space="preserve">Commerzbank positions itself explicitly as the commercial bank most attuned to the Mittelstand. Its annual “Unternehmerperspektiven” study — now in its 23rd edition — surveys over 1,500 senior executives and is used to demonstrate ongoing engagement with the SME segment.</w:t>
      </w:r>
      <w:r>
        <w:rPr>
          <w:rFonts w:ascii="Arial" w:cs="Arial" w:eastAsia="Arial" w:hAnsi="Arial"/>
          <w:sz w:val="18"/>
          <w:szCs w:val="18"/>
          <w:vertAlign w:val="superscript"/>
        </w:rPr>
        <w:t xml:space="preserve">[25]</w:t>
      </w:r>
      <w:r>
        <w:rPr>
          <w:rFonts w:ascii="Arial" w:cs="Arial" w:eastAsia="Arial" w:hAnsi="Arial"/>
          <w:sz w:val="24"/>
          <w:szCs w:val="24"/>
        </w:rPr>
        <w:t xml:space="preserve"> The bank offers dedicated Geschäftskonto products for Freiberufler and Selbständige, with online account opening available.</w:t>
      </w:r>
      <w:r>
        <w:rPr>
          <w:rFonts w:ascii="Arial" w:cs="Arial" w:eastAsia="Arial" w:hAnsi="Arial"/>
          <w:sz w:val="18"/>
          <w:szCs w:val="18"/>
          <w:vertAlign w:val="superscript"/>
        </w:rPr>
        <w:t xml:space="preserve">[26]</w:t>
      </w:r>
      <w:r>
        <w:rPr>
          <w:rFonts w:ascii="Arial" w:cs="Arial" w:eastAsia="Arial" w:hAnsi="Arial"/>
          <w:sz w:val="24"/>
          <w:szCs w:val="24"/>
        </w:rPr>
        <w:t xml:space="preserve"> Its credit card is available as an optional add-on at €79.90/year.</w:t>
      </w:r>
      <w:r>
        <w:rPr>
          <w:rFonts w:ascii="Arial" w:cs="Arial" w:eastAsia="Arial" w:hAnsi="Arial"/>
          <w:sz w:val="18"/>
          <w:szCs w:val="18"/>
          <w:vertAlign w:val="superscript"/>
        </w:rPr>
        <w:t xml:space="preserve">[27]</w:t>
      </w:r>
    </w:p>
    <w:p>
      <w:pPr>
        <w:pStyle w:val="Heading2"/>
        <w:spacing w:after="100" w:before="240"/>
      </w:pPr>
      <w:r>
        <w:rPr>
          <w:rFonts w:ascii="Arial" w:cs="Arial" w:eastAsia="Arial" w:hAnsi="Arial"/>
          <w:b/>
          <w:bCs/>
          <w:sz w:val="28"/>
          <w:szCs w:val="28"/>
        </w:rPr>
        <w:t xml:space="preserve">Deutsche Bank / FYRST</w:t>
      </w:r>
    </w:p>
    <w:p>
      <w:pPr>
        <w:spacing w:after="160"/>
      </w:pPr>
      <w:r>
        <w:rPr>
          <w:rFonts w:ascii="Arial" w:cs="Arial" w:eastAsia="Arial" w:hAnsi="Arial"/>
          <w:sz w:val="24"/>
          <w:szCs w:val="24"/>
        </w:rPr>
        <w:t xml:space="preserve">Deutsche Bank / FYRST competes on price for the sole proprietor segment through the FYRST BASE free tier, which is one of the few €0/month business account offerings from an institution with a full German banking licence.</w:t>
      </w:r>
      <w:r>
        <w:rPr>
          <w:rFonts w:ascii="Arial" w:cs="Arial" w:eastAsia="Arial" w:hAnsi="Arial"/>
          <w:sz w:val="18"/>
          <w:szCs w:val="18"/>
          <w:vertAlign w:val="superscript"/>
        </w:rPr>
        <w:t xml:space="preserve">[28]</w:t>
      </w:r>
      <w:r>
        <w:rPr>
          <w:rFonts w:ascii="Arial" w:cs="Arial" w:eastAsia="Arial" w:hAnsi="Arial"/>
          <w:sz w:val="24"/>
          <w:szCs w:val="24"/>
        </w:rPr>
        <w:t xml:space="preserve"> Deutsche Bank’s broader competitive position rests on its international reach and trade finance capabilities, though these are less relevant to the domestic sole proprietor segment.</w:t>
      </w:r>
      <w:r>
        <w:rPr>
          <w:rFonts w:ascii="Arial" w:cs="Arial" w:eastAsia="Arial" w:hAnsi="Arial"/>
          <w:sz w:val="18"/>
          <w:szCs w:val="18"/>
          <w:vertAlign w:val="superscript"/>
        </w:rPr>
        <w:t xml:space="preserve">[29]</w:t>
      </w:r>
    </w:p>
    <w:p>
      <w:pPr>
        <w:pStyle w:val="Heading2"/>
        <w:spacing w:after="100" w:before="240"/>
      </w:pPr>
      <w:r>
        <w:rPr>
          <w:rFonts w:ascii="Arial" w:cs="Arial" w:eastAsia="Arial" w:hAnsi="Arial"/>
          <w:b/>
          <w:bCs/>
          <w:sz w:val="28"/>
          <w:szCs w:val="28"/>
        </w:rPr>
        <w:t xml:space="preserve">ING Germany</w:t>
      </w:r>
    </w:p>
    <w:p>
      <w:pPr>
        <w:spacing w:after="160"/>
      </w:pPr>
      <w:r>
        <w:rPr>
          <w:rFonts w:ascii="Arial" w:cs="Arial" w:eastAsia="Arial" w:hAnsi="Arial"/>
          <w:sz w:val="24"/>
          <w:szCs w:val="24"/>
        </w:rPr>
        <w:t xml:space="preserve">ING’s primary competitive advantage in the business segment is its existing base of over 9 million German private customers, creating a natural cross-sell opportunity among those who become self-employed or found a business. Its entry-level pricing — effectively €0 for low-transaction users after the promotional period — directly targets sole proprietors and Freiberufler who are price-sensitive and have low monthly transaction volumes.</w:t>
      </w:r>
      <w:r>
        <w:rPr>
          <w:rFonts w:ascii="Arial" w:cs="Arial" w:eastAsia="Arial" w:hAnsi="Arial"/>
          <w:sz w:val="18"/>
          <w:szCs w:val="18"/>
          <w:vertAlign w:val="superscript"/>
        </w:rPr>
        <w:t xml:space="preserve">[63]</w:t>
      </w:r>
      <w:r>
        <w:rPr>
          <w:rFonts w:ascii="Arial" w:cs="Arial" w:eastAsia="Arial" w:hAnsi="Arial"/>
          <w:sz w:val="24"/>
          <w:szCs w:val="24"/>
        </w:rPr>
        <w:t xml:space="preserve"> The account includes a built-in Rechnungsmanager (invoice manager), sub-accounts with individual IBANs, instant SEPA transfers at all hours, and a Visa Business debit card.</w:t>
      </w:r>
      <w:r>
        <w:rPr>
          <w:rFonts w:ascii="Arial" w:cs="Arial" w:eastAsia="Arial" w:hAnsi="Arial"/>
          <w:sz w:val="18"/>
          <w:szCs w:val="18"/>
          <w:vertAlign w:val="superscript"/>
        </w:rPr>
        <w:t xml:space="preserve">[64]</w:t>
      </w:r>
      <w:r>
        <w:rPr>
          <w:rFonts w:ascii="Arial" w:cs="Arial" w:eastAsia="Arial" w:hAnsi="Arial"/>
          <w:sz w:val="24"/>
          <w:szCs w:val="24"/>
        </w:rPr>
        <w:t xml:space="preserve"> An optional Business Extra-Konto (Tagesgelkonto) allows businesses to park surplus funds at a competitive interest rate.</w:t>
      </w:r>
      <w:r>
        <w:rPr>
          <w:rFonts w:ascii="Arial" w:cs="Arial" w:eastAsia="Arial" w:hAnsi="Arial"/>
          <w:sz w:val="18"/>
          <w:szCs w:val="18"/>
          <w:vertAlign w:val="superscript"/>
        </w:rPr>
        <w:t xml:space="preserve">[65]</w:t>
      </w:r>
      <w:r>
        <w:rPr>
          <w:rFonts w:ascii="Arial" w:cs="Arial" w:eastAsia="Arial" w:hAnsi="Arial"/>
          <w:sz w:val="24"/>
          <w:szCs w:val="24"/>
        </w:rPr>
        <w:t xml:space="preserve"> A Geschäftskredit of up to €250,000 is available exclusively to Geschäftskonto holders. The bank connects to accounting tools including DATEV Unternehmen online and Lexware via a PSD2 interface; however, it provides no native accounting integration beyond this technical data-sharing layer.</w:t>
      </w:r>
      <w:r>
        <w:rPr>
          <w:rFonts w:ascii="Arial" w:cs="Arial" w:eastAsia="Arial" w:hAnsi="Arial"/>
          <w:sz w:val="18"/>
          <w:szCs w:val="18"/>
          <w:vertAlign w:val="superscript"/>
        </w:rPr>
        <w:t xml:space="preserve">[66]</w:t>
      </w:r>
      <w:r>
        <w:rPr>
          <w:rFonts w:ascii="Arial" w:cs="Arial" w:eastAsia="Arial" w:hAnsi="Arial"/>
          <w:sz w:val="24"/>
          <w:szCs w:val="24"/>
        </w:rPr>
        <w:t xml:space="preserve"> International transfers outside the SEPA zone are not currently supported, which limits the account’s utility for sole proprietors with non-European clients or suppliers.</w:t>
      </w:r>
      <w:r>
        <w:rPr>
          <w:rFonts w:ascii="Arial" w:cs="Arial" w:eastAsia="Arial" w:hAnsi="Arial"/>
          <w:sz w:val="18"/>
          <w:szCs w:val="18"/>
          <w:vertAlign w:val="superscript"/>
        </w:rPr>
        <w:t xml:space="preserve">[67]</w:t>
      </w:r>
    </w:p>
    <w:p>
      <w:pPr>
        <w:pBdr>
          <w:bottom w:val="single" w:color="CCCCCC" w:sz="6" w:space="1"/>
        </w:pBdr>
        <w:spacing w:after="200" w:before="200"/>
      </w:pPr>
    </w:p>
    <w:p>
      <w:pPr>
        <w:pStyle w:val="Heading1"/>
        <w:spacing w:after="160" w:before="360"/>
      </w:pPr>
      <w:r>
        <w:rPr>
          <w:rFonts w:ascii="Arial" w:cs="Arial" w:eastAsia="Arial" w:hAnsi="Arial"/>
          <w:b/>
          <w:bCs/>
          <w:sz w:val="32"/>
          <w:szCs w:val="32"/>
        </w:rPr>
        <w:t xml:space="preserve">4. Customer Experience Overview</w:t>
      </w:r>
    </w:p>
    <w:p>
      <w:pPr>
        <w:spacing w:after="160"/>
      </w:pPr>
      <w:r>
        <w:rPr>
          <w:rFonts w:ascii="Arial" w:cs="Arial" w:eastAsia="Arial" w:hAnsi="Arial"/>
          <w:sz w:val="24"/>
          <w:szCs w:val="24"/>
        </w:rPr>
        <w:t xml:space="preserve">For the sole proprietor segment, the account opening process varies significantly by institution. Commerzbank and FYRST allow online account opening.</w:t>
      </w:r>
      <w:r>
        <w:rPr>
          <w:rFonts w:ascii="Arial" w:cs="Arial" w:eastAsia="Arial" w:hAnsi="Arial"/>
          <w:sz w:val="18"/>
          <w:szCs w:val="18"/>
          <w:vertAlign w:val="superscript"/>
        </w:rPr>
        <w:t xml:space="preserve">[30]</w:t>
      </w:r>
      <w:r>
        <w:rPr>
          <w:rFonts w:ascii="Arial" w:cs="Arial" w:eastAsia="Arial" w:hAnsi="Arial"/>
          <w:sz w:val="24"/>
          <w:szCs w:val="24"/>
        </w:rPr>
        <w:t xml:space="preserve"> Volksbank requires in-person opening at a branch.</w:t>
      </w:r>
      <w:r>
        <w:rPr>
          <w:rFonts w:ascii="Arial" w:cs="Arial" w:eastAsia="Arial" w:hAnsi="Arial"/>
          <w:sz w:val="18"/>
          <w:szCs w:val="18"/>
          <w:vertAlign w:val="superscript"/>
        </w:rPr>
        <w:t xml:space="preserve">[31]</w:t>
      </w:r>
      <w:r>
        <w:rPr>
          <w:rFonts w:ascii="Arial" w:cs="Arial" w:eastAsia="Arial" w:hAnsi="Arial"/>
          <w:sz w:val="24"/>
          <w:szCs w:val="24"/>
        </w:rPr>
        <w:t xml:space="preserve"> Sparkasse varies by regional institution, with some requiring a branch visit and others offering video or Post-Ident verification.</w:t>
      </w:r>
      <w:r>
        <w:rPr>
          <w:rFonts w:ascii="Arial" w:cs="Arial" w:eastAsia="Arial" w:hAnsi="Arial"/>
          <w:sz w:val="18"/>
          <w:szCs w:val="18"/>
          <w:vertAlign w:val="superscript"/>
        </w:rPr>
        <w:t xml:space="preserve">[32]</w:t>
      </w:r>
      <w:r>
        <w:rPr>
          <w:rFonts w:ascii="Arial" w:cs="Arial" w:eastAsia="Arial" w:hAnsi="Arial"/>
          <w:sz w:val="24"/>
          <w:szCs w:val="24"/>
        </w:rPr>
        <w:t xml:space="preserve"> ING allows fully digital account opening with video identification, with no branch visit required; the bank states the process takes approximately 20 minutes to complete.</w:t>
      </w:r>
      <w:r>
        <w:rPr>
          <w:rFonts w:ascii="Arial" w:cs="Arial" w:eastAsia="Arial" w:hAnsi="Arial"/>
          <w:sz w:val="18"/>
          <w:szCs w:val="18"/>
          <w:vertAlign w:val="superscript"/>
        </w:rPr>
        <w:t xml:space="preserve">[68]</w:t>
      </w:r>
    </w:p>
    <w:p>
      <w:pPr>
        <w:spacing w:after="160"/>
      </w:pPr>
      <w:r>
        <w:rPr>
          <w:rFonts w:ascii="Arial" w:cs="Arial" w:eastAsia="Arial" w:hAnsi="Arial"/>
          <w:sz w:val="24"/>
          <w:szCs w:val="24"/>
        </w:rPr>
        <w:t xml:space="preserve">The day-to-day banking workflow for a typical sole proprietor involves the following steps: conducting payments and receipts via a Geschäftskonto, exporting transaction data monthly (typically as a CSV file), manually categorising transactions in third-party accounting software such as sevDesk or Lexoffice, and handing the resulting data to a Steuerberater (tax advisor) for VAT filings and annual tax return preparation.</w:t>
      </w:r>
      <w:r>
        <w:rPr>
          <w:rFonts w:ascii="Arial" w:cs="Arial" w:eastAsia="Arial" w:hAnsi="Arial"/>
          <w:sz w:val="18"/>
          <w:szCs w:val="18"/>
          <w:vertAlign w:val="superscript"/>
        </w:rPr>
        <w:t xml:space="preserve">[33]</w:t>
      </w:r>
      <w:r>
        <w:rPr>
          <w:rFonts w:ascii="Arial" w:cs="Arial" w:eastAsia="Arial" w:hAnsi="Arial"/>
          <w:sz w:val="24"/>
          <w:szCs w:val="24"/>
        </w:rPr>
        <w:t xml:space="preserve"> The Steuerberater uses DATEV — Germany’s dominant accounting software standard — to process client data.</w:t>
      </w:r>
      <w:r>
        <w:rPr>
          <w:rFonts w:ascii="Arial" w:cs="Arial" w:eastAsia="Arial" w:hAnsi="Arial"/>
          <w:sz w:val="18"/>
          <w:szCs w:val="18"/>
          <w:vertAlign w:val="superscript"/>
        </w:rPr>
        <w:t xml:space="preserve">[34]</w:t>
      </w:r>
      <w:r>
        <w:rPr>
          <w:rFonts w:ascii="Arial" w:cs="Arial" w:eastAsia="Arial" w:hAnsi="Arial"/>
          <w:sz w:val="24"/>
          <w:szCs w:val="24"/>
        </w:rPr>
        <w:t xml:space="preserve"> The cost of a Steuerberater for a sole proprietor typically starts at approximately €1,800 per year.</w:t>
      </w:r>
      <w:r>
        <w:rPr>
          <w:rFonts w:ascii="Arial" w:cs="Arial" w:eastAsia="Arial" w:hAnsi="Arial"/>
          <w:sz w:val="18"/>
          <w:szCs w:val="18"/>
          <w:vertAlign w:val="superscript"/>
        </w:rPr>
        <w:t xml:space="preserve">[35]</w:t>
      </w:r>
    </w:p>
    <w:p>
      <w:pPr>
        <w:spacing w:after="160"/>
      </w:pPr>
      <w:r>
        <w:rPr>
          <w:rFonts w:ascii="Arial" w:cs="Arial" w:eastAsia="Arial" w:hAnsi="Arial"/>
          <w:sz w:val="24"/>
          <w:szCs w:val="24"/>
        </w:rPr>
        <w:t xml:space="preserve">In terms of documented customer sentiment, Commerzbank’s own 2025 Unternehmerperspektiven study found that 46% of surveyed SME executives identified bureaucracy reduction as their most urgent challenge — the single highest-ranked concern ahead of energy costs (29%) and tax burden (21%).</w:t>
      </w:r>
      <w:r>
        <w:rPr>
          <w:rFonts w:ascii="Arial" w:cs="Arial" w:eastAsia="Arial" w:hAnsi="Arial"/>
          <w:sz w:val="18"/>
          <w:szCs w:val="18"/>
          <w:vertAlign w:val="superscript"/>
        </w:rPr>
        <w:t xml:space="preserve">[36]</w:t>
      </w:r>
      <w:r>
        <w:rPr>
          <w:rFonts w:ascii="Arial" w:cs="Arial" w:eastAsia="Arial" w:hAnsi="Arial"/>
          <w:sz w:val="24"/>
          <w:szCs w:val="24"/>
        </w:rPr>
        <w:t xml:space="preserve"> User reviews of Commerzbank’s business accounts published on German comparison platforms contain direct accounts of dissatisfaction from small-firm customers. One review states: </w:t>
      </w:r>
      <w:r>
        <w:rPr>
          <w:rFonts w:ascii="Arial" w:cs="Arial" w:eastAsia="Arial" w:hAnsi="Arial"/>
          <w:i/>
          <w:iCs/>
          <w:sz w:val="24"/>
          <w:szCs w:val="24"/>
        </w:rPr>
        <w:t xml:space="preserve">“Also, unsere Firma hat bei der CoBa Firmenkonto glaube ich seit über 20 Jahren. Seit 2 oder 3 Jahren gibt es bei den kleineren Firmen keinen eigenen Berater... KATASTROPHE!!!! Und wenn ihr nicht eine Riesige Firma sind, die Hände weg!!!!”</w:t>
      </w:r>
      <w:r>
        <w:rPr>
          <w:rFonts w:ascii="Arial" w:cs="Arial" w:eastAsia="Arial" w:hAnsi="Arial"/>
          <w:sz w:val="18"/>
          <w:szCs w:val="18"/>
          <w:vertAlign w:val="superscript"/>
        </w:rPr>
        <w:t xml:space="preserve">[37]</w:t>
      </w:r>
      <w:r>
        <w:rPr>
          <w:rFonts w:ascii="Arial" w:cs="Arial" w:eastAsia="Arial" w:hAnsi="Arial"/>
          <w:sz w:val="24"/>
          <w:szCs w:val="24"/>
        </w:rPr>
        <w:t xml:space="preserve"> A separate review of eight years as a Commerzbank business customer confirms similar experiences.</w:t>
      </w:r>
      <w:r>
        <w:rPr>
          <w:rFonts w:ascii="Arial" w:cs="Arial" w:eastAsia="Arial" w:hAnsi="Arial"/>
          <w:sz w:val="18"/>
          <w:szCs w:val="18"/>
          <w:vertAlign w:val="superscript"/>
        </w:rPr>
        <w:t xml:space="preserve">[38]</w:t>
      </w:r>
    </w:p>
    <w:p>
      <w:pPr>
        <w:spacing w:after="160"/>
      </w:pPr>
      <w:r>
        <w:rPr>
          <w:rFonts w:ascii="Arial" w:cs="Arial" w:eastAsia="Arial" w:hAnsi="Arial"/>
          <w:sz w:val="24"/>
          <w:szCs w:val="24"/>
        </w:rPr>
        <w:t xml:space="preserve">Sparkasse customer reviews are more mixed. Positive reviews frequently reference the quality of personal advisors at specific regional branches.</w:t>
      </w:r>
      <w:r>
        <w:rPr>
          <w:rFonts w:ascii="Arial" w:cs="Arial" w:eastAsia="Arial" w:hAnsi="Arial"/>
          <w:sz w:val="18"/>
          <w:szCs w:val="18"/>
          <w:vertAlign w:val="superscript"/>
        </w:rPr>
        <w:t xml:space="preserve">[39]</w:t>
      </w:r>
      <w:r>
        <w:rPr>
          <w:rFonts w:ascii="Arial" w:cs="Arial" w:eastAsia="Arial" w:hAnsi="Arial"/>
          <w:sz w:val="24"/>
          <w:szCs w:val="24"/>
        </w:rPr>
        <w:t xml:space="preserve"> Critical reviews cite software reliability issues with online banking and fee levels.</w:t>
      </w:r>
      <w:r>
        <w:rPr>
          <w:rFonts w:ascii="Arial" w:cs="Arial" w:eastAsia="Arial" w:hAnsi="Arial"/>
          <w:sz w:val="18"/>
          <w:szCs w:val="18"/>
          <w:vertAlign w:val="superscript"/>
        </w:rPr>
        <w:t xml:space="preserve">[40]</w:t>
      </w:r>
      <w:r>
        <w:rPr>
          <w:rFonts w:ascii="Arial" w:cs="Arial" w:eastAsia="Arial" w:hAnsi="Arial"/>
          <w:sz w:val="24"/>
          <w:szCs w:val="24"/>
        </w:rPr>
        <w:t xml:space="preserve"> One review specifically notes: </w:t>
      </w:r>
      <w:r>
        <w:rPr>
          <w:rFonts w:ascii="Arial" w:cs="Arial" w:eastAsia="Arial" w:hAnsi="Arial"/>
          <w:i/>
          <w:iCs/>
          <w:sz w:val="24"/>
          <w:szCs w:val="24"/>
        </w:rPr>
        <w:t xml:space="preserve">“Preisbewusste Gründer, Freiberufler und Solo-Selbständige mit wenigen Buchungen: Die monatliche Kontoführungsgebühr und viele Buchungen sind meist teuer im Vergleich zum Wettbewerb.”</w:t>
      </w:r>
      <w:r>
        <w:rPr>
          <w:rFonts w:ascii="Arial" w:cs="Arial" w:eastAsia="Arial" w:hAnsi="Arial"/>
          <w:sz w:val="18"/>
          <w:szCs w:val="18"/>
          <w:vertAlign w:val="superscript"/>
        </w:rPr>
        <w:t xml:space="preserve">[41]</w:t>
      </w:r>
    </w:p>
    <w:p>
      <w:pPr>
        <w:spacing w:after="160"/>
      </w:pPr>
      <w:r>
        <w:rPr>
          <w:rFonts w:ascii="Arial" w:cs="Arial" w:eastAsia="Arial" w:hAnsi="Arial"/>
          <w:sz w:val="24"/>
          <w:szCs w:val="24"/>
        </w:rPr>
        <w:t xml:space="preserve">A notable behavioural pattern in this segment is that many sole proprietors do not actively choose their business bank — they extend an existing personal account relationship into business use. The Für-Gründer comparison platform notes that combining a full-service account at a savings bank as a Hausbank with an online account as a secondary account (Zweitkonto) is a common practice among business customers.</w:t>
      </w:r>
      <w:r>
        <w:rPr>
          <w:rFonts w:ascii="Arial" w:cs="Arial" w:eastAsia="Arial" w:hAnsi="Arial"/>
          <w:sz w:val="18"/>
          <w:szCs w:val="18"/>
          <w:vertAlign w:val="superscript"/>
        </w:rPr>
        <w:t xml:space="preserve">[42]</w:t>
      </w:r>
      <w:r>
        <w:rPr>
          <w:rFonts w:ascii="Arial" w:cs="Arial" w:eastAsia="Arial" w:hAnsi="Arial"/>
          <w:sz w:val="24"/>
          <w:szCs w:val="24"/>
        </w:rPr>
        <w:t xml:space="preserve"> Additionally, it is estimated that more than half of sole proprietors continue to mix personal and business finances within a single account.</w:t>
      </w:r>
      <w:r>
        <w:rPr>
          <w:rFonts w:ascii="Arial" w:cs="Arial" w:eastAsia="Arial" w:hAnsi="Arial"/>
          <w:sz w:val="18"/>
          <w:szCs w:val="18"/>
          <w:vertAlign w:val="superscript"/>
        </w:rPr>
        <w:t xml:space="preserve">[43]</w:t>
      </w:r>
    </w:p>
    <w:p>
      <w:pPr>
        <w:pBdr>
          <w:bottom w:val="single" w:color="CCCCCC" w:sz="6" w:space="1"/>
        </w:pBdr>
        <w:spacing w:after="200" w:before="200"/>
      </w:pPr>
    </w:p>
    <w:p>
      <w:pPr>
        <w:pStyle w:val="Heading1"/>
        <w:spacing w:after="160" w:before="360"/>
      </w:pPr>
      <w:r>
        <w:rPr>
          <w:rFonts w:ascii="Arial" w:cs="Arial" w:eastAsia="Arial" w:hAnsi="Arial"/>
          <w:b/>
          <w:bCs/>
          <w:sz w:val="32"/>
          <w:szCs w:val="32"/>
        </w:rPr>
        <w:t xml:space="preserve">5. Gaps in Customer Experience and Value Propositions</w:t>
      </w:r>
    </w:p>
    <w:p>
      <w:pPr>
        <w:pStyle w:val="Heading3"/>
        <w:spacing w:after="80" w:before="200"/>
      </w:pPr>
      <w:r>
        <w:rPr>
          <w:rFonts w:ascii="Arial" w:cs="Arial" w:eastAsia="Arial" w:hAnsi="Arial"/>
          <w:b/>
          <w:bCs/>
          <w:sz w:val="24"/>
          <w:szCs w:val="24"/>
        </w:rPr>
        <w:t xml:space="preserve">DATEV integration</w:t>
      </w:r>
    </w:p>
    <w:p>
      <w:pPr>
        <w:spacing w:after="160"/>
      </w:pPr>
      <w:r>
        <w:rPr>
          <w:rFonts w:ascii="Arial" w:cs="Arial" w:eastAsia="Arial" w:hAnsi="Arial"/>
          <w:sz w:val="24"/>
          <w:szCs w:val="24"/>
        </w:rPr>
        <w:t xml:space="preserve">None of the four incumbent institutions offer native, real-time integration with DATEV accounting software. The current workflow requires sole proprietors to export transaction data manually from their bank’s online banking portal, import it into a third-party accounting tool, and provide DATEV-compatible exports to their Steuerberater.</w:t>
      </w:r>
      <w:r>
        <w:rPr>
          <w:rFonts w:ascii="Arial" w:cs="Arial" w:eastAsia="Arial" w:hAnsi="Arial"/>
          <w:sz w:val="18"/>
          <w:szCs w:val="18"/>
          <w:vertAlign w:val="superscript"/>
        </w:rPr>
        <w:t xml:space="preserve">[44]</w:t>
      </w:r>
      <w:r>
        <w:rPr>
          <w:rFonts w:ascii="Arial" w:cs="Arial" w:eastAsia="Arial" w:hAnsi="Arial"/>
          <w:sz w:val="24"/>
          <w:szCs w:val="24"/>
        </w:rPr>
        <w:t xml:space="preserve"> German accounting software comparison sources consistently identify DATEV export compatibility as a baseline requirement for any tool used by sole proprietors who work with a tax advisor.</w:t>
      </w:r>
      <w:r>
        <w:rPr>
          <w:rFonts w:ascii="Arial" w:cs="Arial" w:eastAsia="Arial" w:hAnsi="Arial"/>
          <w:sz w:val="18"/>
          <w:szCs w:val="18"/>
          <w:vertAlign w:val="superscript"/>
        </w:rPr>
        <w:t xml:space="preserve">[45]</w:t>
      </w:r>
    </w:p>
    <w:p>
      <w:pPr>
        <w:pStyle w:val="Heading3"/>
        <w:spacing w:after="80" w:before="200"/>
      </w:pPr>
      <w:r>
        <w:rPr>
          <w:rFonts w:ascii="Arial" w:cs="Arial" w:eastAsia="Arial" w:hAnsi="Arial"/>
          <w:b/>
          <w:bCs/>
          <w:sz w:val="24"/>
          <w:szCs w:val="24"/>
        </w:rPr>
        <w:t xml:space="preserve">Invoicing tools</w:t>
      </w:r>
    </w:p>
    <w:p>
      <w:pPr>
        <w:spacing w:after="160"/>
      </w:pPr>
      <w:r>
        <w:rPr>
          <w:rFonts w:ascii="Arial" w:cs="Arial" w:eastAsia="Arial" w:hAnsi="Arial"/>
          <w:sz w:val="24"/>
          <w:szCs w:val="24"/>
        </w:rPr>
        <w:t xml:space="preserve">No incumbent bank includes native invoicing functionality in its Geschäftskonto offering. Germany introduced mandatory e-invoicing requirements in 2025, adding compliance complexity for sole proprietors.</w:t>
      </w:r>
      <w:r>
        <w:rPr>
          <w:rFonts w:ascii="Arial" w:cs="Arial" w:eastAsia="Arial" w:hAnsi="Arial"/>
          <w:sz w:val="18"/>
          <w:szCs w:val="18"/>
          <w:vertAlign w:val="superscript"/>
        </w:rPr>
        <w:t xml:space="preserve">[46]</w:t>
      </w:r>
      <w:r>
        <w:rPr>
          <w:rFonts w:ascii="Arial" w:cs="Arial" w:eastAsia="Arial" w:hAnsi="Arial"/>
          <w:sz w:val="24"/>
          <w:szCs w:val="24"/>
        </w:rPr>
        <w:t xml:space="preserve"> Third-party invoicing tools such as Lexoffice (from €7.90/month), sevDesk, and FastBill represent an additional subscription cost that business account holders must bear separately.</w:t>
      </w:r>
      <w:r>
        <w:rPr>
          <w:rFonts w:ascii="Arial" w:cs="Arial" w:eastAsia="Arial" w:hAnsi="Arial"/>
          <w:sz w:val="18"/>
          <w:szCs w:val="18"/>
          <w:vertAlign w:val="superscript"/>
        </w:rPr>
        <w:t xml:space="preserve">[47]</w:t>
      </w:r>
    </w:p>
    <w:p>
      <w:pPr>
        <w:pStyle w:val="Heading3"/>
        <w:spacing w:after="80" w:before="200"/>
      </w:pPr>
      <w:r>
        <w:rPr>
          <w:rFonts w:ascii="Arial" w:cs="Arial" w:eastAsia="Arial" w:hAnsi="Arial"/>
          <w:b/>
          <w:bCs/>
          <w:sz w:val="24"/>
          <w:szCs w:val="24"/>
        </w:rPr>
        <w:t xml:space="preserve">VAT tracking</w:t>
      </w:r>
    </w:p>
    <w:p>
      <w:pPr>
        <w:spacing w:after="160"/>
      </w:pPr>
      <w:r>
        <w:rPr>
          <w:rFonts w:ascii="Arial" w:cs="Arial" w:eastAsia="Arial" w:hAnsi="Arial"/>
          <w:sz w:val="24"/>
          <w:szCs w:val="24"/>
        </w:rPr>
        <w:t xml:space="preserve">Sole proprietors registered for VAT (Umsatzsteuer) are required to file quarterly VAT returns (Umsatzsteuer-Voranmeldung) with the Finanzamt.</w:t>
      </w:r>
      <w:r>
        <w:rPr>
          <w:rFonts w:ascii="Arial" w:cs="Arial" w:eastAsia="Arial" w:hAnsi="Arial"/>
          <w:sz w:val="18"/>
          <w:szCs w:val="18"/>
          <w:vertAlign w:val="superscript"/>
        </w:rPr>
        <w:t xml:space="preserve">[48]</w:t>
      </w:r>
      <w:r>
        <w:rPr>
          <w:rFonts w:ascii="Arial" w:cs="Arial" w:eastAsia="Arial" w:hAnsi="Arial"/>
          <w:sz w:val="24"/>
          <w:szCs w:val="24"/>
        </w:rPr>
        <w:t xml:space="preserve"> None of the four incumbent banks provide tools to support this workflow from within their banking interface. Sole proprietors must either use a separate accounting tool or rely on their Steuerberater for this task.</w:t>
      </w:r>
      <w:r>
        <w:rPr>
          <w:rFonts w:ascii="Arial" w:cs="Arial" w:eastAsia="Arial" w:hAnsi="Arial"/>
          <w:sz w:val="18"/>
          <w:szCs w:val="18"/>
          <w:vertAlign w:val="superscript"/>
        </w:rPr>
        <w:t xml:space="preserve">[49]</w:t>
      </w:r>
    </w:p>
    <w:p>
      <w:pPr>
        <w:pStyle w:val="Heading3"/>
        <w:spacing w:after="80" w:before="200"/>
      </w:pPr>
      <w:r>
        <w:rPr>
          <w:rFonts w:ascii="Arial" w:cs="Arial" w:eastAsia="Arial" w:hAnsi="Arial"/>
          <w:b/>
          <w:bCs/>
          <w:sz w:val="24"/>
          <w:szCs w:val="24"/>
        </w:rPr>
        <w:t xml:space="preserve">Per-transaction fees for active users</w:t>
      </w:r>
    </w:p>
    <w:p>
      <w:pPr>
        <w:spacing w:after="160"/>
      </w:pPr>
      <w:r>
        <w:rPr>
          <w:rFonts w:ascii="Arial" w:cs="Arial" w:eastAsia="Arial" w:hAnsi="Arial"/>
          <w:sz w:val="24"/>
          <w:szCs w:val="24"/>
        </w:rPr>
        <w:t xml:space="preserve">Sparkasse charges €1.29 per outgoing SEPA transfer.</w:t>
      </w:r>
      <w:r>
        <w:rPr>
          <w:rFonts w:ascii="Arial" w:cs="Arial" w:eastAsia="Arial" w:hAnsi="Arial"/>
          <w:sz w:val="18"/>
          <w:szCs w:val="18"/>
          <w:vertAlign w:val="superscript"/>
        </w:rPr>
        <w:t xml:space="preserve">[50]</w:t>
      </w:r>
      <w:r>
        <w:rPr>
          <w:rFonts w:ascii="Arial" w:cs="Arial" w:eastAsia="Arial" w:hAnsi="Arial"/>
          <w:sz w:val="24"/>
          <w:szCs w:val="24"/>
        </w:rPr>
        <w:t xml:space="preserve"> Commerzbank includes 10 free postings per month in its Klassik tier, with a charge of €0.20 per posting thereafter.</w:t>
      </w:r>
      <w:r>
        <w:rPr>
          <w:rFonts w:ascii="Arial" w:cs="Arial" w:eastAsia="Arial" w:hAnsi="Arial"/>
          <w:sz w:val="18"/>
          <w:szCs w:val="18"/>
          <w:vertAlign w:val="superscript"/>
        </w:rPr>
        <w:t xml:space="preserve">[51]</w:t>
      </w:r>
      <w:r>
        <w:rPr>
          <w:rFonts w:ascii="Arial" w:cs="Arial" w:eastAsia="Arial" w:hAnsi="Arial"/>
          <w:sz w:val="24"/>
          <w:szCs w:val="24"/>
        </w:rPr>
        <w:t xml:space="preserve"> For sole proprietors with a high volume of client invoices, these per-transaction costs accumulate materially. German comparison platforms flag this specifically: an e-commerce sole proprietor processing 1,000 transactions per month at €0.15 each would pay €150 monthly in transaction fees alone.</w:t>
      </w:r>
      <w:r>
        <w:rPr>
          <w:rFonts w:ascii="Arial" w:cs="Arial" w:eastAsia="Arial" w:hAnsi="Arial"/>
          <w:sz w:val="18"/>
          <w:szCs w:val="18"/>
          <w:vertAlign w:val="superscript"/>
        </w:rPr>
        <w:t xml:space="preserve">[52]</w:t>
      </w:r>
    </w:p>
    <w:p>
      <w:pPr>
        <w:pStyle w:val="Heading3"/>
        <w:spacing w:after="80" w:before="200"/>
      </w:pPr>
      <w:r>
        <w:rPr>
          <w:rFonts w:ascii="Arial" w:cs="Arial" w:eastAsia="Arial" w:hAnsi="Arial"/>
          <w:b/>
          <w:bCs/>
          <w:sz w:val="24"/>
          <w:szCs w:val="24"/>
        </w:rPr>
        <w:t xml:space="preserve">Digital onboarding speed</w:t>
      </w:r>
    </w:p>
    <w:p>
      <w:pPr>
        <w:spacing w:after="160"/>
      </w:pPr>
      <w:r>
        <w:rPr>
          <w:rFonts w:ascii="Arial" w:cs="Arial" w:eastAsia="Arial" w:hAnsi="Arial"/>
          <w:sz w:val="24"/>
          <w:szCs w:val="24"/>
        </w:rPr>
        <w:t xml:space="preserve">Volksbank requires in-person account opening with no online alternative.</w:t>
      </w:r>
      <w:r>
        <w:rPr>
          <w:rFonts w:ascii="Arial" w:cs="Arial" w:eastAsia="Arial" w:hAnsi="Arial"/>
          <w:sz w:val="18"/>
          <w:szCs w:val="18"/>
          <w:vertAlign w:val="superscript"/>
        </w:rPr>
        <w:t xml:space="preserve">[53]</w:t>
      </w:r>
      <w:r>
        <w:rPr>
          <w:rFonts w:ascii="Arial" w:cs="Arial" w:eastAsia="Arial" w:hAnsi="Arial"/>
          <w:sz w:val="24"/>
          <w:szCs w:val="24"/>
        </w:rPr>
        <w:t xml:space="preserve"> Sparkasse onboarding varies by regional institution and in many cases still requires a branch visit or Post-Ident process taking several days.</w:t>
      </w:r>
      <w:r>
        <w:rPr>
          <w:rFonts w:ascii="Arial" w:cs="Arial" w:eastAsia="Arial" w:hAnsi="Arial"/>
          <w:sz w:val="18"/>
          <w:szCs w:val="18"/>
          <w:vertAlign w:val="superscript"/>
        </w:rPr>
        <w:t xml:space="preserve">[54]</w:t>
      </w:r>
      <w:r>
        <w:rPr>
          <w:rFonts w:ascii="Arial" w:cs="Arial" w:eastAsia="Arial" w:hAnsi="Arial"/>
          <w:sz w:val="24"/>
          <w:szCs w:val="24"/>
        </w:rPr>
        <w:t xml:space="preserve"> This is in contrast to neobank account opening processes which, according to market research, can be completed in minutes.</w:t>
      </w:r>
      <w:r>
        <w:rPr>
          <w:rFonts w:ascii="Arial" w:cs="Arial" w:eastAsia="Arial" w:hAnsi="Arial"/>
          <w:sz w:val="18"/>
          <w:szCs w:val="18"/>
          <w:vertAlign w:val="superscript"/>
        </w:rPr>
        <w:t xml:space="preserve">[55]</w:t>
      </w:r>
      <w:r>
        <w:rPr>
          <w:rFonts w:ascii="Arial" w:cs="Arial" w:eastAsia="Arial" w:hAnsi="Arial"/>
          <w:sz w:val="24"/>
          <w:szCs w:val="24"/>
        </w:rPr>
        <w:t xml:space="preserve"> Among the five players reviewed, ING is the exception: its Geschäftskonto is opened fully digitally via video identification, with no branch visit at any stage.</w:t>
      </w:r>
      <w:r>
        <w:rPr>
          <w:rFonts w:ascii="Arial" w:cs="Arial" w:eastAsia="Arial" w:hAnsi="Arial"/>
          <w:sz w:val="18"/>
          <w:szCs w:val="18"/>
          <w:vertAlign w:val="superscript"/>
        </w:rPr>
        <w:t xml:space="preserve">[68]</w:t>
      </w:r>
    </w:p>
    <w:p>
      <w:pPr>
        <w:pStyle w:val="Heading3"/>
        <w:spacing w:after="80" w:before="200"/>
      </w:pPr>
      <w:r>
        <w:rPr>
          <w:rFonts w:ascii="Arial" w:cs="Arial" w:eastAsia="Arial" w:hAnsi="Arial"/>
          <w:b/>
          <w:bCs/>
          <w:sz w:val="24"/>
          <w:szCs w:val="24"/>
        </w:rPr>
        <w:t xml:space="preserve">Receipt and document capture</w:t>
      </w:r>
    </w:p>
    <w:p>
      <w:pPr>
        <w:spacing w:after="160"/>
      </w:pPr>
      <w:r>
        <w:rPr>
          <w:rFonts w:ascii="Arial" w:cs="Arial" w:eastAsia="Arial" w:hAnsi="Arial"/>
          <w:sz w:val="24"/>
          <w:szCs w:val="24"/>
        </w:rPr>
        <w:t xml:space="preserve">German tax law (§147 Abgabenordnung) requires sole proprietors to store invoices, receipts, and other business documents for ten years in a GoBD-compliant format.</w:t>
      </w:r>
      <w:r>
        <w:rPr>
          <w:rFonts w:ascii="Arial" w:cs="Arial" w:eastAsia="Arial" w:hAnsi="Arial"/>
          <w:sz w:val="18"/>
          <w:szCs w:val="18"/>
          <w:vertAlign w:val="superscript"/>
        </w:rPr>
        <w:t xml:space="preserve">[56]</w:t>
      </w:r>
      <w:r>
        <w:rPr>
          <w:rFonts w:ascii="Arial" w:cs="Arial" w:eastAsia="Arial" w:hAnsi="Arial"/>
          <w:sz w:val="24"/>
          <w:szCs w:val="24"/>
        </w:rPr>
        <w:t xml:space="preserve"> None of the four incumbent banks provide receipt capture or document storage functionality within their banking interface, requiring sole proprietors to maintain a separate document management workflow.</w:t>
      </w:r>
    </w:p>
    <w:p>
      <w:pPr>
        <w:pStyle w:val="Heading3"/>
        <w:spacing w:after="80" w:before="200"/>
      </w:pPr>
      <w:r>
        <w:rPr>
          <w:rFonts w:ascii="Arial" w:cs="Arial" w:eastAsia="Arial" w:hAnsi="Arial"/>
          <w:b/>
          <w:bCs/>
          <w:sz w:val="24"/>
          <w:szCs w:val="24"/>
        </w:rPr>
        <w:t xml:space="preserve">Absence of a dedicated advisor for small firms</w:t>
      </w:r>
    </w:p>
    <w:p>
      <w:pPr>
        <w:spacing w:after="160"/>
      </w:pPr>
      <w:r>
        <w:rPr>
          <w:rFonts w:ascii="Arial" w:cs="Arial" w:eastAsia="Arial" w:hAnsi="Arial"/>
          <w:sz w:val="24"/>
          <w:szCs w:val="24"/>
        </w:rPr>
        <w:t xml:space="preserve">Commerzbank has replaced dedicated personal advisors for smaller business customers with shared advisory centres, as documented in user reviews.</w:t>
      </w:r>
      <w:r>
        <w:rPr>
          <w:rFonts w:ascii="Arial" w:cs="Arial" w:eastAsia="Arial" w:hAnsi="Arial"/>
          <w:sz w:val="18"/>
          <w:szCs w:val="18"/>
          <w:vertAlign w:val="superscript"/>
        </w:rPr>
        <w:t xml:space="preserve">[57]</w:t>
      </w:r>
      <w:r>
        <w:rPr>
          <w:rFonts w:ascii="Arial" w:cs="Arial" w:eastAsia="Arial" w:hAnsi="Arial"/>
          <w:sz w:val="24"/>
          <w:szCs w:val="24"/>
        </w:rPr>
        <w:t xml:space="preserve"> This shift reduces the relationship-banking value that once differentiated incumbent banks from digital-only alternatives for this segment.</w:t>
      </w:r>
    </w:p>
    <w:p>
      <w:pPr>
        <w:pBdr>
          <w:bottom w:val="single" w:color="CCCCCC" w:sz="6" w:space="1"/>
        </w:pBdr>
        <w:spacing w:after="200" w:before="200"/>
      </w:pPr>
    </w:p>
    <w:p>
      <w:pPr>
        <w:pStyle w:val="Heading1"/>
        <w:spacing w:after="160" w:before="360"/>
      </w:pPr>
      <w:r>
        <w:rPr>
          <w:rFonts w:ascii="Arial" w:cs="Arial" w:eastAsia="Arial" w:hAnsi="Arial"/>
          <w:b/>
          <w:bCs/>
          <w:sz w:val="32"/>
          <w:szCs w:val="32"/>
        </w:rPr>
        <w:t xml:space="preserve">Sources</w:t>
      </w:r>
    </w:p>
    <w:p>
      <w:pPr>
        <w:spacing w:after="80"/>
        <w:ind w:left="360" w:hanging="360"/>
      </w:pPr>
      <w:r>
        <w:rPr>
          <w:rFonts w:ascii="Arial" w:cs="Arial" w:eastAsia="Arial" w:hAnsi="Arial"/>
          <w:sz w:val="18"/>
          <w:szCs w:val="18"/>
          <w:vertAlign w:val="superscript"/>
        </w:rPr>
        <w:t xml:space="preserve">[1] </w:t>
      </w:r>
      <w:r>
        <w:rPr>
          <w:rFonts w:ascii="Arial" w:cs="Arial" w:eastAsia="Arial" w:hAnsi="Arial"/>
          <w:sz w:val="20"/>
          <w:szCs w:val="20"/>
        </w:rPr>
        <w:t xml:space="preserve">Centre for Public Impact, </w:t>
      </w:r>
      <w:r>
        <w:rPr>
          <w:rFonts w:ascii="Arial" w:cs="Arial" w:eastAsia="Arial" w:hAnsi="Arial"/>
          <w:i/>
          <w:iCs/>
          <w:sz w:val="24"/>
          <w:szCs w:val="24"/>
        </w:rPr>
        <w:t xml:space="preserve">Sparkassen Savings Banks in Germany</w:t>
      </w:r>
      <w:r>
        <w:rPr>
          <w:rFonts w:ascii="Arial" w:cs="Arial" w:eastAsia="Arial" w:hAnsi="Arial"/>
          <w:sz w:val="20"/>
          <w:szCs w:val="20"/>
        </w:rPr>
        <w:t xml:space="preserve">, September 2024. </w:t>
      </w:r>
      <w:hyperlink w:history="1" r:id="rIda6axexdw9ev3n5fnjcfsi">
        <w:r>
          <w:rPr>
            <w:rStyle w:val="Hyperlink"/>
            <w:rFonts w:ascii="Arial" w:cs="Arial" w:eastAsia="Arial" w:hAnsi="Arial"/>
            <w:color w:val="1155CC"/>
            <w:sz w:val="20"/>
            <w:szCs w:val="20"/>
            <w:u w:val="single"/>
          </w:rPr>
          <w:t xml:space="preserve">https://www.centreforpublicimpact.org/case-study/sparkassen-savings-banks-germany</w:t>
        </w:r>
      </w:hyperlink>
    </w:p>
    <w:p>
      <w:pPr>
        <w:spacing w:after="80"/>
        <w:ind w:left="360" w:hanging="360"/>
      </w:pPr>
      <w:r>
        <w:rPr>
          <w:rFonts w:ascii="Arial" w:cs="Arial" w:eastAsia="Arial" w:hAnsi="Arial"/>
          <w:sz w:val="18"/>
          <w:szCs w:val="18"/>
          <w:vertAlign w:val="superscript"/>
        </w:rPr>
        <w:t xml:space="preserve">[2] </w:t>
      </w:r>
      <w:r>
        <w:rPr>
          <w:rFonts w:ascii="Arial" w:cs="Arial" w:eastAsia="Arial" w:hAnsi="Arial"/>
          <w:sz w:val="20"/>
          <w:szCs w:val="20"/>
        </w:rPr>
        <w:t xml:space="preserve">Für-Gründer, </w:t>
      </w:r>
      <w:r>
        <w:rPr>
          <w:rFonts w:ascii="Arial" w:cs="Arial" w:eastAsia="Arial" w:hAnsi="Arial"/>
          <w:i/>
          <w:iCs/>
          <w:sz w:val="24"/>
          <w:szCs w:val="24"/>
        </w:rPr>
        <w:t xml:space="preserve">Sparkasse Geschäftskonto</w:t>
      </w:r>
      <w:r>
        <w:rPr>
          <w:rFonts w:ascii="Arial" w:cs="Arial" w:eastAsia="Arial" w:hAnsi="Arial"/>
          <w:sz w:val="20"/>
          <w:szCs w:val="20"/>
        </w:rPr>
        <w:t xml:space="preserve">, December 2025. </w:t>
      </w:r>
      <w:hyperlink w:history="1" r:id="rIdltklqt4gnjuzqainjdilv">
        <w:r>
          <w:rPr>
            <w:rStyle w:val="Hyperlink"/>
            <w:rFonts w:ascii="Arial" w:cs="Arial" w:eastAsia="Arial" w:hAnsi="Arial"/>
            <w:color w:val="1155CC"/>
            <w:sz w:val="20"/>
            <w:szCs w:val="20"/>
            <w:u w:val="single"/>
          </w:rPr>
          <w:t xml:space="preserve">https://www.fuer-gruender.de/kapital/fremdkapital/hausbank/geschaeftskonto/sparkasse/</w:t>
        </w:r>
      </w:hyperlink>
    </w:p>
    <w:p>
      <w:pPr>
        <w:spacing w:after="80"/>
        <w:ind w:left="360" w:hanging="360"/>
      </w:pPr>
      <w:r>
        <w:rPr>
          <w:rFonts w:ascii="Arial" w:cs="Arial" w:eastAsia="Arial" w:hAnsi="Arial"/>
          <w:sz w:val="18"/>
          <w:szCs w:val="18"/>
          <w:vertAlign w:val="superscript"/>
        </w:rPr>
        <w:t xml:space="preserve">[3]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[4] </w:t>
      </w:r>
      <w:r>
        <w:rPr>
          <w:rFonts w:ascii="Arial" w:cs="Arial" w:eastAsia="Arial" w:hAnsi="Arial"/>
          <w:sz w:val="20"/>
          <w:szCs w:val="20"/>
        </w:rPr>
        <w:t xml:space="preserve">Centre for Public Impact, </w:t>
      </w:r>
      <w:r>
        <w:rPr>
          <w:rFonts w:ascii="Arial" w:cs="Arial" w:eastAsia="Arial" w:hAnsi="Arial"/>
          <w:i/>
          <w:iCs/>
          <w:sz w:val="24"/>
          <w:szCs w:val="24"/>
        </w:rPr>
        <w:t xml:space="preserve">Sparkassen Savings Banks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 </w:t>
      </w:r>
      <w:r>
        <w:rPr>
          <w:rFonts w:ascii="Arial" w:cs="Arial" w:eastAsia="Arial" w:hAnsi="Arial"/>
          <w:sz w:val="20"/>
          <w:szCs w:val="20"/>
        </w:rPr>
        <w:t xml:space="preserve">TheBanks.eu, </w:t>
      </w:r>
      <w:r>
        <w:rPr>
          <w:rFonts w:ascii="Arial" w:cs="Arial" w:eastAsia="Arial" w:hAnsi="Arial"/>
          <w:i/>
          <w:iCs/>
          <w:sz w:val="24"/>
          <w:szCs w:val="24"/>
        </w:rPr>
        <w:t xml:space="preserve">Cooperative Banks in Germany</w:t>
      </w:r>
      <w:r>
        <w:rPr>
          <w:rFonts w:ascii="Arial" w:cs="Arial" w:eastAsia="Arial" w:hAnsi="Arial"/>
          <w:sz w:val="20"/>
          <w:szCs w:val="20"/>
        </w:rPr>
        <w:t xml:space="preserve">, November 2025. </w:t>
      </w:r>
      <w:hyperlink w:history="1" r:id="rId5pvw5kmm8jlt81a6nkasx">
        <w:r>
          <w:rPr>
            <w:rStyle w:val="Hyperlink"/>
            <w:rFonts w:ascii="Arial" w:cs="Arial" w:eastAsia="Arial" w:hAnsi="Arial"/>
            <w:color w:val="1155CC"/>
            <w:sz w:val="20"/>
            <w:szCs w:val="20"/>
            <w:u w:val="single"/>
          </w:rPr>
          <w:t xml:space="preserve">https://thebanks.eu/bank-categories/cooperative-banks-in-Germany</w:t>
        </w:r>
      </w:hyperlink>
    </w:p>
    <w:p>
      <w:pPr>
        <w:spacing w:after="80"/>
        <w:ind w:left="360" w:hanging="360"/>
      </w:pPr>
      <w:r>
        <w:rPr>
          <w:rFonts w:ascii="Arial" w:cs="Arial" w:eastAsia="Arial" w:hAnsi="Arial"/>
          <w:sz w:val="18"/>
          <w:szCs w:val="18"/>
          <w:vertAlign w:val="superscript"/>
        </w:rPr>
        <w:t xml:space="preserve">[6] </w:t>
      </w:r>
      <w:r>
        <w:rPr>
          <w:rFonts w:ascii="Arial" w:cs="Arial" w:eastAsia="Arial" w:hAnsi="Arial"/>
          <w:sz w:val="20"/>
          <w:szCs w:val="20"/>
        </w:rPr>
        <w:t xml:space="preserve">DZ Bank, </w:t>
      </w:r>
      <w:r>
        <w:rPr>
          <w:rFonts w:ascii="Arial" w:cs="Arial" w:eastAsia="Arial" w:hAnsi="Arial"/>
          <w:i/>
          <w:iCs/>
          <w:sz w:val="24"/>
          <w:szCs w:val="24"/>
        </w:rPr>
        <w:t xml:space="preserve">Our Profile</w:t>
      </w:r>
      <w:r>
        <w:rPr>
          <w:rFonts w:ascii="Arial" w:cs="Arial" w:eastAsia="Arial" w:hAnsi="Arial"/>
          <w:sz w:val="20"/>
          <w:szCs w:val="20"/>
        </w:rPr>
        <w:t xml:space="preserve">. </w:t>
      </w:r>
      <w:hyperlink w:history="1" r:id="rIdvlkftqjj5drm5a3dzh0o_">
        <w:r>
          <w:rPr>
            <w:rStyle w:val="Hyperlink"/>
            <w:rFonts w:ascii="Arial" w:cs="Arial" w:eastAsia="Arial" w:hAnsi="Arial"/>
            <w:color w:val="1155CC"/>
            <w:sz w:val="20"/>
            <w:szCs w:val="20"/>
            <w:u w:val="single"/>
          </w:rPr>
          <w:t xml:space="preserve">https://www.dzbank.com/content/dzbank/en/home/dz-bank/profile.html</w:t>
        </w:r>
      </w:hyperlink>
    </w:p>
    <w:p>
      <w:pPr>
        <w:spacing w:after="80"/>
        <w:ind w:left="360" w:hanging="360"/>
      </w:pPr>
      <w:r>
        <w:rPr>
          <w:rFonts w:ascii="Arial" w:cs="Arial" w:eastAsia="Arial" w:hAnsi="Arial"/>
          <w:sz w:val="18"/>
          <w:szCs w:val="18"/>
          <w:vertAlign w:val="superscript"/>
        </w:rPr>
        <w:t xml:space="preserve">[7] </w:t>
      </w:r>
      <w:r>
        <w:rPr>
          <w:rFonts w:ascii="Arial" w:cs="Arial" w:eastAsia="Arial" w:hAnsi="Arial"/>
          <w:sz w:val="20"/>
          <w:szCs w:val="20"/>
        </w:rPr>
        <w:t xml:space="preserve">Geschäftskonten24, </w:t>
      </w:r>
      <w:r>
        <w:rPr>
          <w:rFonts w:ascii="Arial" w:cs="Arial" w:eastAsia="Arial" w:hAnsi="Arial"/>
          <w:i/>
          <w:iCs/>
          <w:sz w:val="24"/>
          <w:szCs w:val="24"/>
        </w:rPr>
        <w:t xml:space="preserve">Volksbank Geschäftskonto</w:t>
      </w:r>
      <w:r>
        <w:rPr>
          <w:rFonts w:ascii="Arial" w:cs="Arial" w:eastAsia="Arial" w:hAnsi="Arial"/>
          <w:sz w:val="20"/>
          <w:szCs w:val="20"/>
        </w:rPr>
        <w:t xml:space="preserve">, January 2026. </w:t>
      </w:r>
      <w:hyperlink w:history="1" r:id="rId6-aue-l5qko8_w0lcjjsw">
        <w:r>
          <w:rPr>
            <w:rStyle w:val="Hyperlink"/>
            <w:rFonts w:ascii="Arial" w:cs="Arial" w:eastAsia="Arial" w:hAnsi="Arial"/>
            <w:color w:val="1155CC"/>
            <w:sz w:val="20"/>
            <w:szCs w:val="20"/>
            <w:u w:val="single"/>
          </w:rPr>
          <w:t xml:space="preserve">https://www.geschaeftskonten24.net/volksbank-geschaeftskonto/</w:t>
        </w:r>
      </w:hyperlink>
    </w:p>
    <w:p>
      <w:pPr>
        <w:spacing w:after="80"/>
        <w:ind w:left="360" w:hanging="360"/>
      </w:pPr>
      <w:r>
        <w:rPr>
          <w:rFonts w:ascii="Arial" w:cs="Arial" w:eastAsia="Arial" w:hAnsi="Arial"/>
          <w:sz w:val="18"/>
          <w:szCs w:val="18"/>
          <w:vertAlign w:val="superscript"/>
        </w:rPr>
        <w:t xml:space="preserve">[8] </w:t>
      </w:r>
      <w:r>
        <w:rPr>
          <w:rFonts w:ascii="Arial" w:cs="Arial" w:eastAsia="Arial" w:hAnsi="Arial"/>
          <w:sz w:val="20"/>
          <w:szCs w:val="20"/>
        </w:rPr>
        <w:t xml:space="preserve">DZ Bank, </w:t>
      </w:r>
      <w:r>
        <w:rPr>
          <w:rFonts w:ascii="Arial" w:cs="Arial" w:eastAsia="Arial" w:hAnsi="Arial"/>
          <w:i/>
          <w:iCs/>
          <w:sz w:val="24"/>
          <w:szCs w:val="24"/>
        </w:rPr>
        <w:t xml:space="preserve">Our Profile</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[9] </w:t>
      </w:r>
      <w:r>
        <w:rPr>
          <w:rFonts w:ascii="Arial" w:cs="Arial" w:eastAsia="Arial" w:hAnsi="Arial"/>
          <w:sz w:val="20"/>
          <w:szCs w:val="20"/>
        </w:rPr>
        <w:t xml:space="preserve">Google Cloud, </w:t>
      </w:r>
      <w:r>
        <w:rPr>
          <w:rFonts w:ascii="Arial" w:cs="Arial" w:eastAsia="Arial" w:hAnsi="Arial"/>
          <w:i/>
          <w:iCs/>
          <w:sz w:val="24"/>
          <w:szCs w:val="24"/>
        </w:rPr>
        <w:t xml:space="preserve">Commerzbank Case Study</w:t>
      </w:r>
      <w:r>
        <w:rPr>
          <w:rFonts w:ascii="Arial" w:cs="Arial" w:eastAsia="Arial" w:hAnsi="Arial"/>
          <w:sz w:val="20"/>
          <w:szCs w:val="20"/>
        </w:rPr>
        <w:t xml:space="preserve">. </w:t>
      </w:r>
      <w:hyperlink w:history="1" r:id="rIdtf2jnyknf7910jvlay7rf">
        <w:r>
          <w:rPr>
            <w:rStyle w:val="Hyperlink"/>
            <w:rFonts w:ascii="Arial" w:cs="Arial" w:eastAsia="Arial" w:hAnsi="Arial"/>
            <w:color w:val="1155CC"/>
            <w:sz w:val="20"/>
            <w:szCs w:val="20"/>
            <w:u w:val="single"/>
          </w:rPr>
          <w:t xml:space="preserve">https://cloud.google.com/customers/commerzbank</w:t>
        </w:r>
      </w:hyperlink>
    </w:p>
    <w:p>
      <w:pPr>
        <w:spacing w:after="80"/>
        <w:ind w:left="360" w:hanging="360"/>
      </w:pPr>
      <w:r>
        <w:rPr>
          <w:rFonts w:ascii="Arial" w:cs="Arial" w:eastAsia="Arial" w:hAnsi="Arial"/>
          <w:sz w:val="18"/>
          <w:szCs w:val="18"/>
          <w:vertAlign w:val="superscript"/>
        </w:rPr>
        <w:t xml:space="preserve">[10] </w:t>
      </w:r>
      <w:r>
        <w:rPr>
          <w:rFonts w:ascii="Arial" w:cs="Arial" w:eastAsia="Arial" w:hAnsi="Arial"/>
          <w:sz w:val="20"/>
          <w:szCs w:val="20"/>
        </w:rPr>
        <w:t xml:space="preserve">Reisetopia, </w:t>
      </w:r>
      <w:r>
        <w:rPr>
          <w:rFonts w:ascii="Arial" w:cs="Arial" w:eastAsia="Arial" w:hAnsi="Arial"/>
          <w:i/>
          <w:iCs/>
          <w:sz w:val="24"/>
          <w:szCs w:val="24"/>
        </w:rPr>
        <w:t xml:space="preserve">Commerzbank Geschäftskonto</w:t>
      </w:r>
      <w:r>
        <w:rPr>
          <w:rFonts w:ascii="Arial" w:cs="Arial" w:eastAsia="Arial" w:hAnsi="Arial"/>
          <w:sz w:val="20"/>
          <w:szCs w:val="20"/>
        </w:rPr>
        <w:t xml:space="preserve">, March 2026. </w:t>
      </w:r>
      <w:hyperlink w:history="1" r:id="rIdv_c4qgixk7njaisho1s8p">
        <w:r>
          <w:rPr>
            <w:rStyle w:val="Hyperlink"/>
            <w:rFonts w:ascii="Arial" w:cs="Arial" w:eastAsia="Arial" w:hAnsi="Arial"/>
            <w:color w:val="1155CC"/>
            <w:sz w:val="20"/>
            <w:szCs w:val="20"/>
            <w:u w:val="single"/>
          </w:rPr>
          <w:t xml:space="preserve">https://reisetopia.de/geschaeftskonto/commerzbank-geschaeftskonto/</w:t>
        </w:r>
      </w:hyperlink>
    </w:p>
    <w:p>
      <w:pPr>
        <w:spacing w:after="80"/>
        <w:ind w:left="360" w:hanging="360"/>
      </w:pPr>
      <w:r>
        <w:rPr>
          <w:rFonts w:ascii="Arial" w:cs="Arial" w:eastAsia="Arial" w:hAnsi="Arial"/>
          <w:sz w:val="18"/>
          <w:szCs w:val="18"/>
          <w:vertAlign w:val="superscript"/>
        </w:rPr>
        <w:t xml:space="preserve">[11] </w:t>
      </w:r>
      <w:r>
        <w:rPr>
          <w:rFonts w:ascii="Arial" w:cs="Arial" w:eastAsia="Arial" w:hAnsi="Arial"/>
          <w:sz w:val="20"/>
          <w:szCs w:val="20"/>
        </w:rPr>
        <w:t xml:space="preserve">Commerzbank, </w:t>
      </w:r>
      <w:r>
        <w:rPr>
          <w:rFonts w:ascii="Arial" w:cs="Arial" w:eastAsia="Arial" w:hAnsi="Arial"/>
          <w:i/>
          <w:iCs/>
          <w:sz w:val="24"/>
          <w:szCs w:val="24"/>
        </w:rPr>
        <w:t xml:space="preserve">Results 2024 and Strategy Upgrade</w:t>
      </w:r>
      <w:r>
        <w:rPr>
          <w:rFonts w:ascii="Arial" w:cs="Arial" w:eastAsia="Arial" w:hAnsi="Arial"/>
          <w:sz w:val="20"/>
          <w:szCs w:val="20"/>
        </w:rPr>
        <w:t xml:space="preserve">, January 2025. </w:t>
      </w:r>
      <w:hyperlink w:history="1" r:id="rIdeha4lyx36jy0yw8byteqq">
        <w:r>
          <w:rPr>
            <w:rStyle w:val="Hyperlink"/>
            <w:rFonts w:ascii="Arial" w:cs="Arial" w:eastAsia="Arial" w:hAnsi="Arial"/>
            <w:color w:val="1155CC"/>
            <w:sz w:val="20"/>
            <w:szCs w:val="20"/>
            <w:u w:val="single"/>
          </w:rPr>
          <w:t xml:space="preserve">https://www.commerzbank.de/group/newsroom/press-releases/results-2024-and-strategy-upgrade.html</w:t>
        </w:r>
      </w:hyperlink>
    </w:p>
    <w:p>
      <w:pPr>
        <w:spacing w:after="80"/>
        <w:ind w:left="360" w:hanging="360"/>
      </w:pPr>
      <w:r>
        <w:rPr>
          <w:rFonts w:ascii="Arial" w:cs="Arial" w:eastAsia="Arial" w:hAnsi="Arial"/>
          <w:sz w:val="18"/>
          <w:szCs w:val="18"/>
          <w:vertAlign w:val="superscript"/>
        </w:rPr>
        <w:t xml:space="preserve">[12] </w:t>
      </w:r>
      <w:r>
        <w:rPr>
          <w:rFonts w:ascii="Arial" w:cs="Arial" w:eastAsia="Arial" w:hAnsi="Arial"/>
          <w:sz w:val="20"/>
          <w:szCs w:val="20"/>
        </w:rPr>
        <w:t xml:space="preserve">Geschäftskonten24, </w:t>
      </w:r>
      <w:r>
        <w:rPr>
          <w:rFonts w:ascii="Arial" w:cs="Arial" w:eastAsia="Arial" w:hAnsi="Arial"/>
          <w:i/>
          <w:iCs/>
          <w:sz w:val="24"/>
          <w:szCs w:val="24"/>
        </w:rPr>
        <w:t xml:space="preserve">Commerzbank Geschäftskonto</w:t>
      </w:r>
      <w:r>
        <w:rPr>
          <w:rFonts w:ascii="Arial" w:cs="Arial" w:eastAsia="Arial" w:hAnsi="Arial"/>
          <w:sz w:val="20"/>
          <w:szCs w:val="20"/>
        </w:rPr>
        <w:t xml:space="preserve">, January 2026. </w:t>
      </w:r>
      <w:hyperlink w:history="1" r:id="rIdojzctzwla_bdtygfrvc15">
        <w:r>
          <w:rPr>
            <w:rStyle w:val="Hyperlink"/>
            <w:rFonts w:ascii="Arial" w:cs="Arial" w:eastAsia="Arial" w:hAnsi="Arial"/>
            <w:color w:val="1155CC"/>
            <w:sz w:val="20"/>
            <w:szCs w:val="20"/>
            <w:u w:val="single"/>
          </w:rPr>
          <w:t xml:space="preserve">https://www.geschaeftskonten24.net/commerzbank-geschaeftskonto/</w:t>
        </w:r>
      </w:hyperlink>
    </w:p>
    <w:p>
      <w:pPr>
        <w:spacing w:after="80"/>
        <w:ind w:left="360" w:hanging="360"/>
      </w:pPr>
      <w:r>
        <w:rPr>
          <w:rFonts w:ascii="Arial" w:cs="Arial" w:eastAsia="Arial" w:hAnsi="Arial"/>
          <w:sz w:val="18"/>
          <w:szCs w:val="18"/>
          <w:vertAlign w:val="superscript"/>
        </w:rPr>
        <w:t xml:space="preserve">[13] </w:t>
      </w:r>
      <w:r>
        <w:rPr>
          <w:rFonts w:ascii="Arial" w:cs="Arial" w:eastAsia="Arial" w:hAnsi="Arial"/>
          <w:sz w:val="20"/>
          <w:szCs w:val="20"/>
        </w:rPr>
        <w:t xml:space="preserve">Expatica, </w:t>
      </w:r>
      <w:r>
        <w:rPr>
          <w:rFonts w:ascii="Arial" w:cs="Arial" w:eastAsia="Arial" w:hAnsi="Arial"/>
          <w:i/>
          <w:iCs/>
          <w:sz w:val="24"/>
          <w:szCs w:val="24"/>
        </w:rPr>
        <w:t xml:space="preserve">Best Business Bank Account in Germany</w:t>
      </w:r>
      <w:r>
        <w:rPr>
          <w:rFonts w:ascii="Arial" w:cs="Arial" w:eastAsia="Arial" w:hAnsi="Arial"/>
          <w:sz w:val="20"/>
          <w:szCs w:val="20"/>
        </w:rPr>
        <w:t xml:space="preserve">, September 2025. </w:t>
      </w:r>
      <w:hyperlink w:history="1" r:id="rIdx50bkqrag8f-jnlqds5ms">
        <w:r>
          <w:rPr>
            <w:rStyle w:val="Hyperlink"/>
            <w:rFonts w:ascii="Arial" w:cs="Arial" w:eastAsia="Arial" w:hAnsi="Arial"/>
            <w:color w:val="1155CC"/>
            <w:sz w:val="20"/>
            <w:szCs w:val="20"/>
            <w:u w:val="single"/>
          </w:rPr>
          <w:t xml:space="preserve">https://www.expatica.com/de/finance/banking/best-business-bank-account-in-germany-2173302/</w:t>
        </w:r>
      </w:hyperlink>
    </w:p>
    <w:p>
      <w:pPr>
        <w:spacing w:after="80"/>
        <w:ind w:left="360" w:hanging="360"/>
      </w:pPr>
      <w:r>
        <w:rPr>
          <w:rFonts w:ascii="Arial" w:cs="Arial" w:eastAsia="Arial" w:hAnsi="Arial"/>
          <w:sz w:val="18"/>
          <w:szCs w:val="18"/>
          <w:vertAlign w:val="superscript"/>
        </w:rPr>
        <w:t xml:space="preserve">[14]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[15] </w:t>
      </w:r>
      <w:r>
        <w:rPr>
          <w:rFonts w:ascii="Arial" w:cs="Arial" w:eastAsia="Arial" w:hAnsi="Arial"/>
          <w:sz w:val="20"/>
          <w:szCs w:val="20"/>
        </w:rPr>
        <w:t xml:space="preserve">Deutsche Bank, </w:t>
      </w:r>
      <w:r>
        <w:rPr>
          <w:rFonts w:ascii="Arial" w:cs="Arial" w:eastAsia="Arial" w:hAnsi="Arial"/>
          <w:i/>
          <w:iCs/>
          <w:sz w:val="24"/>
          <w:szCs w:val="24"/>
        </w:rPr>
        <w:t xml:space="preserve">Strategy</w:t>
      </w:r>
      <w:r>
        <w:rPr>
          <w:rFonts w:ascii="Arial" w:cs="Arial" w:eastAsia="Arial" w:hAnsi="Arial"/>
          <w:sz w:val="20"/>
          <w:szCs w:val="20"/>
        </w:rPr>
        <w:t xml:space="preserve">. </w:t>
      </w:r>
      <w:hyperlink w:history="1" r:id="rIdzceyqwhhrhyp8_69kdcdz">
        <w:r>
          <w:rPr>
            <w:rStyle w:val="Hyperlink"/>
            <w:rFonts w:ascii="Arial" w:cs="Arial" w:eastAsia="Arial" w:hAnsi="Arial"/>
            <w:color w:val="1155CC"/>
            <w:sz w:val="20"/>
            <w:szCs w:val="20"/>
            <w:u w:val="single"/>
          </w:rPr>
          <w:t xml:space="preserve">https://www.db.com/who-we-are/strategy/</w:t>
        </w:r>
      </w:hyperlink>
    </w:p>
    <w:p>
      <w:pPr>
        <w:spacing w:after="80"/>
        <w:ind w:left="360" w:hanging="360"/>
      </w:pPr>
      <w:r>
        <w:rPr>
          <w:rFonts w:ascii="Arial" w:cs="Arial" w:eastAsia="Arial" w:hAnsi="Arial"/>
          <w:sz w:val="18"/>
          <w:szCs w:val="18"/>
          <w:vertAlign w:val="superscript"/>
        </w:rPr>
        <w:t xml:space="preserve">[16] </w:t>
      </w:r>
      <w:r>
        <w:rPr>
          <w:rFonts w:ascii="Arial" w:cs="Arial" w:eastAsia="Arial" w:hAnsi="Arial"/>
          <w:sz w:val="20"/>
          <w:szCs w:val="20"/>
        </w:rPr>
        <w:t xml:space="preserve">DSGV, </w:t>
      </w:r>
      <w:r>
        <w:rPr>
          <w:rFonts w:ascii="Arial" w:cs="Arial" w:eastAsia="Arial" w:hAnsi="Arial"/>
          <w:i/>
          <w:iCs/>
          <w:sz w:val="24"/>
          <w:szCs w:val="24"/>
        </w:rPr>
        <w:t xml:space="preserve">German SMEs: Who Will Take Up the Baton? SME Diagnosis 2024</w:t>
      </w:r>
      <w:r>
        <w:rPr>
          <w:rFonts w:ascii="Arial" w:cs="Arial" w:eastAsia="Arial" w:hAnsi="Arial"/>
          <w:sz w:val="20"/>
          <w:szCs w:val="20"/>
        </w:rPr>
        <w:t xml:space="preserve">, January 2025. </w:t>
      </w:r>
      <w:hyperlink w:history="1" r:id="rIdw5nm1wl1efzzwcub-dgwq">
        <w:r>
          <w:rPr>
            <w:rStyle w:val="Hyperlink"/>
            <w:rFonts w:ascii="Arial" w:cs="Arial" w:eastAsia="Arial" w:hAnsi="Arial"/>
            <w:color w:val="1155CC"/>
            <w:sz w:val="20"/>
            <w:szCs w:val="20"/>
            <w:u w:val="single"/>
          </w:rPr>
          <w:t xml:space="preserve">https://www.dsgv.de/content/dam/dsgv-de/englische-inhalte/20250107_WEB_final_DM_24_EN.pdf</w:t>
        </w:r>
      </w:hyperlink>
    </w:p>
    <w:p>
      <w:pPr>
        <w:spacing w:after="80"/>
        <w:ind w:left="360" w:hanging="360"/>
      </w:pPr>
      <w:r>
        <w:rPr>
          <w:rFonts w:ascii="Arial" w:cs="Arial" w:eastAsia="Arial" w:hAnsi="Arial"/>
          <w:sz w:val="18"/>
          <w:szCs w:val="18"/>
          <w:vertAlign w:val="superscript"/>
        </w:rPr>
        <w:t xml:space="preserve">[17] </w:t>
      </w:r>
      <w:r>
        <w:rPr>
          <w:rFonts w:ascii="Arial" w:cs="Arial" w:eastAsia="Arial" w:hAnsi="Arial"/>
          <w:sz w:val="20"/>
          <w:szCs w:val="20"/>
        </w:rPr>
        <w:t xml:space="preserve">Centre for Public Impact, </w:t>
      </w:r>
      <w:r>
        <w:rPr>
          <w:rFonts w:ascii="Arial" w:cs="Arial" w:eastAsia="Arial" w:hAnsi="Arial"/>
          <w:i/>
          <w:iCs/>
          <w:sz w:val="24"/>
          <w:szCs w:val="24"/>
        </w:rPr>
        <w:t xml:space="preserve">Sparkassen Savings Banks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[18] </w:t>
      </w:r>
      <w:r>
        <w:rPr>
          <w:rFonts w:ascii="Arial" w:cs="Arial" w:eastAsia="Arial" w:hAnsi="Arial"/>
          <w:sz w:val="20"/>
          <w:szCs w:val="20"/>
        </w:rPr>
        <w:t xml:space="preserve">DSGV, </w:t>
      </w:r>
      <w:r>
        <w:rPr>
          <w:rFonts w:ascii="Arial" w:cs="Arial" w:eastAsia="Arial" w:hAnsi="Arial"/>
          <w:i/>
          <w:iCs/>
          <w:sz w:val="24"/>
          <w:szCs w:val="24"/>
        </w:rPr>
        <w:t xml:space="preserve">German SMEs: Who Will Take Up the Baton? SME Diagnosis 2024</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[19] </w:t>
      </w:r>
      <w:r>
        <w:rPr>
          <w:rFonts w:ascii="Arial" w:cs="Arial" w:eastAsia="Arial" w:hAnsi="Arial"/>
          <w:sz w:val="20"/>
          <w:szCs w:val="20"/>
        </w:rPr>
        <w:t xml:space="preserve">Geschäftskonten24, </w:t>
      </w:r>
      <w:r>
        <w:rPr>
          <w:rFonts w:ascii="Arial" w:cs="Arial" w:eastAsia="Arial" w:hAnsi="Arial"/>
          <w:i/>
          <w:iCs/>
          <w:sz w:val="24"/>
          <w:szCs w:val="24"/>
        </w:rPr>
        <w:t xml:space="preserve">Sparkasse Geschäftskonto</w:t>
      </w:r>
      <w:r>
        <w:rPr>
          <w:rFonts w:ascii="Arial" w:cs="Arial" w:eastAsia="Arial" w:hAnsi="Arial"/>
          <w:sz w:val="20"/>
          <w:szCs w:val="20"/>
        </w:rPr>
        <w:t xml:space="preserve">, March 2026. </w:t>
      </w:r>
      <w:hyperlink w:history="1" r:id="rId7dvrxnnmf5wndxzrw2g3d">
        <w:r>
          <w:rPr>
            <w:rStyle w:val="Hyperlink"/>
            <w:rFonts w:ascii="Arial" w:cs="Arial" w:eastAsia="Arial" w:hAnsi="Arial"/>
            <w:color w:val="1155CC"/>
            <w:sz w:val="20"/>
            <w:szCs w:val="20"/>
            <w:u w:val="single"/>
          </w:rPr>
          <w:t xml:space="preserve">https://www.geschaeftskonten24.net/sparkasse-geschaeftskonto/</w:t>
        </w:r>
      </w:hyperlink>
    </w:p>
    <w:p>
      <w:pPr>
        <w:spacing w:after="80"/>
        <w:ind w:left="360" w:hanging="360"/>
      </w:pPr>
      <w:r>
        <w:rPr>
          <w:rFonts w:ascii="Arial" w:cs="Arial" w:eastAsia="Arial" w:hAnsi="Arial"/>
          <w:sz w:val="18"/>
          <w:szCs w:val="18"/>
          <w:vertAlign w:val="superscript"/>
        </w:rPr>
        <w:t xml:space="preserve">[20] </w:t>
      </w:r>
      <w:r>
        <w:rPr>
          <w:rFonts w:ascii="Arial" w:cs="Arial" w:eastAsia="Arial" w:hAnsi="Arial"/>
          <w:sz w:val="20"/>
          <w:szCs w:val="20"/>
        </w:rPr>
        <w:t xml:space="preserve">Monito, </w:t>
      </w:r>
      <w:r>
        <w:rPr>
          <w:rFonts w:ascii="Arial" w:cs="Arial" w:eastAsia="Arial" w:hAnsi="Arial"/>
          <w:i/>
          <w:iCs/>
          <w:sz w:val="24"/>
          <w:szCs w:val="24"/>
        </w:rPr>
        <w:t xml:space="preserve">Best Business Bank Accounts in Germany</w:t>
      </w:r>
      <w:r>
        <w:rPr>
          <w:rFonts w:ascii="Arial" w:cs="Arial" w:eastAsia="Arial" w:hAnsi="Arial"/>
          <w:sz w:val="20"/>
          <w:szCs w:val="20"/>
        </w:rPr>
        <w:t xml:space="preserve">, August 2025. </w:t>
      </w:r>
      <w:hyperlink w:history="1" r:id="rIdkdlsjv5odv4un5qd7nste">
        <w:r>
          <w:rPr>
            <w:rStyle w:val="Hyperlink"/>
            <w:rFonts w:ascii="Arial" w:cs="Arial" w:eastAsia="Arial" w:hAnsi="Arial"/>
            <w:color w:val="1155CC"/>
            <w:sz w:val="20"/>
            <w:szCs w:val="20"/>
            <w:u w:val="single"/>
          </w:rPr>
          <w:t xml:space="preserve">https://www.monito.com/en/wiki/best-business-bank-account-germany</w:t>
        </w:r>
      </w:hyperlink>
    </w:p>
    <w:p>
      <w:pPr>
        <w:spacing w:after="80"/>
        <w:ind w:left="360" w:hanging="360"/>
      </w:pPr>
      <w:r>
        <w:rPr>
          <w:rFonts w:ascii="Arial" w:cs="Arial" w:eastAsia="Arial" w:hAnsi="Arial"/>
          <w:sz w:val="18"/>
          <w:szCs w:val="18"/>
          <w:vertAlign w:val="superscript"/>
        </w:rPr>
        <w:t xml:space="preserve">[21] </w:t>
      </w:r>
      <w:r>
        <w:rPr>
          <w:rFonts w:ascii="Arial" w:cs="Arial" w:eastAsia="Arial" w:hAnsi="Arial"/>
          <w:sz w:val="20"/>
          <w:szCs w:val="20"/>
        </w:rPr>
        <w:t xml:space="preserve">TheBanks.eu, </w:t>
      </w:r>
      <w:r>
        <w:rPr>
          <w:rFonts w:ascii="Arial" w:cs="Arial" w:eastAsia="Arial" w:hAnsi="Arial"/>
          <w:i/>
          <w:iCs/>
          <w:sz w:val="24"/>
          <w:szCs w:val="24"/>
        </w:rPr>
        <w:t xml:space="preserve">Cooperative Banks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[22] </w:t>
      </w:r>
      <w:r>
        <w:rPr>
          <w:rFonts w:ascii="Arial" w:cs="Arial" w:eastAsia="Arial" w:hAnsi="Arial"/>
          <w:sz w:val="20"/>
          <w:szCs w:val="20"/>
        </w:rPr>
        <w:t xml:space="preserve">DZ Bank, </w:t>
      </w:r>
      <w:r>
        <w:rPr>
          <w:rFonts w:ascii="Arial" w:cs="Arial" w:eastAsia="Arial" w:hAnsi="Arial"/>
          <w:i/>
          <w:iCs/>
          <w:sz w:val="24"/>
          <w:szCs w:val="24"/>
        </w:rPr>
        <w:t xml:space="preserve">Our Profile</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[23] </w:t>
      </w:r>
      <w:r>
        <w:rPr>
          <w:rFonts w:ascii="Arial" w:cs="Arial" w:eastAsia="Arial" w:hAnsi="Arial"/>
          <w:sz w:val="20"/>
          <w:szCs w:val="20"/>
        </w:rPr>
        <w:t xml:space="preserve">Geschäftskonten24, </w:t>
      </w:r>
      <w:r>
        <w:rPr>
          <w:rFonts w:ascii="Arial" w:cs="Arial" w:eastAsia="Arial" w:hAnsi="Arial"/>
          <w:i/>
          <w:iCs/>
          <w:sz w:val="24"/>
          <w:szCs w:val="24"/>
        </w:rPr>
        <w:t xml:space="preserve">Volksbank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[24]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[25] </w:t>
      </w:r>
      <w:r>
        <w:rPr>
          <w:rFonts w:ascii="Arial" w:cs="Arial" w:eastAsia="Arial" w:hAnsi="Arial"/>
          <w:sz w:val="20"/>
          <w:szCs w:val="20"/>
        </w:rPr>
        <w:t xml:space="preserve">Commerzbank, </w:t>
      </w:r>
      <w:r>
        <w:rPr>
          <w:rFonts w:ascii="Arial" w:cs="Arial" w:eastAsia="Arial" w:hAnsi="Arial"/>
          <w:i/>
          <w:iCs/>
          <w:sz w:val="24"/>
          <w:szCs w:val="24"/>
        </w:rPr>
        <w:t xml:space="preserve">Unternehmerperspektiven Study 2025</w:t>
      </w:r>
      <w:r>
        <w:rPr>
          <w:rFonts w:ascii="Arial" w:cs="Arial" w:eastAsia="Arial" w:hAnsi="Arial"/>
          <w:sz w:val="20"/>
          <w:szCs w:val="20"/>
        </w:rPr>
        <w:t xml:space="preserve">, May 2025. </w:t>
      </w:r>
      <w:hyperlink w:history="1" r:id="rIdr-k2lcvveslf0nc9wdsab">
        <w:r>
          <w:rPr>
            <w:rStyle w:val="Hyperlink"/>
            <w:rFonts w:ascii="Arial" w:cs="Arial" w:eastAsia="Arial" w:hAnsi="Arial"/>
            <w:color w:val="1155CC"/>
            <w:sz w:val="20"/>
            <w:szCs w:val="20"/>
            <w:u w:val="single"/>
          </w:rPr>
          <w:t xml:space="preserve">https://www.commerzbank.de/group/newsroom/press-releases/unternehmerperspektiven-study-2025.html</w:t>
        </w:r>
      </w:hyperlink>
    </w:p>
    <w:p>
      <w:pPr>
        <w:spacing w:after="80"/>
        <w:ind w:left="360" w:hanging="360"/>
      </w:pPr>
      <w:r>
        <w:rPr>
          <w:rFonts w:ascii="Arial" w:cs="Arial" w:eastAsia="Arial" w:hAnsi="Arial"/>
          <w:sz w:val="18"/>
          <w:szCs w:val="18"/>
          <w:vertAlign w:val="superscript"/>
        </w:rPr>
        <w:t xml:space="preserve">[26] </w:t>
      </w:r>
      <w:r>
        <w:rPr>
          <w:rFonts w:ascii="Arial" w:cs="Arial" w:eastAsia="Arial" w:hAnsi="Arial"/>
          <w:sz w:val="20"/>
          <w:szCs w:val="20"/>
        </w:rPr>
        <w:t xml:space="preserve">Commerzbank, </w:t>
      </w:r>
      <w:r>
        <w:rPr>
          <w:rFonts w:ascii="Arial" w:cs="Arial" w:eastAsia="Arial" w:hAnsi="Arial"/>
          <w:i/>
          <w:iCs/>
          <w:sz w:val="24"/>
          <w:szCs w:val="24"/>
        </w:rPr>
        <w:t xml:space="preserve">Geschäftskonto für Freiberufler</w:t>
      </w:r>
      <w:r>
        <w:rPr>
          <w:rFonts w:ascii="Arial" w:cs="Arial" w:eastAsia="Arial" w:hAnsi="Arial"/>
          <w:sz w:val="20"/>
          <w:szCs w:val="20"/>
        </w:rPr>
        <w:t xml:space="preserve">. </w:t>
      </w:r>
      <w:hyperlink w:history="1" r:id="rIdjq45so2lfjtyhufydq3on">
        <w:r>
          <w:rPr>
            <w:rStyle w:val="Hyperlink"/>
            <w:rFonts w:ascii="Arial" w:cs="Arial" w:eastAsia="Arial" w:hAnsi="Arial"/>
            <w:color w:val="1155CC"/>
            <w:sz w:val="20"/>
            <w:szCs w:val="20"/>
            <w:u w:val="single"/>
          </w:rPr>
          <w:t xml:space="preserve">https://www.commerzbank.de/unternehmerkunden/geschaeftskonten/freiberufler-selbststaendige/</w:t>
        </w:r>
      </w:hyperlink>
    </w:p>
    <w:p>
      <w:pPr>
        <w:spacing w:after="80"/>
        <w:ind w:left="360" w:hanging="360"/>
      </w:pPr>
      <w:r>
        <w:rPr>
          <w:rFonts w:ascii="Arial" w:cs="Arial" w:eastAsia="Arial" w:hAnsi="Arial"/>
          <w:sz w:val="18"/>
          <w:szCs w:val="18"/>
          <w:vertAlign w:val="superscript"/>
        </w:rPr>
        <w:t xml:space="preserve">[27] </w:t>
      </w:r>
      <w:r>
        <w:rPr>
          <w:rFonts w:ascii="Arial" w:cs="Arial" w:eastAsia="Arial" w:hAnsi="Arial"/>
          <w:sz w:val="20"/>
          <w:szCs w:val="20"/>
        </w:rPr>
        <w:t xml:space="preserve">Reisetopia, </w:t>
      </w:r>
      <w:r>
        <w:rPr>
          <w:rFonts w:ascii="Arial" w:cs="Arial" w:eastAsia="Arial" w:hAnsi="Arial"/>
          <w:i/>
          <w:iCs/>
          <w:sz w:val="24"/>
          <w:szCs w:val="24"/>
        </w:rPr>
        <w:t xml:space="preserve">Commerzbank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[28] </w:t>
      </w:r>
      <w:r>
        <w:rPr>
          <w:rFonts w:ascii="Arial" w:cs="Arial" w:eastAsia="Arial" w:hAnsi="Arial"/>
          <w:sz w:val="20"/>
          <w:szCs w:val="20"/>
        </w:rPr>
        <w:t xml:space="preserve">Expatica, </w:t>
      </w:r>
      <w:r>
        <w:rPr>
          <w:rFonts w:ascii="Arial" w:cs="Arial" w:eastAsia="Arial" w:hAnsi="Arial"/>
          <w:i/>
          <w:iCs/>
          <w:sz w:val="24"/>
          <w:szCs w:val="24"/>
        </w:rPr>
        <w:t xml:space="preserve">Best Business Bank Account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[29] </w:t>
      </w:r>
      <w:r>
        <w:rPr>
          <w:rFonts w:ascii="Arial" w:cs="Arial" w:eastAsia="Arial" w:hAnsi="Arial"/>
          <w:sz w:val="20"/>
          <w:szCs w:val="20"/>
        </w:rPr>
        <w:t xml:space="preserve">Deutsche Bank, </w:t>
      </w:r>
      <w:r>
        <w:rPr>
          <w:rFonts w:ascii="Arial" w:cs="Arial" w:eastAsia="Arial" w:hAnsi="Arial"/>
          <w:i/>
          <w:iCs/>
          <w:sz w:val="24"/>
          <w:szCs w:val="24"/>
        </w:rPr>
        <w:t xml:space="preserve">Strategy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[30] </w:t>
      </w:r>
      <w:r>
        <w:rPr>
          <w:rFonts w:ascii="Arial" w:cs="Arial" w:eastAsia="Arial" w:hAnsi="Arial"/>
          <w:sz w:val="20"/>
          <w:szCs w:val="20"/>
        </w:rPr>
        <w:t xml:space="preserve">Expatica, op. cit.; Commerzbank, </w:t>
      </w:r>
      <w:r>
        <w:rPr>
          <w:rFonts w:ascii="Arial" w:cs="Arial" w:eastAsia="Arial" w:hAnsi="Arial"/>
          <w:i/>
          <w:iCs/>
          <w:sz w:val="24"/>
          <w:szCs w:val="24"/>
        </w:rPr>
        <w:t xml:space="preserve">Geschäftskonto für Freiberufler</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[31] </w:t>
      </w:r>
      <w:r>
        <w:rPr>
          <w:rFonts w:ascii="Arial" w:cs="Arial" w:eastAsia="Arial" w:hAnsi="Arial"/>
          <w:sz w:val="20"/>
          <w:szCs w:val="20"/>
        </w:rPr>
        <w:t xml:space="preserve">Geschäftskonten24, </w:t>
      </w:r>
      <w:r>
        <w:rPr>
          <w:rFonts w:ascii="Arial" w:cs="Arial" w:eastAsia="Arial" w:hAnsi="Arial"/>
          <w:i/>
          <w:iCs/>
          <w:sz w:val="24"/>
          <w:szCs w:val="24"/>
        </w:rPr>
        <w:t xml:space="preserve">Volksbank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[32] </w:t>
      </w:r>
      <w:r>
        <w:rPr>
          <w:rFonts w:ascii="Arial" w:cs="Arial" w:eastAsia="Arial" w:hAnsi="Arial"/>
          <w:sz w:val="20"/>
          <w:szCs w:val="20"/>
        </w:rPr>
        <w:t xml:space="preserve">Für-Gründer, </w:t>
      </w:r>
      <w:r>
        <w:rPr>
          <w:rFonts w:ascii="Arial" w:cs="Arial" w:eastAsia="Arial" w:hAnsi="Arial"/>
          <w:i/>
          <w:iCs/>
          <w:sz w:val="24"/>
          <w:szCs w:val="24"/>
        </w:rPr>
        <w:t xml:space="preserve">Geschäftskonto-Vergleich für Freiberufler &amp; Selbständige</w:t>
      </w:r>
      <w:r>
        <w:rPr>
          <w:rFonts w:ascii="Arial" w:cs="Arial" w:eastAsia="Arial" w:hAnsi="Arial"/>
          <w:sz w:val="20"/>
          <w:szCs w:val="20"/>
        </w:rPr>
        <w:t xml:space="preserve">. </w:t>
      </w:r>
      <w:hyperlink w:history="1" r:id="rId5w2vs-6bipoa5d75jmldh">
        <w:r>
          <w:rPr>
            <w:rStyle w:val="Hyperlink"/>
            <w:rFonts w:ascii="Arial" w:cs="Arial" w:eastAsia="Arial" w:hAnsi="Arial"/>
            <w:color w:val="1155CC"/>
            <w:sz w:val="20"/>
            <w:szCs w:val="20"/>
            <w:u w:val="single"/>
          </w:rPr>
          <w:t xml:space="preserve">https://www.fuer-gruender.de/kapital/fremdkapital/hausbank/geschaeftskonto/girokonto-freiberufler/</w:t>
        </w:r>
      </w:hyperlink>
    </w:p>
    <w:p>
      <w:pPr>
        <w:spacing w:after="80"/>
        <w:ind w:left="360" w:hanging="360"/>
      </w:pPr>
      <w:r>
        <w:rPr>
          <w:rFonts w:ascii="Arial" w:cs="Arial" w:eastAsia="Arial" w:hAnsi="Arial"/>
          <w:sz w:val="18"/>
          <w:szCs w:val="18"/>
          <w:vertAlign w:val="superscript"/>
        </w:rPr>
        <w:t xml:space="preserve">[33] </w:t>
      </w:r>
      <w:r>
        <w:rPr>
          <w:rFonts w:ascii="Arial" w:cs="Arial" w:eastAsia="Arial" w:hAnsi="Arial"/>
          <w:sz w:val="20"/>
          <w:szCs w:val="20"/>
        </w:rPr>
        <w:t xml:space="preserve">Norman Finance, </w:t>
      </w:r>
      <w:r>
        <w:rPr>
          <w:rFonts w:ascii="Arial" w:cs="Arial" w:eastAsia="Arial" w:hAnsi="Arial"/>
          <w:i/>
          <w:iCs/>
          <w:sz w:val="24"/>
          <w:szCs w:val="24"/>
        </w:rPr>
        <w:t xml:space="preserve">Best Accounting Software for Freelancers in Germany</w:t>
      </w:r>
      <w:r>
        <w:rPr>
          <w:rFonts w:ascii="Arial" w:cs="Arial" w:eastAsia="Arial" w:hAnsi="Arial"/>
          <w:sz w:val="20"/>
          <w:szCs w:val="20"/>
        </w:rPr>
        <w:t xml:space="preserve">, February 2026. </w:t>
      </w:r>
      <w:hyperlink w:history="1" r:id="rId_i8pdrkfb0raffk49sf19">
        <w:r>
          <w:rPr>
            <w:rStyle w:val="Hyperlink"/>
            <w:rFonts w:ascii="Arial" w:cs="Arial" w:eastAsia="Arial" w:hAnsi="Arial"/>
            <w:color w:val="1155CC"/>
            <w:sz w:val="20"/>
            <w:szCs w:val="20"/>
            <w:u w:val="single"/>
          </w:rPr>
          <w:t xml:space="preserve">https://norman.finance/blog/best-accounting-software-freelancers-germany</w:t>
        </w:r>
      </w:hyperlink>
    </w:p>
    <w:p>
      <w:pPr>
        <w:spacing w:after="80"/>
        <w:ind w:left="360" w:hanging="360"/>
      </w:pPr>
      <w:r>
        <w:rPr>
          <w:rFonts w:ascii="Arial" w:cs="Arial" w:eastAsia="Arial" w:hAnsi="Arial"/>
          <w:sz w:val="18"/>
          <w:szCs w:val="18"/>
          <w:vertAlign w:val="superscript"/>
        </w:rPr>
        <w:t xml:space="preserve">[34] </w:t>
      </w:r>
      <w:r>
        <w:rPr>
          <w:rFonts w:ascii="Arial" w:cs="Arial" w:eastAsia="Arial" w:hAnsi="Arial"/>
          <w:sz w:val="20"/>
          <w:szCs w:val="20"/>
        </w:rPr>
        <w:t xml:space="preserve">Settle in Berlin, </w:t>
      </w:r>
      <w:r>
        <w:rPr>
          <w:rFonts w:ascii="Arial" w:cs="Arial" w:eastAsia="Arial" w:hAnsi="Arial"/>
          <w:i/>
          <w:iCs/>
          <w:sz w:val="24"/>
          <w:szCs w:val="24"/>
        </w:rPr>
        <w:t xml:space="preserve">Best Accounting Software in Germany for Freelancers</w:t>
      </w:r>
      <w:r>
        <w:rPr>
          <w:rFonts w:ascii="Arial" w:cs="Arial" w:eastAsia="Arial" w:hAnsi="Arial"/>
          <w:sz w:val="20"/>
          <w:szCs w:val="20"/>
        </w:rPr>
        <w:t xml:space="preserve">, January 2026. </w:t>
      </w:r>
      <w:hyperlink w:history="1" r:id="rIdre32laht1unafin_e46lu">
        <w:r>
          <w:rPr>
            <w:rStyle w:val="Hyperlink"/>
            <w:rFonts w:ascii="Arial" w:cs="Arial" w:eastAsia="Arial" w:hAnsi="Arial"/>
            <w:color w:val="1155CC"/>
            <w:sz w:val="20"/>
            <w:szCs w:val="20"/>
            <w:u w:val="single"/>
          </w:rPr>
          <w:t xml:space="preserve">https://www.settle-in-berlin.com/how-to-become-a-freelancer-in-germany-self-employed/best-accounting-software-germany/</w:t>
        </w:r>
      </w:hyperlink>
    </w:p>
    <w:p>
      <w:pPr>
        <w:spacing w:after="80"/>
        <w:ind w:left="360" w:hanging="360"/>
      </w:pPr>
      <w:r>
        <w:rPr>
          <w:rFonts w:ascii="Arial" w:cs="Arial" w:eastAsia="Arial" w:hAnsi="Arial"/>
          <w:sz w:val="18"/>
          <w:szCs w:val="18"/>
          <w:vertAlign w:val="superscript"/>
        </w:rPr>
        <w:t xml:space="preserve">[35] </w:t>
      </w:r>
      <w:r>
        <w:rPr>
          <w:rFonts w:ascii="Arial" w:cs="Arial" w:eastAsia="Arial" w:hAnsi="Arial"/>
          <w:sz w:val="20"/>
          <w:szCs w:val="20"/>
        </w:rPr>
        <w:t xml:space="preserve">Norman Finance, </w:t>
      </w:r>
      <w:r>
        <w:rPr>
          <w:rFonts w:ascii="Arial" w:cs="Arial" w:eastAsia="Arial" w:hAnsi="Arial"/>
          <w:i/>
          <w:iCs/>
          <w:sz w:val="24"/>
          <w:szCs w:val="24"/>
        </w:rPr>
        <w:t xml:space="preserve">Best Accounting Software for Freelancers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[36] </w:t>
      </w:r>
      <w:r>
        <w:rPr>
          <w:rFonts w:ascii="Arial" w:cs="Arial" w:eastAsia="Arial" w:hAnsi="Arial"/>
          <w:sz w:val="20"/>
          <w:szCs w:val="20"/>
        </w:rPr>
        <w:t xml:space="preserve">Commerzbank, </w:t>
      </w:r>
      <w:r>
        <w:rPr>
          <w:rFonts w:ascii="Arial" w:cs="Arial" w:eastAsia="Arial" w:hAnsi="Arial"/>
          <w:i/>
          <w:iCs/>
          <w:sz w:val="24"/>
          <w:szCs w:val="24"/>
        </w:rPr>
        <w:t xml:space="preserve">Unternehmerperspektiven Study 2025</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[37] </w:t>
      </w:r>
      <w:r>
        <w:rPr>
          <w:rFonts w:ascii="Arial" w:cs="Arial" w:eastAsia="Arial" w:hAnsi="Arial"/>
          <w:sz w:val="20"/>
          <w:szCs w:val="20"/>
        </w:rPr>
        <w:t xml:space="preserve">Geschäftskonten24, </w:t>
      </w:r>
      <w:r>
        <w:rPr>
          <w:rFonts w:ascii="Arial" w:cs="Arial" w:eastAsia="Arial" w:hAnsi="Arial"/>
          <w:i/>
          <w:iCs/>
          <w:sz w:val="24"/>
          <w:szCs w:val="24"/>
        </w:rPr>
        <w:t xml:space="preserve">Commerzbank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[38]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[39] </w:t>
      </w:r>
      <w:r>
        <w:rPr>
          <w:rFonts w:ascii="Arial" w:cs="Arial" w:eastAsia="Arial" w:hAnsi="Arial"/>
          <w:sz w:val="20"/>
          <w:szCs w:val="20"/>
        </w:rPr>
        <w:t xml:space="preserve">Für-Gründer, </w:t>
      </w:r>
      <w:r>
        <w:rPr>
          <w:rFonts w:ascii="Arial" w:cs="Arial" w:eastAsia="Arial" w:hAnsi="Arial"/>
          <w:i/>
          <w:iCs/>
          <w:sz w:val="24"/>
          <w:szCs w:val="24"/>
        </w:rPr>
        <w:t xml:space="preserve">Sparkasse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[40]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[41]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[42]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[43] </w:t>
      </w:r>
      <w:r>
        <w:rPr>
          <w:rFonts w:ascii="Arial" w:cs="Arial" w:eastAsia="Arial" w:hAnsi="Arial"/>
          <w:sz w:val="20"/>
          <w:szCs w:val="20"/>
        </w:rPr>
        <w:t xml:space="preserve">OneMoneyWay, </w:t>
      </w:r>
      <w:r>
        <w:rPr>
          <w:rFonts w:ascii="Arial" w:cs="Arial" w:eastAsia="Arial" w:hAnsi="Arial"/>
          <w:i/>
          <w:iCs/>
          <w:sz w:val="24"/>
          <w:szCs w:val="24"/>
        </w:rPr>
        <w:t xml:space="preserve">SME Banking in Germany</w:t>
      </w:r>
      <w:r>
        <w:rPr>
          <w:rFonts w:ascii="Arial" w:cs="Arial" w:eastAsia="Arial" w:hAnsi="Arial"/>
          <w:sz w:val="20"/>
          <w:szCs w:val="20"/>
        </w:rPr>
        <w:t xml:space="preserve">, March 2025. </w:t>
      </w:r>
      <w:hyperlink w:history="1" r:id="rIduk_iuiiuow0c2nfayse8q">
        <w:r>
          <w:rPr>
            <w:rStyle w:val="Hyperlink"/>
            <w:rFonts w:ascii="Arial" w:cs="Arial" w:eastAsia="Arial" w:hAnsi="Arial"/>
            <w:color w:val="1155CC"/>
            <w:sz w:val="20"/>
            <w:szCs w:val="20"/>
            <w:u w:val="single"/>
          </w:rPr>
          <w:t xml:space="preserve">https://onemoneyway.com/en/blog/sme-banking-germany/</w:t>
        </w:r>
      </w:hyperlink>
    </w:p>
    <w:p>
      <w:pPr>
        <w:spacing w:after="80"/>
        <w:ind w:left="360" w:hanging="360"/>
      </w:pPr>
      <w:r>
        <w:rPr>
          <w:rFonts w:ascii="Arial" w:cs="Arial" w:eastAsia="Arial" w:hAnsi="Arial"/>
          <w:sz w:val="18"/>
          <w:szCs w:val="18"/>
          <w:vertAlign w:val="superscript"/>
        </w:rPr>
        <w:t xml:space="preserve">[44] </w:t>
      </w:r>
      <w:r>
        <w:rPr>
          <w:rFonts w:ascii="Arial" w:cs="Arial" w:eastAsia="Arial" w:hAnsi="Arial"/>
          <w:sz w:val="20"/>
          <w:szCs w:val="20"/>
        </w:rPr>
        <w:t xml:space="preserve">Norman Finance, </w:t>
      </w:r>
      <w:r>
        <w:rPr>
          <w:rFonts w:ascii="Arial" w:cs="Arial" w:eastAsia="Arial" w:hAnsi="Arial"/>
          <w:i/>
          <w:iCs/>
          <w:sz w:val="24"/>
          <w:szCs w:val="24"/>
        </w:rPr>
        <w:t xml:space="preserve">Best Accounting Software for Freelancers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[45] </w:t>
      </w:r>
      <w:r>
        <w:rPr>
          <w:rFonts w:ascii="Arial" w:cs="Arial" w:eastAsia="Arial" w:hAnsi="Arial"/>
          <w:sz w:val="20"/>
          <w:szCs w:val="20"/>
        </w:rPr>
        <w:t xml:space="preserve">Settle in Berlin, </w:t>
      </w:r>
      <w:r>
        <w:rPr>
          <w:rFonts w:ascii="Arial" w:cs="Arial" w:eastAsia="Arial" w:hAnsi="Arial"/>
          <w:i/>
          <w:iCs/>
          <w:sz w:val="24"/>
          <w:szCs w:val="24"/>
        </w:rPr>
        <w:t xml:space="preserve">Best Accounting Software in Germany for Freelancers</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[46] </w:t>
      </w:r>
      <w:r>
        <w:rPr>
          <w:rFonts w:ascii="Arial" w:cs="Arial" w:eastAsia="Arial" w:hAnsi="Arial"/>
          <w:sz w:val="20"/>
          <w:szCs w:val="20"/>
        </w:rPr>
        <w:t xml:space="preserve">Ibid., </w:t>
      </w:r>
      <w:r>
        <w:rPr>
          <w:rFonts w:ascii="Arial" w:cs="Arial" w:eastAsia="Arial" w:hAnsi="Arial"/>
          <w:i/>
          <w:iCs/>
          <w:sz w:val="24"/>
          <w:szCs w:val="24"/>
        </w:rPr>
        <w:t xml:space="preserve"/>
      </w:r>
      <w:r>
        <w:rPr>
          <w:rFonts w:ascii="Arial" w:cs="Arial" w:eastAsia="Arial" w:hAnsi="Arial"/>
          <w:sz w:val="20"/>
          <w:szCs w:val="20"/>
        </w:rPr>
        <w:t xml:space="preserve">. </w:t>
      </w:r>
    </w:p>
    <w:p>
      <w:pPr>
        <w:spacing w:after="80"/>
        <w:ind w:left="360" w:hanging="360"/>
      </w:pPr>
      <w:r>
        <w:rPr>
          <w:rFonts w:ascii="Arial" w:cs="Arial" w:eastAsia="Arial" w:hAnsi="Arial"/>
          <w:sz w:val="18"/>
          <w:szCs w:val="18"/>
          <w:vertAlign w:val="superscript"/>
        </w:rPr>
        <w:t xml:space="preserve">[47] </w:t>
      </w:r>
      <w:r>
        <w:rPr>
          <w:rFonts w:ascii="Arial" w:cs="Arial" w:eastAsia="Arial" w:hAnsi="Arial"/>
          <w:sz w:val="20"/>
          <w:szCs w:val="20"/>
        </w:rPr>
        <w:t xml:space="preserve">Norman Finance, </w:t>
      </w:r>
      <w:r>
        <w:rPr>
          <w:rFonts w:ascii="Arial" w:cs="Arial" w:eastAsia="Arial" w:hAnsi="Arial"/>
          <w:i/>
          <w:iCs/>
          <w:sz w:val="24"/>
          <w:szCs w:val="24"/>
        </w:rPr>
        <w:t xml:space="preserve">Best Accounting Software for Freelancers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[48] </w:t>
      </w:r>
      <w:r>
        <w:rPr>
          <w:rFonts w:ascii="Arial" w:cs="Arial" w:eastAsia="Arial" w:hAnsi="Arial"/>
          <w:sz w:val="20"/>
          <w:szCs w:val="20"/>
        </w:rPr>
        <w:t xml:space="preserve">Expatica, </w:t>
      </w:r>
      <w:r>
        <w:rPr>
          <w:rFonts w:ascii="Arial" w:cs="Arial" w:eastAsia="Arial" w:hAnsi="Arial"/>
          <w:i/>
          <w:iCs/>
          <w:sz w:val="24"/>
          <w:szCs w:val="24"/>
        </w:rPr>
        <w:t xml:space="preserve">Freelancer and Self-Employed Tax in Germany 2026</w:t>
      </w:r>
      <w:r>
        <w:rPr>
          <w:rFonts w:ascii="Arial" w:cs="Arial" w:eastAsia="Arial" w:hAnsi="Arial"/>
          <w:sz w:val="20"/>
          <w:szCs w:val="20"/>
        </w:rPr>
        <w:t xml:space="preserve">, January 2026. </w:t>
      </w:r>
      <w:hyperlink w:history="1" r:id="rIdq3iemegkztht3lbp7ieid">
        <w:r>
          <w:rPr>
            <w:rStyle w:val="Hyperlink"/>
            <w:rFonts w:ascii="Arial" w:cs="Arial" w:eastAsia="Arial" w:hAnsi="Arial"/>
            <w:color w:val="1155CC"/>
            <w:sz w:val="20"/>
            <w:szCs w:val="20"/>
            <w:u w:val="single"/>
          </w:rPr>
          <w:t xml:space="preserve">https://www.expatica.com/de/finance/taxes/tax-and-freelancers-in-germany-100950/</w:t>
        </w:r>
      </w:hyperlink>
    </w:p>
    <w:p>
      <w:pPr>
        <w:spacing w:after="80"/>
        <w:ind w:left="360" w:hanging="360"/>
      </w:pPr>
      <w:r>
        <w:rPr>
          <w:rFonts w:ascii="Arial" w:cs="Arial" w:eastAsia="Arial" w:hAnsi="Arial"/>
          <w:sz w:val="18"/>
          <w:szCs w:val="18"/>
          <w:vertAlign w:val="superscript"/>
        </w:rPr>
        <w:t xml:space="preserve">[49] </w:t>
      </w:r>
      <w:r>
        <w:rPr>
          <w:rFonts w:ascii="Arial" w:cs="Arial" w:eastAsia="Arial" w:hAnsi="Arial"/>
          <w:sz w:val="20"/>
          <w:szCs w:val="20"/>
        </w:rPr>
        <w:t xml:space="preserve">Norman Finance, </w:t>
      </w:r>
      <w:r>
        <w:rPr>
          <w:rFonts w:ascii="Arial" w:cs="Arial" w:eastAsia="Arial" w:hAnsi="Arial"/>
          <w:i/>
          <w:iCs/>
          <w:sz w:val="24"/>
          <w:szCs w:val="24"/>
        </w:rPr>
        <w:t xml:space="preserve">Best Accounting Software for Freelancers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[50] </w:t>
      </w:r>
      <w:r>
        <w:rPr>
          <w:rFonts w:ascii="Arial" w:cs="Arial" w:eastAsia="Arial" w:hAnsi="Arial"/>
          <w:sz w:val="20"/>
          <w:szCs w:val="20"/>
        </w:rPr>
        <w:t xml:space="preserve">Monito, </w:t>
      </w:r>
      <w:r>
        <w:rPr>
          <w:rFonts w:ascii="Arial" w:cs="Arial" w:eastAsia="Arial" w:hAnsi="Arial"/>
          <w:i/>
          <w:iCs/>
          <w:sz w:val="24"/>
          <w:szCs w:val="24"/>
        </w:rPr>
        <w:t xml:space="preserve">Best Business Bank Accounts in Germany</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[51] </w:t>
      </w:r>
      <w:r>
        <w:rPr>
          <w:rFonts w:ascii="Arial" w:cs="Arial" w:eastAsia="Arial" w:hAnsi="Arial"/>
          <w:sz w:val="20"/>
          <w:szCs w:val="20"/>
        </w:rPr>
        <w:t xml:space="preserve">Reisetopia, </w:t>
      </w:r>
      <w:r>
        <w:rPr>
          <w:rFonts w:ascii="Arial" w:cs="Arial" w:eastAsia="Arial" w:hAnsi="Arial"/>
          <w:i/>
          <w:iCs/>
          <w:sz w:val="24"/>
          <w:szCs w:val="24"/>
        </w:rPr>
        <w:t xml:space="preserve">Commerzbank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[52] </w:t>
      </w:r>
      <w:r>
        <w:rPr>
          <w:rFonts w:ascii="Arial" w:cs="Arial" w:eastAsia="Arial" w:hAnsi="Arial"/>
          <w:sz w:val="20"/>
          <w:szCs w:val="20"/>
        </w:rPr>
        <w:t xml:space="preserve">Für-Gründer, </w:t>
      </w:r>
      <w:r>
        <w:rPr>
          <w:rFonts w:ascii="Arial" w:cs="Arial" w:eastAsia="Arial" w:hAnsi="Arial"/>
          <w:i/>
          <w:iCs/>
          <w:sz w:val="24"/>
          <w:szCs w:val="24"/>
        </w:rPr>
        <w:t xml:space="preserve">Sparkasse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[53] </w:t>
      </w:r>
      <w:r>
        <w:rPr>
          <w:rFonts w:ascii="Arial" w:cs="Arial" w:eastAsia="Arial" w:hAnsi="Arial"/>
          <w:sz w:val="20"/>
          <w:szCs w:val="20"/>
        </w:rPr>
        <w:t xml:space="preserve">Geschäftskonten24, </w:t>
      </w:r>
      <w:r>
        <w:rPr>
          <w:rFonts w:ascii="Arial" w:cs="Arial" w:eastAsia="Arial" w:hAnsi="Arial"/>
          <w:i/>
          <w:iCs/>
          <w:sz w:val="24"/>
          <w:szCs w:val="24"/>
        </w:rPr>
        <w:t xml:space="preserve">Volksbank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[54] </w:t>
      </w:r>
      <w:r>
        <w:rPr>
          <w:rFonts w:ascii="Arial" w:cs="Arial" w:eastAsia="Arial" w:hAnsi="Arial"/>
          <w:sz w:val="20"/>
          <w:szCs w:val="20"/>
        </w:rPr>
        <w:t xml:space="preserve">Für-Gründer, </w:t>
      </w:r>
      <w:r>
        <w:rPr>
          <w:rFonts w:ascii="Arial" w:cs="Arial" w:eastAsia="Arial" w:hAnsi="Arial"/>
          <w:i/>
          <w:iCs/>
          <w:sz w:val="24"/>
          <w:szCs w:val="24"/>
        </w:rPr>
        <w:t xml:space="preserve">Geschäftskonto-Vergleich für Freiberufler &amp; Selbständige</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[55] </w:t>
      </w:r>
      <w:r>
        <w:rPr>
          <w:rFonts w:ascii="Arial" w:cs="Arial" w:eastAsia="Arial" w:hAnsi="Arial"/>
          <w:sz w:val="20"/>
          <w:szCs w:val="20"/>
        </w:rPr>
        <w:t xml:space="preserve">Market Data Forecast, </w:t>
      </w:r>
      <w:r>
        <w:rPr>
          <w:rFonts w:ascii="Arial" w:cs="Arial" w:eastAsia="Arial" w:hAnsi="Arial"/>
          <w:i/>
          <w:iCs/>
          <w:sz w:val="24"/>
          <w:szCs w:val="24"/>
        </w:rPr>
        <w:t xml:space="preserve">Europe Neobanking Market</w:t>
      </w:r>
      <w:r>
        <w:rPr>
          <w:rFonts w:ascii="Arial" w:cs="Arial" w:eastAsia="Arial" w:hAnsi="Arial"/>
          <w:sz w:val="20"/>
          <w:szCs w:val="20"/>
        </w:rPr>
        <w:t xml:space="preserve">, January 2026. </w:t>
      </w:r>
      <w:hyperlink w:history="1" r:id="rIdbhrrghz7bjgp2qgkvo824">
        <w:r>
          <w:rPr>
            <w:rStyle w:val="Hyperlink"/>
            <w:rFonts w:ascii="Arial" w:cs="Arial" w:eastAsia="Arial" w:hAnsi="Arial"/>
            <w:color w:val="1155CC"/>
            <w:sz w:val="20"/>
            <w:szCs w:val="20"/>
            <w:u w:val="single"/>
          </w:rPr>
          <w:t xml:space="preserve">https://www.marketdataforecast.com/market-reports/europe-neobanking-market</w:t>
        </w:r>
      </w:hyperlink>
    </w:p>
    <w:p>
      <w:pPr>
        <w:spacing w:after="80"/>
        <w:ind w:left="360" w:hanging="360"/>
      </w:pPr>
      <w:r>
        <w:rPr>
          <w:rFonts w:ascii="Arial" w:cs="Arial" w:eastAsia="Arial" w:hAnsi="Arial"/>
          <w:sz w:val="18"/>
          <w:szCs w:val="18"/>
          <w:vertAlign w:val="superscript"/>
        </w:rPr>
        <w:t xml:space="preserve">[56] </w:t>
      </w:r>
      <w:r>
        <w:rPr>
          <w:rFonts w:ascii="Arial" w:cs="Arial" w:eastAsia="Arial" w:hAnsi="Arial"/>
          <w:sz w:val="20"/>
          <w:szCs w:val="20"/>
        </w:rPr>
        <w:t xml:space="preserve">Settle in Berlin, </w:t>
      </w:r>
      <w:r>
        <w:rPr>
          <w:rFonts w:ascii="Arial" w:cs="Arial" w:eastAsia="Arial" w:hAnsi="Arial"/>
          <w:i/>
          <w:iCs/>
          <w:sz w:val="24"/>
          <w:szCs w:val="24"/>
        </w:rPr>
        <w:t xml:space="preserve">Best Accounting Software in Germany for Freelancers</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[57] </w:t>
      </w:r>
      <w:r>
        <w:rPr>
          <w:rFonts w:ascii="Arial" w:cs="Arial" w:eastAsia="Arial" w:hAnsi="Arial"/>
          <w:sz w:val="20"/>
          <w:szCs w:val="20"/>
        </w:rPr>
        <w:t xml:space="preserve">Geschäftskonten24, </w:t>
      </w:r>
      <w:r>
        <w:rPr>
          <w:rFonts w:ascii="Arial" w:cs="Arial" w:eastAsia="Arial" w:hAnsi="Arial"/>
          <w:i/>
          <w:iCs/>
          <w:sz w:val="24"/>
          <w:szCs w:val="24"/>
        </w:rPr>
        <w:t xml:space="preserve">Commerzbank Geschäftskonto</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[58] </w:t>
      </w:r>
      <w:r>
        <w:rPr>
          <w:rFonts w:ascii="Arial" w:cs="Arial" w:eastAsia="Arial" w:hAnsi="Arial"/>
          <w:sz w:val="20"/>
          <w:szCs w:val="20"/>
        </w:rPr>
        <w:t xml:space="preserve">Handelsblatt / ING, </w:t>
      </w:r>
      <w:r>
        <w:rPr>
          <w:rFonts w:ascii="Arial" w:cs="Arial" w:eastAsia="Arial" w:hAnsi="Arial"/>
          <w:i/>
          <w:iCs/>
          <w:sz w:val="24"/>
          <w:szCs w:val="24"/>
        </w:rPr>
        <w:t xml:space="preserve">ING Geschäftskonto: Konditionen, Leistungen &amp; Erfahrungen</w:t>
      </w:r>
      <w:r>
        <w:rPr>
          <w:rFonts w:ascii="Arial" w:cs="Arial" w:eastAsia="Arial" w:hAnsi="Arial"/>
          <w:sz w:val="20"/>
          <w:szCs w:val="20"/>
        </w:rPr>
        <w:t xml:space="preserve">, January 2026. </w:t>
      </w:r>
      <w:hyperlink w:history="1" r:id="rId_ing_handelsblatt">
        <w:r>
          <w:rPr>
            <w:rStyle w:val="Hyperlink"/>
            <w:rFonts w:ascii="Arial" w:cs="Arial" w:eastAsia="Arial" w:hAnsi="Arial"/>
            <w:color w:val="1155CC"/>
            <w:sz w:val="20"/>
            <w:szCs w:val="20"/>
            <w:u w:val="single"/>
          </w:rPr>
          <w:t xml:space="preserve">https://www.handelsblatt.com/geschaeftskonto/anbieter/ing/</w:t>
        </w:r>
      </w:hyperlink>
    </w:p>
    <w:p>
      <w:pPr>
        <w:spacing w:after="80"/>
        <w:ind w:left="360" w:hanging="360"/>
      </w:pPr>
      <w:r>
        <w:rPr>
          <w:rFonts w:ascii="Arial" w:cs="Arial" w:eastAsia="Arial" w:hAnsi="Arial"/>
          <w:sz w:val="18"/>
          <w:szCs w:val="18"/>
          <w:vertAlign w:val="superscript"/>
        </w:rPr>
        <w:t xml:space="preserve">[59] </w:t>
      </w:r>
      <w:r>
        <w:rPr>
          <w:rFonts w:ascii="Arial" w:cs="Arial" w:eastAsia="Arial" w:hAnsi="Arial"/>
          <w:sz w:val="20"/>
          <w:szCs w:val="20"/>
        </w:rPr>
        <w:t xml:space="preserve">ING Germany, press release, </w:t>
      </w:r>
      <w:r>
        <w:rPr>
          <w:rFonts w:ascii="Arial" w:cs="Arial" w:eastAsia="Arial" w:hAnsi="Arial"/>
          <w:i/>
          <w:iCs/>
          <w:sz w:val="24"/>
          <w:szCs w:val="24"/>
        </w:rPr>
        <w:t xml:space="preserve">So finden Selbständige und Freiberufler/-innen das passende Geschäftskonto</w:t>
      </w:r>
      <w:r>
        <w:rPr>
          <w:rFonts w:ascii="Arial" w:cs="Arial" w:eastAsia="Arial" w:hAnsi="Arial"/>
          <w:sz w:val="20"/>
          <w:szCs w:val="20"/>
        </w:rPr>
        <w:t xml:space="preserve">, September 2024. </w:t>
      </w:r>
      <w:hyperlink w:history="1" r:id="rId_ing_press">
        <w:r>
          <w:rPr>
            <w:rStyle w:val="Hyperlink"/>
            <w:rFonts w:ascii="Arial" w:cs="Arial" w:eastAsia="Arial" w:hAnsi="Arial"/>
            <w:color w:val="1155CC"/>
            <w:sz w:val="20"/>
            <w:szCs w:val="20"/>
            <w:u w:val="single"/>
          </w:rPr>
          <w:t xml:space="preserve">https://www.ing.de/business/unternehmenswert/geschaeftskonto-selbststaendige-freiberufler/</w:t>
        </w:r>
      </w:hyperlink>
    </w:p>
    <w:p>
      <w:pPr>
        <w:spacing w:after="80"/>
        <w:ind w:left="360" w:hanging="360"/>
      </w:pPr>
      <w:r>
        <w:rPr>
          <w:rFonts w:ascii="Arial" w:cs="Arial" w:eastAsia="Arial" w:hAnsi="Arial"/>
          <w:sz w:val="18"/>
          <w:szCs w:val="18"/>
          <w:vertAlign w:val="superscript"/>
        </w:rPr>
        <w:t xml:space="preserve">[60] </w:t>
      </w:r>
      <w:r>
        <w:rPr>
          <w:rFonts w:ascii="Arial" w:cs="Arial" w:eastAsia="Arial" w:hAnsi="Arial"/>
          <w:sz w:val="20"/>
          <w:szCs w:val="20"/>
        </w:rPr>
        <w:t xml:space="preserve">ING Germany, </w:t>
      </w:r>
      <w:r>
        <w:rPr>
          <w:rFonts w:ascii="Arial" w:cs="Arial" w:eastAsia="Arial" w:hAnsi="Arial"/>
          <w:i/>
          <w:iCs/>
          <w:sz w:val="24"/>
          <w:szCs w:val="24"/>
        </w:rPr>
        <w:t xml:space="preserve">Fragen zum Geschäftskonto — ING Geschäftskonto</w:t>
      </w:r>
      <w:r>
        <w:rPr>
          <w:rFonts w:ascii="Arial" w:cs="Arial" w:eastAsia="Arial" w:hAnsi="Arial"/>
          <w:sz w:val="20"/>
          <w:szCs w:val="20"/>
        </w:rPr>
        <w:t xml:space="preserve">. </w:t>
      </w:r>
      <w:hyperlink w:history="1" r:id="rId_ing_faq">
        <w:r>
          <w:rPr>
            <w:rStyle w:val="Hyperlink"/>
            <w:rFonts w:ascii="Arial" w:cs="Arial" w:eastAsia="Arial" w:hAnsi="Arial"/>
            <w:color w:val="1155CC"/>
            <w:sz w:val="20"/>
            <w:szCs w:val="20"/>
            <w:u w:val="single"/>
          </w:rPr>
          <w:t xml:space="preserve">https://www.ing.de/business/geschaeftskonto/faq/</w:t>
        </w:r>
      </w:hyperlink>
    </w:p>
    <w:p>
      <w:pPr>
        <w:spacing w:after="80"/>
        <w:ind w:left="360" w:hanging="360"/>
      </w:pPr>
      <w:r>
        <w:rPr>
          <w:rFonts w:ascii="Arial" w:cs="Arial" w:eastAsia="Arial" w:hAnsi="Arial"/>
          <w:sz w:val="18"/>
          <w:szCs w:val="18"/>
          <w:vertAlign w:val="superscript"/>
        </w:rPr>
        <w:t xml:space="preserve">[61] </w:t>
      </w:r>
      <w:r>
        <w:rPr>
          <w:rFonts w:ascii="Arial" w:cs="Arial" w:eastAsia="Arial" w:hAnsi="Arial"/>
          <w:sz w:val="20"/>
          <w:szCs w:val="20"/>
        </w:rPr>
        <w:t xml:space="preserve">Geschäftskonten24, </w:t>
      </w:r>
      <w:r>
        <w:rPr>
          <w:rFonts w:ascii="Arial" w:cs="Arial" w:eastAsia="Arial" w:hAnsi="Arial"/>
          <w:i/>
          <w:iCs/>
          <w:sz w:val="24"/>
          <w:szCs w:val="24"/>
        </w:rPr>
        <w:t xml:space="preserve">ING Geschäftskonto Test &amp; Erfahrungen</w:t>
      </w:r>
      <w:r>
        <w:rPr>
          <w:rFonts w:ascii="Arial" w:cs="Arial" w:eastAsia="Arial" w:hAnsi="Arial"/>
          <w:sz w:val="20"/>
          <w:szCs w:val="20"/>
        </w:rPr>
        <w:t xml:space="preserve">, April 2026. </w:t>
      </w:r>
      <w:hyperlink w:history="1" r:id="rId_ing_g24">
        <w:r>
          <w:rPr>
            <w:rStyle w:val="Hyperlink"/>
            <w:rFonts w:ascii="Arial" w:cs="Arial" w:eastAsia="Arial" w:hAnsi="Arial"/>
            <w:color w:val="1155CC"/>
            <w:sz w:val="20"/>
            <w:szCs w:val="20"/>
            <w:u w:val="single"/>
          </w:rPr>
          <w:t xml:space="preserve">https://www.geschaeftskonten24.net/ing-diba-geschaeftskonto/</w:t>
        </w:r>
      </w:hyperlink>
    </w:p>
    <w:p>
      <w:pPr>
        <w:spacing w:after="80"/>
        <w:ind w:left="360" w:hanging="360"/>
      </w:pPr>
      <w:r>
        <w:rPr>
          <w:rFonts w:ascii="Arial" w:cs="Arial" w:eastAsia="Arial" w:hAnsi="Arial"/>
          <w:sz w:val="18"/>
          <w:szCs w:val="18"/>
          <w:vertAlign w:val="superscript"/>
        </w:rPr>
        <w:t xml:space="preserve">[62] </w:t>
      </w:r>
      <w:r>
        <w:rPr>
          <w:rFonts w:ascii="Arial" w:cs="Arial" w:eastAsia="Arial" w:hAnsi="Arial"/>
          <w:sz w:val="20"/>
          <w:szCs w:val="20"/>
        </w:rPr>
        <w:t xml:space="preserve">ING Germany, </w:t>
      </w:r>
      <w:r>
        <w:rPr>
          <w:rFonts w:ascii="Arial" w:cs="Arial" w:eastAsia="Arial" w:hAnsi="Arial"/>
          <w:i/>
          <w:iCs/>
          <w:sz w:val="24"/>
          <w:szCs w:val="24"/>
        </w:rPr>
        <w:t xml:space="preserve">Firmenkonto jetzt 6 Monate kostenlos</w:t>
      </w:r>
      <w:r>
        <w:rPr>
          <w:rFonts w:ascii="Arial" w:cs="Arial" w:eastAsia="Arial" w:hAnsi="Arial"/>
          <w:sz w:val="20"/>
          <w:szCs w:val="20"/>
        </w:rPr>
        <w:t xml:space="preserve">. </w:t>
      </w:r>
      <w:hyperlink w:history="1" r:id="rId_ing_firmenkonto">
        <w:r>
          <w:rPr>
            <w:rStyle w:val="Hyperlink"/>
            <w:rFonts w:ascii="Arial" w:cs="Arial" w:eastAsia="Arial" w:hAnsi="Arial"/>
            <w:color w:val="1155CC"/>
            <w:sz w:val="20"/>
            <w:szCs w:val="20"/>
            <w:u w:val="single"/>
          </w:rPr>
          <w:t xml:space="preserve">https://www.ing.de/business/geschaeftskonto/konto-fuer-unternehmen/</w:t>
        </w:r>
      </w:hyperlink>
    </w:p>
    <w:p>
      <w:pPr>
        <w:spacing w:after="80"/>
        <w:ind w:left="360" w:hanging="360"/>
      </w:pPr>
      <w:r>
        <w:rPr>
          <w:rFonts w:ascii="Arial" w:cs="Arial" w:eastAsia="Arial" w:hAnsi="Arial"/>
          <w:sz w:val="18"/>
          <w:szCs w:val="18"/>
          <w:vertAlign w:val="superscript"/>
        </w:rPr>
        <w:t xml:space="preserve">[63] </w:t>
      </w:r>
      <w:r>
        <w:rPr>
          <w:rFonts w:ascii="Arial" w:cs="Arial" w:eastAsia="Arial" w:hAnsi="Arial"/>
          <w:sz w:val="20"/>
          <w:szCs w:val="20"/>
        </w:rPr>
        <w:t xml:space="preserve">Handelsblatt / ING, </w:t>
      </w:r>
      <w:r>
        <w:rPr>
          <w:rFonts w:ascii="Arial" w:cs="Arial" w:eastAsia="Arial" w:hAnsi="Arial"/>
          <w:i/>
          <w:iCs/>
          <w:sz w:val="24"/>
          <w:szCs w:val="24"/>
        </w:rPr>
        <w:t xml:space="preserve">ING Geschäftskonto: Konditionen, Leistungen &amp; Erfahrungen</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[64] </w:t>
      </w:r>
      <w:r>
        <w:rPr>
          <w:rFonts w:ascii="Arial" w:cs="Arial" w:eastAsia="Arial" w:hAnsi="Arial"/>
          <w:sz w:val="20"/>
          <w:szCs w:val="20"/>
        </w:rPr>
        <w:t xml:space="preserve">ING Germany, </w:t>
      </w:r>
      <w:r>
        <w:rPr>
          <w:rFonts w:ascii="Arial" w:cs="Arial" w:eastAsia="Arial" w:hAnsi="Arial"/>
          <w:i/>
          <w:iCs/>
          <w:sz w:val="24"/>
          <w:szCs w:val="24"/>
        </w:rPr>
        <w:t xml:space="preserve">Geschäftskonto jetzt 6 Monate kostenlos eröffnen</w:t>
      </w:r>
      <w:r>
        <w:rPr>
          <w:rFonts w:ascii="Arial" w:cs="Arial" w:eastAsia="Arial" w:hAnsi="Arial"/>
          <w:sz w:val="20"/>
          <w:szCs w:val="20"/>
        </w:rPr>
        <w:t xml:space="preserve">. </w:t>
      </w:r>
      <w:hyperlink w:history="1" r:id="rId_ing_geschaeftskonto">
        <w:r>
          <w:rPr>
            <w:rStyle w:val="Hyperlink"/>
            <w:rFonts w:ascii="Arial" w:cs="Arial" w:eastAsia="Arial" w:hAnsi="Arial"/>
            <w:color w:val="1155CC"/>
            <w:sz w:val="20"/>
            <w:szCs w:val="20"/>
            <w:u w:val="single"/>
          </w:rPr>
          <w:t xml:space="preserve">https://www.ing.de/business/geschaeftskonto/</w:t>
        </w:r>
      </w:hyperlink>
    </w:p>
    <w:p>
      <w:pPr>
        <w:spacing w:after="80"/>
        <w:ind w:left="360" w:hanging="360"/>
      </w:pPr>
      <w:r>
        <w:rPr>
          <w:rFonts w:ascii="Arial" w:cs="Arial" w:eastAsia="Arial" w:hAnsi="Arial"/>
          <w:sz w:val="18"/>
          <w:szCs w:val="18"/>
          <w:vertAlign w:val="superscript"/>
        </w:rPr>
        <w:t xml:space="preserve">[65] </w:t>
      </w:r>
      <w:r>
        <w:rPr>
          <w:rFonts w:ascii="Arial" w:cs="Arial" w:eastAsia="Arial" w:hAnsi="Arial"/>
          <w:sz w:val="20"/>
          <w:szCs w:val="20"/>
        </w:rPr>
        <w:t xml:space="preserve">ING Germany, press release, </w:t>
      </w:r>
      <w:r>
        <w:rPr>
          <w:rFonts w:ascii="Arial" w:cs="Arial" w:eastAsia="Arial" w:hAnsi="Arial"/>
          <w:i/>
          <w:iCs/>
          <w:sz w:val="24"/>
          <w:szCs w:val="24"/>
        </w:rPr>
        <w:t xml:space="preserve">ING bringt verzinstes Tagesgeldkonto für Geschäftskunden auf den Markt</w:t>
      </w:r>
      <w:r>
        <w:rPr>
          <w:rFonts w:ascii="Arial" w:cs="Arial" w:eastAsia="Arial" w:hAnsi="Arial"/>
          <w:sz w:val="20"/>
          <w:szCs w:val="20"/>
        </w:rPr>
        <w:t xml:space="preserve">, December 2023. </w:t>
      </w:r>
      <w:hyperlink w:history="1" r:id="rId_ing_tagesgeld">
        <w:r>
          <w:rPr>
            <w:rStyle w:val="Hyperlink"/>
            <w:rFonts w:ascii="Arial" w:cs="Arial" w:eastAsia="Arial" w:hAnsi="Arial"/>
            <w:color w:val="1155CC"/>
            <w:sz w:val="20"/>
            <w:szCs w:val="20"/>
            <w:u w:val="single"/>
          </w:rPr>
          <w:t xml:space="preserve">https://www.ing.de/ueber-uns/presse/pressemitteilungen/tagesgeldkonto-fur-geschaftskunden/</w:t>
        </w:r>
      </w:hyperlink>
    </w:p>
    <w:p>
      <w:pPr>
        <w:spacing w:after="80"/>
        <w:ind w:left="360" w:hanging="360"/>
      </w:pPr>
      <w:r>
        <w:rPr>
          <w:rFonts w:ascii="Arial" w:cs="Arial" w:eastAsia="Arial" w:hAnsi="Arial"/>
          <w:sz w:val="18"/>
          <w:szCs w:val="18"/>
          <w:vertAlign w:val="superscript"/>
        </w:rPr>
        <w:t xml:space="preserve">[66] </w:t>
      </w:r>
      <w:r>
        <w:rPr>
          <w:rFonts w:ascii="Arial" w:cs="Arial" w:eastAsia="Arial" w:hAnsi="Arial"/>
          <w:sz w:val="20"/>
          <w:szCs w:val="20"/>
        </w:rPr>
        <w:t xml:space="preserve">Handelsblatt / ING, </w:t>
      </w:r>
      <w:r>
        <w:rPr>
          <w:rFonts w:ascii="Arial" w:cs="Arial" w:eastAsia="Arial" w:hAnsi="Arial"/>
          <w:i/>
          <w:iCs/>
          <w:sz w:val="24"/>
          <w:szCs w:val="24"/>
        </w:rPr>
        <w:t xml:space="preserve">ING Geschäftskonto: Konditionen, Leistungen &amp; Erfahrungen</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[67] </w:t>
      </w:r>
      <w:r>
        <w:rPr>
          <w:rFonts w:ascii="Arial" w:cs="Arial" w:eastAsia="Arial" w:hAnsi="Arial"/>
          <w:sz w:val="20"/>
          <w:szCs w:val="20"/>
        </w:rPr>
        <w:t xml:space="preserve">ING Germany, </w:t>
      </w:r>
      <w:r>
        <w:rPr>
          <w:rFonts w:ascii="Arial" w:cs="Arial" w:eastAsia="Arial" w:hAnsi="Arial"/>
          <w:i/>
          <w:iCs/>
          <w:sz w:val="24"/>
          <w:szCs w:val="24"/>
        </w:rPr>
        <w:t xml:space="preserve">Geschäftskonto jetzt 6 Monate kostenlos eröffnen</w:t>
      </w:r>
      <w:r>
        <w:rPr>
          <w:rFonts w:ascii="Arial" w:cs="Arial" w:eastAsia="Arial" w:hAnsi="Arial"/>
          <w:sz w:val="20"/>
          <w:szCs w:val="20"/>
        </w:rPr>
        <w:t xml:space="preserve">, op. cit.. </w:t>
      </w:r>
    </w:p>
    <w:p>
      <w:pPr>
        <w:spacing w:after="80"/>
        <w:ind w:left="360" w:hanging="360"/>
      </w:pPr>
      <w:r>
        <w:rPr>
          <w:rFonts w:ascii="Arial" w:cs="Arial" w:eastAsia="Arial" w:hAnsi="Arial"/>
          <w:sz w:val="18"/>
          <w:szCs w:val="18"/>
          <w:vertAlign w:val="superscript"/>
        </w:rPr>
        <w:t xml:space="preserve">[68] </w:t>
      </w:r>
      <w:r>
        <w:rPr>
          <w:rFonts w:ascii="Arial" w:cs="Arial" w:eastAsia="Arial" w:hAnsi="Arial"/>
          <w:sz w:val="20"/>
          <w:szCs w:val="20"/>
        </w:rPr>
        <w:t xml:space="preserve">ING Germany, </w:t>
      </w:r>
      <w:r>
        <w:rPr>
          <w:rFonts w:ascii="Arial" w:cs="Arial" w:eastAsia="Arial" w:hAnsi="Arial"/>
          <w:i/>
          <w:iCs/>
          <w:sz w:val="24"/>
          <w:szCs w:val="24"/>
        </w:rPr>
        <w:t xml:space="preserve">Fragen zum Geschäftskonto — ING Geschäftskonto</w:t>
      </w:r>
      <w:r>
        <w:rPr>
          <w:rFonts w:ascii="Arial" w:cs="Arial" w:eastAsia="Arial" w:hAnsi="Arial"/>
          <w:sz w:val="20"/>
          <w:szCs w:val="20"/>
        </w:rPr>
        <w:t xml:space="preserve">, op. cit..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axexdw9ev3n5fnjcfsi" Type="http://schemas.openxmlformats.org/officeDocument/2006/relationships/hyperlink" Target="https://www.centreforpublicimpact.org/case-study/sparkassen-savings-banks-germany" TargetMode="External"/><Relationship Id="rIdltklqt4gnjuzqainjdilv" Type="http://schemas.openxmlformats.org/officeDocument/2006/relationships/hyperlink" Target="https://www.fuer-gruender.de/kapital/fremdkapital/hausbank/geschaeftskonto/sparkasse/" TargetMode="External"/><Relationship Id="rId5pvw5kmm8jlt81a6nkasx" Type="http://schemas.openxmlformats.org/officeDocument/2006/relationships/hyperlink" Target="https://thebanks.eu/bank-categories/cooperative-banks-in-Germany" TargetMode="External"/><Relationship Id="rIdvlkftqjj5drm5a3dzh0o_" Type="http://schemas.openxmlformats.org/officeDocument/2006/relationships/hyperlink" Target="https://www.dzbank.com/content/dzbank/en/home/dz-bank/profile.html" TargetMode="External"/><Relationship Id="rId6-aue-l5qko8_w0lcjjsw" Type="http://schemas.openxmlformats.org/officeDocument/2006/relationships/hyperlink" Target="https://www.geschaeftskonten24.net/volksbank-geschaeftskonto/" TargetMode="External"/><Relationship Id="rIdtf2jnyknf7910jvlay7rf" Type="http://schemas.openxmlformats.org/officeDocument/2006/relationships/hyperlink" Target="https://cloud.google.com/customers/commerzbank" TargetMode="External"/><Relationship Id="rIdv_c4qgixk7njaisho1s8p" Type="http://schemas.openxmlformats.org/officeDocument/2006/relationships/hyperlink" Target="https://reisetopia.de/geschaeftskonto/commerzbank-geschaeftskonto/" TargetMode="External"/><Relationship Id="rIdeha4lyx36jy0yw8byteqq" Type="http://schemas.openxmlformats.org/officeDocument/2006/relationships/hyperlink" Target="https://www.commerzbank.de/group/newsroom/press-releases/results-2024-and-strategy-upgrade.html" TargetMode="External"/><Relationship Id="rIdojzctzwla_bdtygfrvc15" Type="http://schemas.openxmlformats.org/officeDocument/2006/relationships/hyperlink" Target="https://www.geschaeftskonten24.net/commerzbank-geschaeftskonto/" TargetMode="External"/><Relationship Id="rIdx50bkqrag8f-jnlqds5ms" Type="http://schemas.openxmlformats.org/officeDocument/2006/relationships/hyperlink" Target="https://www.expatica.com/de/finance/banking/best-business-bank-account-in-germany-2173302/" TargetMode="External"/><Relationship Id="rIdzceyqwhhrhyp8_69kdcdz" Type="http://schemas.openxmlformats.org/officeDocument/2006/relationships/hyperlink" Target="https://www.db.com/who-we-are/strategy/" TargetMode="External"/><Relationship Id="rIdw5nm1wl1efzzwcub-dgwq" Type="http://schemas.openxmlformats.org/officeDocument/2006/relationships/hyperlink" Target="https://www.dsgv.de/content/dam/dsgv-de/englische-inhalte/20250107_WEB_final_DM_24_EN.pdf" TargetMode="External"/><Relationship Id="rId7dvrxnnmf5wndxzrw2g3d" Type="http://schemas.openxmlformats.org/officeDocument/2006/relationships/hyperlink" Target="https://www.geschaeftskonten24.net/sparkasse-geschaeftskonto/" TargetMode="External"/><Relationship Id="rIdkdlsjv5odv4un5qd7nste" Type="http://schemas.openxmlformats.org/officeDocument/2006/relationships/hyperlink" Target="https://www.monito.com/en/wiki/best-business-bank-account-germany" TargetMode="External"/><Relationship Id="rIdr-k2lcvveslf0nc9wdsab" Type="http://schemas.openxmlformats.org/officeDocument/2006/relationships/hyperlink" Target="https://www.commerzbank.de/group/newsroom/press-releases/unternehmerperspektiven-study-2025.html" TargetMode="External"/><Relationship Id="rIdjq45so2lfjtyhufydq3on" Type="http://schemas.openxmlformats.org/officeDocument/2006/relationships/hyperlink" Target="https://www.commerzbank.de/unternehmerkunden/geschaeftskonten/freiberufler-selbststaendige/" TargetMode="External"/><Relationship Id="rId5w2vs-6bipoa5d75jmldh" Type="http://schemas.openxmlformats.org/officeDocument/2006/relationships/hyperlink" Target="https://www.fuer-gruender.de/kapital/fremdkapital/hausbank/geschaeftskonto/girokonto-freiberufler/" TargetMode="External"/><Relationship Id="rId_i8pdrkfb0raffk49sf19" Type="http://schemas.openxmlformats.org/officeDocument/2006/relationships/hyperlink" Target="https://norman.finance/blog/best-accounting-software-freelancers-germany" TargetMode="External"/><Relationship Id="rIdre32laht1unafin_e46lu" Type="http://schemas.openxmlformats.org/officeDocument/2006/relationships/hyperlink" Target="https://www.settle-in-berlin.com/how-to-become-a-freelancer-in-germany-self-employed/best-accounting-software-germany/" TargetMode="External"/><Relationship Id="rIduk_iuiiuow0c2nfayse8q" Type="http://schemas.openxmlformats.org/officeDocument/2006/relationships/hyperlink" Target="https://onemoneyway.com/en/blog/sme-banking-germany/" TargetMode="External"/><Relationship Id="rIdq3iemegkztht3lbp7ieid" Type="http://schemas.openxmlformats.org/officeDocument/2006/relationships/hyperlink" Target="https://www.expatica.com/de/finance/taxes/tax-and-freelancers-in-germany-100950/" TargetMode="External"/><Relationship Id="rIdbhrrghz7bjgp2qgkvo824" Type="http://schemas.openxmlformats.org/officeDocument/2006/relationships/hyperlink" Target="https://www.marketdataforecast.com/market-reports/europe-neobanking-market" TargetMode="External"/><Relationship Id="rId_ing_handelsblatt" Type="http://schemas.openxmlformats.org/officeDocument/2006/relationships/hyperlink" Target="https://www.handelsblatt.com/geschaeftskonto/anbieter/ing/" TargetMode="External"/><Relationship Id="rId_ing_press" Type="http://schemas.openxmlformats.org/officeDocument/2006/relationships/hyperlink" Target="https://www.ing.de/business/unternehmenswert/geschaeftskonto-selbststaendige-freiberufler/" TargetMode="External"/><Relationship Id="rId_ing_faq" Type="http://schemas.openxmlformats.org/officeDocument/2006/relationships/hyperlink" Target="https://www.ing.de/business/geschaeftskonto/faq/" TargetMode="External"/><Relationship Id="rId_ing_g24" Type="http://schemas.openxmlformats.org/officeDocument/2006/relationships/hyperlink" Target="https://www.geschaeftskonten24.net/ing-diba-geschaeftskonto/" TargetMode="External"/><Relationship Id="rId_ing_firmenkonto" Type="http://schemas.openxmlformats.org/officeDocument/2006/relationships/hyperlink" Target="https://www.ing.de/business/geschaeftskonto/konto-fuer-unternehmen/" TargetMode="External"/><Relationship Id="rId_ing_geschaeftskonto" Type="http://schemas.openxmlformats.org/officeDocument/2006/relationships/hyperlink" Target="https://www.ing.de/business/geschaeftskonto/" TargetMode="External"/><Relationship Id="rId_ing_tagesgeld" Type="http://schemas.openxmlformats.org/officeDocument/2006/relationships/hyperlink" Target="https://www.ing.de/ueber-uns/presse/pressemitteilungen/tagesgeldkonto-fur-geschaftskunden/"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2026-05-02T10:29:46.599Z</dcterms:created>
  <dcterms:modified xsi:type="dcterms:W3CDTF">2026-05-02T10:29:46.600Z</dcterms:modified>
</cp:coreProperties>
</file>

<file path=docProps/custom.xml><?xml version="1.0" encoding="utf-8"?>
<Properties xmlns="http://schemas.openxmlformats.org/officeDocument/2006/custom-properties" xmlns:vt="http://schemas.openxmlformats.org/officeDocument/2006/docPropsVTypes"/>
</file>