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D4" w:rsidRPr="001805C0" w:rsidRDefault="001805C0" w:rsidP="001805C0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SYLLABUS (2018-2019)</w:t>
      </w:r>
    </w:p>
    <w:p w:rsidR="00BC6650" w:rsidRPr="001805C0" w:rsidRDefault="00BC6650" w:rsidP="001805C0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1805C0">
        <w:rPr>
          <w:rFonts w:ascii="Bookman Old Style" w:hAnsi="Bookman Old Style"/>
          <w:b/>
          <w:sz w:val="28"/>
          <w:szCs w:val="28"/>
        </w:rPr>
        <w:t>Class X (Chemistry)</w:t>
      </w:r>
    </w:p>
    <w:p w:rsidR="00BC6650" w:rsidRPr="001805C0" w:rsidRDefault="00BC6650" w:rsidP="001805C0">
      <w:pPr>
        <w:pStyle w:val="NoSpacing"/>
        <w:jc w:val="both"/>
        <w:rPr>
          <w:b/>
          <w:sz w:val="24"/>
          <w:szCs w:val="24"/>
          <w:u w:val="single"/>
        </w:rPr>
      </w:pPr>
      <w:r w:rsidRPr="001805C0">
        <w:rPr>
          <w:b/>
          <w:sz w:val="24"/>
          <w:szCs w:val="24"/>
          <w:u w:val="single"/>
        </w:rPr>
        <w:t>Chapter 1: Chemical Reaction and Equation</w:t>
      </w:r>
    </w:p>
    <w:p w:rsidR="00BC6650" w:rsidRPr="001805C0" w:rsidRDefault="00BC6650" w:rsidP="001805C0">
      <w:pPr>
        <w:pStyle w:val="NoSpacing"/>
        <w:jc w:val="both"/>
        <w:rPr>
          <w:sz w:val="24"/>
          <w:szCs w:val="24"/>
        </w:rPr>
      </w:pPr>
      <w:r w:rsidRPr="001805C0">
        <w:rPr>
          <w:sz w:val="24"/>
          <w:szCs w:val="24"/>
        </w:rPr>
        <w:t>Introduction, Balanced chemical equation, types of chemical reaction, combination, decomposition, displacement, double displacement, precipitation, oxidation and reduction.</w:t>
      </w:r>
    </w:p>
    <w:p w:rsidR="00BC6650" w:rsidRPr="001805C0" w:rsidRDefault="00BC6650" w:rsidP="001805C0">
      <w:pPr>
        <w:pStyle w:val="NoSpacing"/>
        <w:jc w:val="both"/>
        <w:rPr>
          <w:b/>
          <w:sz w:val="24"/>
          <w:szCs w:val="24"/>
          <w:u w:val="single"/>
        </w:rPr>
      </w:pPr>
      <w:r w:rsidRPr="001805C0">
        <w:rPr>
          <w:b/>
          <w:sz w:val="24"/>
          <w:szCs w:val="24"/>
          <w:u w:val="single"/>
        </w:rPr>
        <w:t>Chapter 2: Acids, Bases and Salts</w:t>
      </w:r>
    </w:p>
    <w:p w:rsidR="00BC6650" w:rsidRPr="001805C0" w:rsidRDefault="00BC6650" w:rsidP="001805C0">
      <w:pPr>
        <w:pStyle w:val="NoSpacing"/>
        <w:jc w:val="both"/>
        <w:rPr>
          <w:sz w:val="24"/>
          <w:szCs w:val="24"/>
        </w:rPr>
      </w:pPr>
      <w:r w:rsidRPr="001805C0">
        <w:rPr>
          <w:sz w:val="24"/>
          <w:szCs w:val="24"/>
        </w:rPr>
        <w:t xml:space="preserve">Introduction, general properties, examples and uses, Arrhenius Concept, pH scale, Importance of pH in everyday life, Preparation and uses of Sodium Hydroxide, Bleaching powder, baking soda, washing soda and plaster of </w:t>
      </w:r>
      <w:proofErr w:type="spellStart"/>
      <w:r w:rsidRPr="001805C0">
        <w:rPr>
          <w:sz w:val="24"/>
          <w:szCs w:val="24"/>
        </w:rPr>
        <w:t>paris</w:t>
      </w:r>
      <w:proofErr w:type="spellEnd"/>
      <w:r w:rsidRPr="001805C0">
        <w:rPr>
          <w:sz w:val="24"/>
          <w:szCs w:val="24"/>
        </w:rPr>
        <w:t xml:space="preserve">. </w:t>
      </w:r>
    </w:p>
    <w:p w:rsidR="00BC6650" w:rsidRPr="001805C0" w:rsidRDefault="00BC6650" w:rsidP="001805C0">
      <w:pPr>
        <w:pStyle w:val="NoSpacing"/>
        <w:jc w:val="both"/>
        <w:rPr>
          <w:b/>
          <w:sz w:val="24"/>
          <w:szCs w:val="24"/>
          <w:u w:val="single"/>
        </w:rPr>
      </w:pPr>
      <w:r w:rsidRPr="001805C0">
        <w:rPr>
          <w:b/>
          <w:sz w:val="24"/>
          <w:szCs w:val="24"/>
          <w:u w:val="single"/>
        </w:rPr>
        <w:t>Chapter 3: Metals and Non-metals</w:t>
      </w:r>
    </w:p>
    <w:p w:rsidR="00BC6650" w:rsidRPr="001805C0" w:rsidRDefault="00BC6650" w:rsidP="001805C0">
      <w:pPr>
        <w:pStyle w:val="NoSpacing"/>
        <w:jc w:val="both"/>
        <w:rPr>
          <w:sz w:val="24"/>
          <w:szCs w:val="24"/>
        </w:rPr>
      </w:pPr>
      <w:proofErr w:type="gramStart"/>
      <w:r w:rsidRPr="001805C0">
        <w:rPr>
          <w:sz w:val="24"/>
          <w:szCs w:val="24"/>
        </w:rPr>
        <w:t>Introduction, properties of metals and non-metals, reactivity series, chemical bond, metallurgy, corrosion and its prevention.</w:t>
      </w:r>
      <w:proofErr w:type="gramEnd"/>
      <w:r w:rsidRPr="001805C0">
        <w:rPr>
          <w:sz w:val="24"/>
          <w:szCs w:val="24"/>
        </w:rPr>
        <w:t xml:space="preserve"> </w:t>
      </w:r>
    </w:p>
    <w:p w:rsidR="00BC6650" w:rsidRPr="001805C0" w:rsidRDefault="00BC6650" w:rsidP="001805C0">
      <w:pPr>
        <w:pStyle w:val="NoSpacing"/>
        <w:jc w:val="both"/>
        <w:rPr>
          <w:b/>
          <w:sz w:val="24"/>
          <w:szCs w:val="24"/>
          <w:u w:val="single"/>
        </w:rPr>
      </w:pPr>
      <w:r w:rsidRPr="001805C0">
        <w:rPr>
          <w:b/>
          <w:sz w:val="24"/>
          <w:szCs w:val="24"/>
          <w:u w:val="single"/>
        </w:rPr>
        <w:t>Chapter 4: Carbon compounds</w:t>
      </w:r>
    </w:p>
    <w:p w:rsidR="00BC6650" w:rsidRPr="001805C0" w:rsidRDefault="00BC6650" w:rsidP="001805C0">
      <w:pPr>
        <w:pStyle w:val="NoSpacing"/>
        <w:jc w:val="both"/>
        <w:rPr>
          <w:sz w:val="24"/>
          <w:szCs w:val="24"/>
        </w:rPr>
      </w:pPr>
      <w:r w:rsidRPr="001805C0">
        <w:rPr>
          <w:sz w:val="24"/>
          <w:szCs w:val="24"/>
        </w:rPr>
        <w:t xml:space="preserve">Covalent and versatile nature of carbon, homologous series, functional groups, nomenclature, hydrocarbons, chemical properties of carbon compounds, ethanol and </w:t>
      </w:r>
      <w:proofErr w:type="spellStart"/>
      <w:r w:rsidRPr="001805C0">
        <w:rPr>
          <w:sz w:val="24"/>
          <w:szCs w:val="24"/>
        </w:rPr>
        <w:t>ethanoic</w:t>
      </w:r>
      <w:proofErr w:type="spellEnd"/>
      <w:r w:rsidRPr="001805C0">
        <w:rPr>
          <w:sz w:val="24"/>
          <w:szCs w:val="24"/>
        </w:rPr>
        <w:t xml:space="preserve"> acid, soaps and </w:t>
      </w:r>
      <w:r w:rsidR="00041F35" w:rsidRPr="001805C0">
        <w:rPr>
          <w:sz w:val="24"/>
          <w:szCs w:val="24"/>
        </w:rPr>
        <w:t xml:space="preserve">detergents. </w:t>
      </w:r>
    </w:p>
    <w:p w:rsidR="00041F35" w:rsidRPr="001805C0" w:rsidRDefault="00041F35" w:rsidP="001805C0">
      <w:pPr>
        <w:pStyle w:val="NoSpacing"/>
        <w:jc w:val="both"/>
        <w:rPr>
          <w:b/>
          <w:sz w:val="24"/>
          <w:szCs w:val="24"/>
          <w:u w:val="single"/>
        </w:rPr>
      </w:pPr>
      <w:r w:rsidRPr="001805C0">
        <w:rPr>
          <w:b/>
          <w:sz w:val="24"/>
          <w:szCs w:val="24"/>
          <w:u w:val="single"/>
        </w:rPr>
        <w:t>Chapter 5: Periodic Classification of elements</w:t>
      </w:r>
    </w:p>
    <w:p w:rsidR="00041F35" w:rsidRPr="001805C0" w:rsidRDefault="00041F35" w:rsidP="001805C0">
      <w:pPr>
        <w:pStyle w:val="NoSpacing"/>
        <w:jc w:val="both"/>
        <w:rPr>
          <w:sz w:val="24"/>
          <w:szCs w:val="24"/>
        </w:rPr>
      </w:pPr>
      <w:r w:rsidRPr="001805C0">
        <w:rPr>
          <w:sz w:val="24"/>
          <w:szCs w:val="24"/>
        </w:rPr>
        <w:t>Introduction, need for classification, early attempts of classification, modern periodic table, gradation in properties (</w:t>
      </w:r>
      <w:proofErr w:type="spellStart"/>
      <w:r w:rsidRPr="001805C0">
        <w:rPr>
          <w:sz w:val="24"/>
          <w:szCs w:val="24"/>
        </w:rPr>
        <w:t>valency</w:t>
      </w:r>
      <w:proofErr w:type="spellEnd"/>
      <w:r w:rsidRPr="001805C0">
        <w:rPr>
          <w:sz w:val="24"/>
          <w:szCs w:val="24"/>
        </w:rPr>
        <w:t>, metallic and non-metallic properties, atomic radius, ionisation enthalpy)</w:t>
      </w:r>
      <w:r w:rsidR="001805C0">
        <w:rPr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2943"/>
        <w:gridCol w:w="1276"/>
        <w:gridCol w:w="1293"/>
        <w:gridCol w:w="1259"/>
        <w:gridCol w:w="1275"/>
        <w:gridCol w:w="1196"/>
      </w:tblGrid>
      <w:tr w:rsidR="00041F35" w:rsidRPr="00041F35" w:rsidTr="00041F35">
        <w:tc>
          <w:tcPr>
            <w:tcW w:w="2943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Chapter 1</w:t>
            </w:r>
          </w:p>
        </w:tc>
        <w:tc>
          <w:tcPr>
            <w:tcW w:w="1293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Chapter 2</w:t>
            </w:r>
          </w:p>
        </w:tc>
        <w:tc>
          <w:tcPr>
            <w:tcW w:w="1259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Chapter 3</w:t>
            </w:r>
          </w:p>
        </w:tc>
        <w:tc>
          <w:tcPr>
            <w:tcW w:w="1275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Chapter 4</w:t>
            </w:r>
          </w:p>
        </w:tc>
        <w:tc>
          <w:tcPr>
            <w:tcW w:w="1196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Chapter 5</w:t>
            </w:r>
          </w:p>
        </w:tc>
      </w:tr>
      <w:tr w:rsidR="00041F35" w:rsidRPr="00041F35" w:rsidTr="00041F35">
        <w:tc>
          <w:tcPr>
            <w:tcW w:w="2943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 xml:space="preserve">P.T. –I </w:t>
            </w:r>
          </w:p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(July 2018)</w:t>
            </w:r>
          </w:p>
        </w:tc>
        <w:tc>
          <w:tcPr>
            <w:tcW w:w="127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93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59" w:type="dxa"/>
          </w:tcPr>
          <w:p w:rsidR="00041F35" w:rsidRPr="00041F35" w:rsidRDefault="00041F35" w:rsidP="00041F35">
            <w:pPr>
              <w:pStyle w:val="NoSpacing"/>
              <w:rPr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1275" w:type="dxa"/>
          </w:tcPr>
          <w:p w:rsidR="00041F35" w:rsidRPr="00041F35" w:rsidRDefault="00041F35" w:rsidP="00041F35">
            <w:pPr>
              <w:pStyle w:val="NoSpacing"/>
              <w:rPr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119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</w:tr>
      <w:tr w:rsidR="00041F35" w:rsidRPr="00041F35" w:rsidTr="00041F35">
        <w:tc>
          <w:tcPr>
            <w:tcW w:w="2943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 xml:space="preserve">P.T. – II </w:t>
            </w:r>
          </w:p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(September  2018)</w:t>
            </w:r>
          </w:p>
        </w:tc>
        <w:tc>
          <w:tcPr>
            <w:tcW w:w="127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93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59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041F35" w:rsidRPr="00041F35" w:rsidRDefault="00041F35" w:rsidP="00041F35">
            <w:pPr>
              <w:pStyle w:val="NoSpacing"/>
              <w:rPr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119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</w:tr>
      <w:tr w:rsidR="00041F35" w:rsidRPr="00041F35" w:rsidTr="00041F35">
        <w:tc>
          <w:tcPr>
            <w:tcW w:w="2943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 xml:space="preserve">P.T. –III </w:t>
            </w:r>
          </w:p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(January 2019)</w:t>
            </w:r>
          </w:p>
        </w:tc>
        <w:tc>
          <w:tcPr>
            <w:tcW w:w="127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93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59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19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</w:tr>
      <w:tr w:rsidR="00041F35" w:rsidRPr="00041F35" w:rsidTr="00041F35">
        <w:tc>
          <w:tcPr>
            <w:tcW w:w="2943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Pre-Board Examination</w:t>
            </w:r>
          </w:p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(February 2019)</w:t>
            </w:r>
          </w:p>
        </w:tc>
        <w:tc>
          <w:tcPr>
            <w:tcW w:w="127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93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59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19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</w:tr>
      <w:tr w:rsidR="00041F35" w:rsidRPr="00041F35" w:rsidTr="00041F35">
        <w:tc>
          <w:tcPr>
            <w:tcW w:w="2943" w:type="dxa"/>
          </w:tcPr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Board Examination</w:t>
            </w:r>
          </w:p>
          <w:p w:rsidR="00041F35" w:rsidRPr="00041F35" w:rsidRDefault="00041F35" w:rsidP="00BC6650">
            <w:pPr>
              <w:pStyle w:val="NoSpacing"/>
              <w:rPr>
                <w:b/>
                <w:sz w:val="24"/>
                <w:szCs w:val="24"/>
              </w:rPr>
            </w:pPr>
            <w:r w:rsidRPr="00041F35">
              <w:rPr>
                <w:b/>
                <w:sz w:val="24"/>
                <w:szCs w:val="24"/>
              </w:rPr>
              <w:t>(March 2019)</w:t>
            </w:r>
          </w:p>
        </w:tc>
        <w:tc>
          <w:tcPr>
            <w:tcW w:w="127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93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59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1196" w:type="dxa"/>
          </w:tcPr>
          <w:p w:rsidR="00041F35" w:rsidRPr="00041F35" w:rsidRDefault="00041F35" w:rsidP="00041F35">
            <w:pPr>
              <w:pStyle w:val="NoSpacing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</w:p>
        </w:tc>
      </w:tr>
    </w:tbl>
    <w:p w:rsidR="00041F35" w:rsidRDefault="00041F35" w:rsidP="00BC6650">
      <w:pPr>
        <w:pStyle w:val="NoSpacing"/>
      </w:pPr>
    </w:p>
    <w:p w:rsidR="00BC6650" w:rsidRPr="001805C0" w:rsidRDefault="00041F35" w:rsidP="00BC6650">
      <w:pPr>
        <w:pStyle w:val="NoSpacing"/>
        <w:rPr>
          <w:b/>
          <w:sz w:val="28"/>
          <w:szCs w:val="28"/>
        </w:rPr>
      </w:pPr>
      <w:r w:rsidRPr="001805C0">
        <w:rPr>
          <w:b/>
          <w:sz w:val="28"/>
          <w:szCs w:val="28"/>
        </w:rPr>
        <w:t>PRACTICALS:</w:t>
      </w:r>
    </w:p>
    <w:p w:rsidR="00041F35" w:rsidRPr="001805C0" w:rsidRDefault="00041F35" w:rsidP="00041F3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805C0">
        <w:rPr>
          <w:sz w:val="24"/>
          <w:szCs w:val="24"/>
        </w:rPr>
        <w:t>Finding the pH of the following samples by using pH paper/universal indicator:</w:t>
      </w:r>
    </w:p>
    <w:p w:rsidR="002B5544" w:rsidRPr="001805C0" w:rsidRDefault="002B5544" w:rsidP="002B5544">
      <w:pPr>
        <w:pStyle w:val="NoSpacing"/>
        <w:numPr>
          <w:ilvl w:val="0"/>
          <w:numId w:val="3"/>
        </w:numPr>
        <w:rPr>
          <w:sz w:val="24"/>
          <w:szCs w:val="24"/>
        </w:rPr>
        <w:sectPr w:rsidR="002B5544" w:rsidRPr="001805C0" w:rsidSect="000464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41F35" w:rsidRPr="001805C0" w:rsidRDefault="002B5544" w:rsidP="002B554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805C0">
        <w:rPr>
          <w:sz w:val="24"/>
          <w:szCs w:val="24"/>
        </w:rPr>
        <w:lastRenderedPageBreak/>
        <w:t>Dilute Hydrochloric acid</w:t>
      </w:r>
    </w:p>
    <w:p w:rsidR="002B5544" w:rsidRPr="001805C0" w:rsidRDefault="002B5544" w:rsidP="002B554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805C0">
        <w:rPr>
          <w:sz w:val="24"/>
          <w:szCs w:val="24"/>
        </w:rPr>
        <w:t xml:space="preserve">Dilute </w:t>
      </w:r>
      <w:proofErr w:type="spellStart"/>
      <w:r w:rsidRPr="001805C0">
        <w:rPr>
          <w:sz w:val="24"/>
          <w:szCs w:val="24"/>
        </w:rPr>
        <w:t>NaOH</w:t>
      </w:r>
      <w:proofErr w:type="spellEnd"/>
      <w:r w:rsidRPr="001805C0">
        <w:rPr>
          <w:sz w:val="24"/>
          <w:szCs w:val="24"/>
        </w:rPr>
        <w:t xml:space="preserve"> solution.</w:t>
      </w:r>
    </w:p>
    <w:p w:rsidR="002B5544" w:rsidRPr="001805C0" w:rsidRDefault="002B5544" w:rsidP="002B554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805C0">
        <w:rPr>
          <w:sz w:val="24"/>
          <w:szCs w:val="24"/>
        </w:rPr>
        <w:t xml:space="preserve">Dilute </w:t>
      </w:r>
      <w:proofErr w:type="spellStart"/>
      <w:r w:rsidRPr="001805C0">
        <w:rPr>
          <w:sz w:val="24"/>
          <w:szCs w:val="24"/>
        </w:rPr>
        <w:t>Ethanoic</w:t>
      </w:r>
      <w:proofErr w:type="spellEnd"/>
      <w:r w:rsidRPr="001805C0">
        <w:rPr>
          <w:sz w:val="24"/>
          <w:szCs w:val="24"/>
        </w:rPr>
        <w:t xml:space="preserve"> acid solution</w:t>
      </w:r>
    </w:p>
    <w:p w:rsidR="002B5544" w:rsidRPr="001805C0" w:rsidRDefault="002B5544" w:rsidP="002B554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805C0">
        <w:rPr>
          <w:sz w:val="24"/>
          <w:szCs w:val="24"/>
        </w:rPr>
        <w:t>Lemon juice</w:t>
      </w:r>
    </w:p>
    <w:p w:rsidR="002B5544" w:rsidRPr="001805C0" w:rsidRDefault="002B5544" w:rsidP="002B554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805C0">
        <w:rPr>
          <w:sz w:val="24"/>
          <w:szCs w:val="24"/>
        </w:rPr>
        <w:t>Water</w:t>
      </w:r>
    </w:p>
    <w:p w:rsidR="002B5544" w:rsidRPr="001805C0" w:rsidRDefault="002B5544" w:rsidP="002B5544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805C0">
        <w:rPr>
          <w:sz w:val="24"/>
          <w:szCs w:val="24"/>
        </w:rPr>
        <w:t>Dilute H</w:t>
      </w:r>
      <w:r w:rsidRPr="001805C0">
        <w:rPr>
          <w:sz w:val="24"/>
          <w:szCs w:val="24"/>
          <w:vertAlign w:val="subscript"/>
        </w:rPr>
        <w:t>2</w:t>
      </w:r>
      <w:r w:rsidRPr="001805C0">
        <w:rPr>
          <w:sz w:val="24"/>
          <w:szCs w:val="24"/>
        </w:rPr>
        <w:t>CO</w:t>
      </w:r>
      <w:r w:rsidRPr="001805C0">
        <w:rPr>
          <w:sz w:val="24"/>
          <w:szCs w:val="24"/>
          <w:vertAlign w:val="subscript"/>
        </w:rPr>
        <w:t>3</w:t>
      </w:r>
      <w:r w:rsidRPr="001805C0">
        <w:rPr>
          <w:sz w:val="24"/>
          <w:szCs w:val="24"/>
        </w:rPr>
        <w:t xml:space="preserve"> solution</w:t>
      </w:r>
    </w:p>
    <w:p w:rsidR="002B5544" w:rsidRPr="001805C0" w:rsidRDefault="002B5544" w:rsidP="002B5544">
      <w:pPr>
        <w:pStyle w:val="NoSpacing"/>
        <w:ind w:left="720"/>
        <w:rPr>
          <w:sz w:val="24"/>
          <w:szCs w:val="24"/>
        </w:rPr>
      </w:pPr>
      <w:r w:rsidRPr="001805C0">
        <w:rPr>
          <w:sz w:val="24"/>
          <w:szCs w:val="24"/>
        </w:rPr>
        <w:t>Stu dying the properties of acids and bases (</w:t>
      </w:r>
      <w:proofErr w:type="spellStart"/>
      <w:r w:rsidRPr="001805C0">
        <w:rPr>
          <w:sz w:val="24"/>
          <w:szCs w:val="24"/>
        </w:rPr>
        <w:t>HCl</w:t>
      </w:r>
      <w:proofErr w:type="spellEnd"/>
      <w:r w:rsidRPr="001805C0">
        <w:rPr>
          <w:sz w:val="24"/>
          <w:szCs w:val="24"/>
        </w:rPr>
        <w:t xml:space="preserve"> and </w:t>
      </w:r>
      <w:proofErr w:type="spellStart"/>
      <w:r w:rsidRPr="001805C0">
        <w:rPr>
          <w:sz w:val="24"/>
          <w:szCs w:val="24"/>
        </w:rPr>
        <w:t>NaOH</w:t>
      </w:r>
      <w:proofErr w:type="spellEnd"/>
      <w:r w:rsidRPr="001805C0">
        <w:rPr>
          <w:sz w:val="24"/>
          <w:szCs w:val="24"/>
        </w:rPr>
        <w:t>) by their reaction with:</w:t>
      </w:r>
    </w:p>
    <w:p w:rsidR="002B5544" w:rsidRPr="001805C0" w:rsidRDefault="002B5544" w:rsidP="002B554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805C0">
        <w:rPr>
          <w:sz w:val="24"/>
          <w:szCs w:val="24"/>
        </w:rPr>
        <w:t>Litmus solution (Blue/Red)</w:t>
      </w:r>
    </w:p>
    <w:p w:rsidR="002B5544" w:rsidRPr="001805C0" w:rsidRDefault="002B5544" w:rsidP="002B554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805C0">
        <w:rPr>
          <w:sz w:val="24"/>
          <w:szCs w:val="24"/>
        </w:rPr>
        <w:t>Zinc metal</w:t>
      </w:r>
    </w:p>
    <w:p w:rsidR="002B5544" w:rsidRPr="001805C0" w:rsidRDefault="002B5544" w:rsidP="002B554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805C0">
        <w:rPr>
          <w:sz w:val="24"/>
          <w:szCs w:val="24"/>
        </w:rPr>
        <w:t>Solid Sodium carbonate</w:t>
      </w:r>
    </w:p>
    <w:p w:rsidR="002B5544" w:rsidRPr="001805C0" w:rsidRDefault="002B5544" w:rsidP="002B554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805C0">
        <w:rPr>
          <w:sz w:val="24"/>
          <w:szCs w:val="24"/>
        </w:rPr>
        <w:t>Performing and observing the following reactions and classifying them into:</w:t>
      </w:r>
    </w:p>
    <w:p w:rsidR="002B5544" w:rsidRPr="001805C0" w:rsidRDefault="002B5544" w:rsidP="002B554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1805C0">
        <w:rPr>
          <w:sz w:val="24"/>
          <w:szCs w:val="24"/>
        </w:rPr>
        <w:t>Combination reaction</w:t>
      </w:r>
    </w:p>
    <w:p w:rsidR="002B5544" w:rsidRPr="001805C0" w:rsidRDefault="002B5544" w:rsidP="002B554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1805C0">
        <w:rPr>
          <w:sz w:val="24"/>
          <w:szCs w:val="24"/>
        </w:rPr>
        <w:t>Decomposition reaction</w:t>
      </w:r>
    </w:p>
    <w:p w:rsidR="002B5544" w:rsidRPr="001805C0" w:rsidRDefault="002B5544" w:rsidP="002B554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1805C0">
        <w:rPr>
          <w:sz w:val="24"/>
          <w:szCs w:val="24"/>
        </w:rPr>
        <w:lastRenderedPageBreak/>
        <w:t>Displacement reaction</w:t>
      </w:r>
    </w:p>
    <w:p w:rsidR="002B5544" w:rsidRPr="001805C0" w:rsidRDefault="002B5544" w:rsidP="002B5544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1805C0">
        <w:rPr>
          <w:sz w:val="24"/>
          <w:szCs w:val="24"/>
        </w:rPr>
        <w:t xml:space="preserve">Double displacement reaction </w:t>
      </w:r>
    </w:p>
    <w:p w:rsidR="002B5544" w:rsidRPr="001805C0" w:rsidRDefault="002B5544" w:rsidP="002B5544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805C0">
        <w:rPr>
          <w:sz w:val="24"/>
          <w:szCs w:val="24"/>
        </w:rPr>
        <w:t>Action of water on quick lime.</w:t>
      </w:r>
    </w:p>
    <w:p w:rsidR="002B5544" w:rsidRPr="001805C0" w:rsidRDefault="002B5544" w:rsidP="002B5544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805C0">
        <w:rPr>
          <w:sz w:val="24"/>
          <w:szCs w:val="24"/>
        </w:rPr>
        <w:t>Action of heat on ferrous sulphate crystals.</w:t>
      </w:r>
    </w:p>
    <w:p w:rsidR="002B5544" w:rsidRPr="001805C0" w:rsidRDefault="002B5544" w:rsidP="002B5544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805C0">
        <w:rPr>
          <w:sz w:val="24"/>
          <w:szCs w:val="24"/>
        </w:rPr>
        <w:t>Iron nails kept in copper sulphate solution.</w:t>
      </w:r>
    </w:p>
    <w:p w:rsidR="002B5544" w:rsidRPr="001805C0" w:rsidRDefault="002B5544" w:rsidP="002B5544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805C0">
        <w:rPr>
          <w:sz w:val="24"/>
          <w:szCs w:val="24"/>
        </w:rPr>
        <w:t xml:space="preserve">Reaction between sodium sulphate and barium chloride solutions. </w:t>
      </w:r>
    </w:p>
    <w:p w:rsidR="002B5544" w:rsidRPr="001805C0" w:rsidRDefault="002B5544" w:rsidP="002B554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805C0">
        <w:rPr>
          <w:sz w:val="24"/>
          <w:szCs w:val="24"/>
        </w:rPr>
        <w:t>Observing the action of Zn, Fe, Cu and Al metals on the following salt solutions:</w:t>
      </w:r>
    </w:p>
    <w:p w:rsidR="002B5544" w:rsidRPr="001805C0" w:rsidRDefault="002B5544" w:rsidP="002B554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1805C0">
        <w:rPr>
          <w:sz w:val="24"/>
          <w:szCs w:val="24"/>
        </w:rPr>
        <w:t>ZnSO</w:t>
      </w:r>
      <w:r w:rsidRPr="001805C0">
        <w:rPr>
          <w:sz w:val="24"/>
          <w:szCs w:val="24"/>
          <w:vertAlign w:val="subscript"/>
        </w:rPr>
        <w:t>4</w:t>
      </w:r>
      <w:r w:rsidRPr="001805C0">
        <w:rPr>
          <w:sz w:val="24"/>
          <w:szCs w:val="24"/>
        </w:rPr>
        <w:t xml:space="preserve"> (</w:t>
      </w:r>
      <w:proofErr w:type="spellStart"/>
      <w:r w:rsidRPr="001805C0">
        <w:rPr>
          <w:sz w:val="24"/>
          <w:szCs w:val="24"/>
        </w:rPr>
        <w:t>aq</w:t>
      </w:r>
      <w:proofErr w:type="spellEnd"/>
      <w:r w:rsidRPr="001805C0">
        <w:rPr>
          <w:sz w:val="24"/>
          <w:szCs w:val="24"/>
        </w:rPr>
        <w:t>)</w:t>
      </w:r>
    </w:p>
    <w:p w:rsidR="002B5544" w:rsidRPr="001805C0" w:rsidRDefault="002B5544" w:rsidP="002B554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1805C0">
        <w:rPr>
          <w:sz w:val="24"/>
          <w:szCs w:val="24"/>
        </w:rPr>
        <w:t>FeSO</w:t>
      </w:r>
      <w:r w:rsidRPr="001805C0">
        <w:rPr>
          <w:sz w:val="24"/>
          <w:szCs w:val="24"/>
          <w:vertAlign w:val="subscript"/>
        </w:rPr>
        <w:t>4</w:t>
      </w:r>
      <w:r w:rsidRPr="001805C0">
        <w:rPr>
          <w:sz w:val="24"/>
          <w:szCs w:val="24"/>
        </w:rPr>
        <w:t xml:space="preserve"> (</w:t>
      </w:r>
      <w:proofErr w:type="spellStart"/>
      <w:r w:rsidRPr="001805C0">
        <w:rPr>
          <w:sz w:val="24"/>
          <w:szCs w:val="24"/>
        </w:rPr>
        <w:t>aq</w:t>
      </w:r>
      <w:proofErr w:type="spellEnd"/>
      <w:r w:rsidRPr="001805C0">
        <w:rPr>
          <w:sz w:val="24"/>
          <w:szCs w:val="24"/>
        </w:rPr>
        <w:t>)</w:t>
      </w:r>
    </w:p>
    <w:p w:rsidR="002B5544" w:rsidRPr="001805C0" w:rsidRDefault="002B5544" w:rsidP="002B554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1805C0">
        <w:rPr>
          <w:sz w:val="24"/>
          <w:szCs w:val="24"/>
        </w:rPr>
        <w:t>CuSO</w:t>
      </w:r>
      <w:r w:rsidRPr="001805C0">
        <w:rPr>
          <w:sz w:val="24"/>
          <w:szCs w:val="24"/>
          <w:vertAlign w:val="subscript"/>
        </w:rPr>
        <w:t>4</w:t>
      </w:r>
      <w:r w:rsidRPr="001805C0">
        <w:rPr>
          <w:sz w:val="24"/>
          <w:szCs w:val="24"/>
        </w:rPr>
        <w:t xml:space="preserve"> (</w:t>
      </w:r>
      <w:proofErr w:type="spellStart"/>
      <w:r w:rsidRPr="001805C0">
        <w:rPr>
          <w:sz w:val="24"/>
          <w:szCs w:val="24"/>
        </w:rPr>
        <w:t>aq</w:t>
      </w:r>
      <w:proofErr w:type="spellEnd"/>
      <w:r w:rsidRPr="001805C0">
        <w:rPr>
          <w:sz w:val="24"/>
          <w:szCs w:val="24"/>
        </w:rPr>
        <w:t>)</w:t>
      </w:r>
    </w:p>
    <w:p w:rsidR="002B5544" w:rsidRPr="001805C0" w:rsidRDefault="002B5544" w:rsidP="002B554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1805C0">
        <w:rPr>
          <w:sz w:val="24"/>
          <w:szCs w:val="24"/>
        </w:rPr>
        <w:t>Al</w:t>
      </w:r>
      <w:r w:rsidRPr="001805C0">
        <w:rPr>
          <w:sz w:val="24"/>
          <w:szCs w:val="24"/>
          <w:vertAlign w:val="subscript"/>
        </w:rPr>
        <w:t>2</w:t>
      </w:r>
      <w:r w:rsidRPr="001805C0">
        <w:rPr>
          <w:sz w:val="24"/>
          <w:szCs w:val="24"/>
        </w:rPr>
        <w:t>(SO</w:t>
      </w:r>
      <w:r w:rsidRPr="001805C0">
        <w:rPr>
          <w:sz w:val="24"/>
          <w:szCs w:val="24"/>
          <w:vertAlign w:val="subscript"/>
        </w:rPr>
        <w:t>4</w:t>
      </w:r>
      <w:r w:rsidRPr="001805C0">
        <w:rPr>
          <w:sz w:val="24"/>
          <w:szCs w:val="24"/>
        </w:rPr>
        <w:t>)</w:t>
      </w:r>
      <w:r w:rsidRPr="001805C0">
        <w:rPr>
          <w:sz w:val="24"/>
          <w:szCs w:val="24"/>
          <w:vertAlign w:val="subscript"/>
        </w:rPr>
        <w:t>3</w:t>
      </w:r>
      <w:r w:rsidRPr="001805C0">
        <w:rPr>
          <w:sz w:val="24"/>
          <w:szCs w:val="24"/>
        </w:rPr>
        <w:t xml:space="preserve"> (</w:t>
      </w:r>
      <w:proofErr w:type="spellStart"/>
      <w:r w:rsidRPr="001805C0">
        <w:rPr>
          <w:sz w:val="24"/>
          <w:szCs w:val="24"/>
        </w:rPr>
        <w:t>aq</w:t>
      </w:r>
      <w:proofErr w:type="spellEnd"/>
      <w:r w:rsidRPr="001805C0">
        <w:rPr>
          <w:sz w:val="24"/>
          <w:szCs w:val="24"/>
        </w:rPr>
        <w:t>)</w:t>
      </w:r>
    </w:p>
    <w:p w:rsidR="002B5544" w:rsidRDefault="002B5544" w:rsidP="002B5544">
      <w:pPr>
        <w:pStyle w:val="NoSpacing"/>
        <w:ind w:left="720"/>
        <w:rPr>
          <w:sz w:val="24"/>
          <w:szCs w:val="24"/>
        </w:rPr>
      </w:pPr>
      <w:r w:rsidRPr="001805C0">
        <w:rPr>
          <w:sz w:val="24"/>
          <w:szCs w:val="24"/>
        </w:rPr>
        <w:t xml:space="preserve">Arranging Zn, Fe, Cu, and Al (metals) in the decreasing order of reactivity based on the above results. </w:t>
      </w:r>
    </w:p>
    <w:p w:rsidR="001805C0" w:rsidRDefault="001805C0" w:rsidP="002B5544">
      <w:pPr>
        <w:pStyle w:val="NoSpacing"/>
        <w:ind w:left="720"/>
        <w:rPr>
          <w:sz w:val="24"/>
          <w:szCs w:val="24"/>
        </w:rPr>
      </w:pPr>
    </w:p>
    <w:p w:rsidR="001805C0" w:rsidRPr="001805C0" w:rsidRDefault="001805C0" w:rsidP="001805C0">
      <w:pPr>
        <w:pStyle w:val="NoSpacing"/>
        <w:ind w:left="720"/>
        <w:jc w:val="center"/>
        <w:rPr>
          <w:b/>
          <w:sz w:val="24"/>
          <w:szCs w:val="24"/>
        </w:rPr>
      </w:pPr>
      <w:r w:rsidRPr="001805C0">
        <w:rPr>
          <w:b/>
          <w:sz w:val="24"/>
          <w:szCs w:val="24"/>
        </w:rPr>
        <w:t>************************************************************</w:t>
      </w:r>
    </w:p>
    <w:sectPr w:rsidR="001805C0" w:rsidRPr="001805C0" w:rsidSect="002B554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A36"/>
    <w:multiLevelType w:val="hybridMultilevel"/>
    <w:tmpl w:val="3516E5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95EA9"/>
    <w:multiLevelType w:val="hybridMultilevel"/>
    <w:tmpl w:val="57DC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87EB4"/>
    <w:multiLevelType w:val="hybridMultilevel"/>
    <w:tmpl w:val="AE68750C"/>
    <w:lvl w:ilvl="0" w:tplc="5B34573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9422BF0"/>
    <w:multiLevelType w:val="hybridMultilevel"/>
    <w:tmpl w:val="420AF4D8"/>
    <w:lvl w:ilvl="0" w:tplc="9C8C2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5A4981"/>
    <w:multiLevelType w:val="hybridMultilevel"/>
    <w:tmpl w:val="79F0850C"/>
    <w:lvl w:ilvl="0" w:tplc="BF026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034CA0"/>
    <w:multiLevelType w:val="hybridMultilevel"/>
    <w:tmpl w:val="CD0CE4FE"/>
    <w:lvl w:ilvl="0" w:tplc="77E4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C32E14"/>
    <w:multiLevelType w:val="hybridMultilevel"/>
    <w:tmpl w:val="AC4674D4"/>
    <w:lvl w:ilvl="0" w:tplc="0848F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BC6650"/>
    <w:rsid w:val="00041F35"/>
    <w:rsid w:val="000464D4"/>
    <w:rsid w:val="001805C0"/>
    <w:rsid w:val="002B5544"/>
    <w:rsid w:val="00BC6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650"/>
    <w:pPr>
      <w:spacing w:after="0" w:line="240" w:lineRule="auto"/>
    </w:pPr>
  </w:style>
  <w:style w:type="table" w:styleId="TableGrid">
    <w:name w:val="Table Grid"/>
    <w:basedOn w:val="TableNormal"/>
    <w:uiPriority w:val="59"/>
    <w:rsid w:val="00041F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1F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2018-04-19T14:23:00Z</dcterms:created>
  <dcterms:modified xsi:type="dcterms:W3CDTF">2018-04-19T14:57:00Z</dcterms:modified>
</cp:coreProperties>
</file>