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ПРОЕКТИРОВАНИЕ МНОГОУРОВНЕВОЙ РАСПРЕДЕЛЕННОЙ СИСТЕМЫ АНАЛИЗА БИОПОДОБНЫМИ СЕНСОРНО-МОТОРНЫМИ АЛГОРИТМАМИ</w:t>
      </w:r>
    </w:p>
    <w:p w14:paraId="02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Потапов Даниил Петрович,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магистрант и ассистент</w:t>
      </w:r>
      <w:r>
        <w:rPr>
          <w:rFonts w:ascii="Times New Roman" w:hAnsi="Times New Roman"/>
          <w:sz w:val="24"/>
        </w:rPr>
        <w:t xml:space="preserve"> кафедры «Прикладная математика»,</w:t>
      </w:r>
    </w:p>
    <w:p w14:paraId="03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mail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ablist</w:t>
      </w:r>
      <w:r>
        <w:rPr>
          <w:rFonts w:ascii="Times New Roman" w:hAnsi="Times New Roman"/>
          <w:sz w:val="24"/>
        </w:rPr>
        <w:t>99@</w:t>
      </w:r>
      <w:r>
        <w:rPr>
          <w:rFonts w:ascii="Times New Roman" w:hAnsi="Times New Roman"/>
          <w:sz w:val="24"/>
        </w:rPr>
        <w:t>bk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ru</w:t>
      </w:r>
    </w:p>
    <w:p w14:paraId="04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Научный руководитель: </w:t>
      </w:r>
      <w:r>
        <w:rPr>
          <w:rFonts w:ascii="Times New Roman" w:hAnsi="Times New Roman"/>
          <w:sz w:val="24"/>
        </w:rPr>
        <w:t>Старолетов</w:t>
      </w:r>
      <w:r>
        <w:rPr>
          <w:rFonts w:ascii="Times New Roman" w:hAnsi="Times New Roman"/>
          <w:sz w:val="24"/>
        </w:rPr>
        <w:t xml:space="preserve"> Сергей Михайлович – </w:t>
      </w:r>
      <w:r>
        <w:rPr>
          <w:rFonts w:ascii="Times New Roman" w:hAnsi="Times New Roman"/>
          <w:sz w:val="24"/>
        </w:rPr>
        <w:t>к.ф-м.н</w:t>
      </w:r>
      <w:r>
        <w:rPr>
          <w:rFonts w:ascii="Times New Roman" w:hAnsi="Times New Roman"/>
          <w:sz w:val="24"/>
        </w:rPr>
        <w:t>., доцент</w:t>
      </w:r>
      <w:r>
        <w:rPr>
          <w:rFonts w:ascii="Times New Roman" w:hAnsi="Times New Roman"/>
          <w:sz w:val="24"/>
        </w:rPr>
        <w:t>,</w:t>
      </w:r>
    </w:p>
    <w:p w14:paraId="05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им. И. И. Ползунова (г. Барнаул),</w:t>
      </w:r>
    </w:p>
    <w:p w14:paraId="06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Россия</w:t>
      </w:r>
    </w:p>
    <w:p w14:paraId="07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08000000">
      <w:pPr>
        <w:spacing w:line="240" w:lineRule="auto"/>
        <w:ind w:firstLine="709"/>
        <w:jc w:val="both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 xml:space="preserve">В данной </w:t>
      </w:r>
      <w:r>
        <w:rPr>
          <w:rFonts w:ascii="Times New Roman" w:hAnsi="Times New Roman"/>
          <w:i w:val="1"/>
          <w:sz w:val="20"/>
        </w:rPr>
        <w:t>статье</w:t>
      </w:r>
      <w:r>
        <w:rPr>
          <w:rFonts w:ascii="Times New Roman" w:hAnsi="Times New Roman"/>
          <w:i w:val="1"/>
          <w:sz w:val="20"/>
        </w:rPr>
        <w:t xml:space="preserve"> </w:t>
      </w:r>
      <w:r>
        <w:rPr>
          <w:rFonts w:ascii="Times New Roman" w:hAnsi="Times New Roman"/>
          <w:i w:val="1"/>
          <w:sz w:val="20"/>
        </w:rPr>
        <w:t>рассматривается</w:t>
      </w:r>
      <w:r>
        <w:rPr>
          <w:rFonts w:ascii="Times New Roman" w:hAnsi="Times New Roman"/>
          <w:i w:val="1"/>
          <w:sz w:val="20"/>
        </w:rPr>
        <w:t xml:space="preserve"> архитектура кортика</w:t>
      </w:r>
      <w:r>
        <w:rPr>
          <w:rFonts w:ascii="Times New Roman" w:hAnsi="Times New Roman"/>
          <w:i w:val="1"/>
          <w:sz w:val="20"/>
        </w:rPr>
        <w:t>льных слоев, схема движения сигналов между кортикальными слоями, алгоритм деполяризации нейронов латеральными связями, алгоритм  активации нейронов на основании ранее предсказанных данных</w:t>
      </w:r>
      <w:r>
        <w:rPr>
          <w:rFonts w:ascii="Times New Roman" w:hAnsi="Times New Roman"/>
          <w:i w:val="1"/>
          <w:sz w:val="20"/>
        </w:rPr>
        <w:t>.</w:t>
      </w:r>
    </w:p>
    <w:p w14:paraId="09000000">
      <w:pPr>
        <w:spacing w:line="240" w:lineRule="auto"/>
        <w:ind w:firstLine="709"/>
        <w:jc w:val="both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b w:val="1"/>
          <w:i w:val="1"/>
          <w:sz w:val="20"/>
        </w:rPr>
        <w:t>Ключевые слова</w:t>
      </w:r>
      <w:r>
        <w:rPr>
          <w:rFonts w:ascii="Times New Roman" w:hAnsi="Times New Roman"/>
          <w:i w:val="1"/>
          <w:sz w:val="20"/>
        </w:rPr>
        <w:t xml:space="preserve">: </w:t>
      </w:r>
      <w:r>
        <w:rPr>
          <w:rFonts w:ascii="Times New Roman" w:hAnsi="Times New Roman"/>
          <w:i w:val="1"/>
          <w:sz w:val="20"/>
        </w:rPr>
        <w:t>нейронные сети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нейросети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HTM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 xml:space="preserve">иерархическая </w:t>
      </w:r>
      <w:r>
        <w:rPr>
          <w:rFonts w:ascii="Times New Roman" w:hAnsi="Times New Roman"/>
          <w:i w:val="1"/>
          <w:sz w:val="20"/>
        </w:rPr>
        <w:t>темпоральная</w:t>
      </w:r>
      <w:r>
        <w:rPr>
          <w:rFonts w:ascii="Times New Roman" w:hAnsi="Times New Roman"/>
          <w:i w:val="1"/>
          <w:sz w:val="20"/>
        </w:rPr>
        <w:t xml:space="preserve"> память</w:t>
      </w:r>
      <w:r>
        <w:rPr>
          <w:rFonts w:ascii="Times New Roman" w:hAnsi="Times New Roman"/>
          <w:i w:val="1"/>
          <w:sz w:val="20"/>
        </w:rPr>
        <w:t xml:space="preserve">, </w:t>
      </w:r>
      <w:r>
        <w:rPr>
          <w:rFonts w:ascii="Times New Roman" w:hAnsi="Times New Roman"/>
          <w:i w:val="1"/>
          <w:sz w:val="20"/>
        </w:rPr>
        <w:t>биоподобные</w:t>
      </w:r>
      <w:r>
        <w:rPr>
          <w:rFonts w:ascii="Times New Roman" w:hAnsi="Times New Roman"/>
          <w:i w:val="1"/>
          <w:sz w:val="20"/>
        </w:rPr>
        <w:t xml:space="preserve"> алгоритмы, сенсорно-моторные алгоритмы, распределенные системы, анализ данных</w:t>
      </w:r>
      <w:r>
        <w:rPr>
          <w:rFonts w:ascii="Times New Roman" w:hAnsi="Times New Roman"/>
          <w:i w:val="1"/>
          <w:sz w:val="20"/>
        </w:rPr>
        <w:t>.</w:t>
      </w:r>
    </w:p>
    <w:p w14:paraId="0A000000">
      <w:pPr>
        <w:spacing w:line="240" w:lineRule="auto"/>
        <w:ind w:firstLine="0" w:left="708"/>
        <w:jc w:val="both"/>
        <w:rPr>
          <w:rFonts w:ascii="Times New Roman" w:hAnsi="Times New Roman"/>
          <w:sz w:val="24"/>
        </w:rPr>
      </w:pPr>
    </w:p>
    <w:p w14:paraId="0B000000">
      <w:pPr>
        <w:pStyle w:val="Style_1"/>
        <w:numPr>
          <w:ilvl w:val="0"/>
          <w:numId w:val="1"/>
        </w:numPr>
        <w:spacing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Введение</w:t>
      </w:r>
    </w:p>
    <w:p w14:paraId="0C000000">
      <w:pPr>
        <w:pStyle w:val="Style_1"/>
        <w:spacing w:line="240" w:lineRule="auto"/>
        <w:ind w:firstLine="709" w:left="0"/>
        <w:jc w:val="both"/>
        <w:rPr>
          <w:rFonts w:ascii="Times New Roman" w:hAnsi="Times New Roman"/>
          <w:color w:val="0F0F0F"/>
          <w:sz w:val="24"/>
        </w:rPr>
      </w:pPr>
      <w:r>
        <w:rPr>
          <w:rFonts w:ascii="Times New Roman" w:hAnsi="Times New Roman"/>
          <w:color w:val="0F0F0F"/>
          <w:sz w:val="24"/>
        </w:rPr>
        <w:t>Наиболее популярные сети, такие как HMM, TDNN и LSTM, не акцентируют внимание на подробном моделировании биологических процессов. Одна из ключевых особенностей описанной в статье модели состоит в том, что используемая модель нейрона отличается от моделей, используемых в большинстве нейронных сетей. В данной модели используются активные дендриты и зоны интеграции (проксимальные, базальные и апикальные). Основные функциональные преимущества HTM модели – способность непрерывно обучаться, высокая надежность и способность делать несколько прогнозов одновременно</w:t>
      </w:r>
      <w:r>
        <w:rPr>
          <w:rFonts w:ascii="Times New Roman" w:hAnsi="Times New Roman"/>
          <w:color w:val="0F0F0F"/>
          <w:sz w:val="24"/>
        </w:rPr>
        <w:t>.</w:t>
      </w:r>
    </w:p>
    <w:p w14:paraId="0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Из-за отсутствия теории о том, почему неокортекс организован в столбцы и слои, </w:t>
      </w:r>
      <w:r>
        <w:rPr>
          <w:rFonts w:ascii="Times New Roman" w:hAnsi="Times New Roman"/>
          <w:sz w:val="24"/>
        </w:rPr>
        <w:t xml:space="preserve">почти все искусственные нейронные сети, например те, которые используются в </w:t>
      </w:r>
      <w:r>
        <w:rPr>
          <w:rFonts w:ascii="Times New Roman" w:hAnsi="Times New Roman"/>
          <w:sz w:val="24"/>
        </w:rPr>
        <w:t>глубоком обучении [1]</w:t>
      </w:r>
      <w:r>
        <w:rPr>
          <w:rFonts w:ascii="Times New Roman" w:hAnsi="Times New Roman"/>
          <w:sz w:val="24"/>
        </w:rPr>
        <w:t xml:space="preserve"> и импульсные нейронные сети [2]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не включают в себя эти особенности. Поэтому есть вероятность, что были упущены из виду </w:t>
      </w:r>
      <w:r>
        <w:rPr>
          <w:rFonts w:ascii="Times New Roman" w:hAnsi="Times New Roman"/>
          <w:sz w:val="24"/>
        </w:rPr>
        <w:t xml:space="preserve">ключевые функциональные аспекты биологической нервной ткани. Чтобы построить </w:t>
      </w:r>
      <w:r>
        <w:rPr>
          <w:rFonts w:ascii="Times New Roman" w:hAnsi="Times New Roman"/>
          <w:sz w:val="24"/>
        </w:rPr>
        <w:t xml:space="preserve">системы, работающие по тем же принципам, что и неокортекс, нам необходимо </w:t>
      </w:r>
      <w:r>
        <w:rPr>
          <w:rFonts w:ascii="Times New Roman" w:hAnsi="Times New Roman"/>
          <w:sz w:val="24"/>
        </w:rPr>
        <w:t xml:space="preserve">понимание функциональной роли столбчатых и ламинарных проекций </w:t>
      </w:r>
      <w:r>
        <w:rPr>
          <w:rFonts w:ascii="Times New Roman" w:hAnsi="Times New Roman"/>
          <w:color w:val="0F0F0F"/>
          <w:sz w:val="24"/>
        </w:rPr>
        <w:t>[3]</w:t>
      </w:r>
      <w:r>
        <w:rPr>
          <w:rFonts w:ascii="Times New Roman" w:hAnsi="Times New Roman"/>
          <w:sz w:val="24"/>
        </w:rPr>
        <w:t xml:space="preserve">. </w:t>
      </w:r>
    </w:p>
    <w:p w14:paraId="0E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 Постановка задачи</w:t>
      </w:r>
    </w:p>
    <w:p w14:paraId="0F000000">
      <w:pPr>
        <w:spacing w:line="240" w:lineRule="auto"/>
        <w:ind w:firstLine="709"/>
        <w:jc w:val="both"/>
        <w:rPr>
          <w:rFonts w:ascii="Times New Roman" w:hAnsi="Times New Roman"/>
          <w:b w:val="1"/>
          <w:sz w:val="6"/>
        </w:rPr>
      </w:pPr>
    </w:p>
    <w:p w14:paraId="1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Целью данной работы является:</w:t>
      </w:r>
    </w:p>
    <w:p w14:paraId="11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Рассмотрение архитектуры кортикальных слоев</w:t>
      </w:r>
      <w:r>
        <w:rPr>
          <w:rFonts w:ascii="Times New Roman" w:hAnsi="Times New Roman"/>
          <w:sz w:val="24"/>
        </w:rPr>
        <w:t>;</w:t>
      </w:r>
    </w:p>
    <w:p w14:paraId="12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Построение алгоритма деполяризации и активации нейронов с учетом сигналов от базальных и апикальных дендритов</w:t>
      </w:r>
      <w:r>
        <w:rPr>
          <w:rFonts w:ascii="Times New Roman" w:hAnsi="Times New Roman"/>
          <w:sz w:val="24"/>
        </w:rPr>
        <w:t>;</w:t>
      </w:r>
    </w:p>
    <w:p w14:paraId="13000000">
      <w:pPr>
        <w:pStyle w:val="Style_1"/>
        <w:numPr>
          <w:ilvl w:val="0"/>
          <w:numId w:val="2"/>
        </w:numPr>
        <w:spacing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Построение распределенной </w:t>
      </w:r>
      <w:r>
        <w:rPr>
          <w:rFonts w:ascii="Times New Roman" w:hAnsi="Times New Roman"/>
          <w:sz w:val="24"/>
        </w:rPr>
        <w:t>модели системы анализа данных</w:t>
      </w:r>
      <w:r>
        <w:rPr>
          <w:rFonts w:ascii="Times New Roman" w:hAnsi="Times New Roman"/>
          <w:sz w:val="24"/>
        </w:rPr>
        <w:t>.</w:t>
      </w:r>
    </w:p>
    <w:p w14:paraId="14000000">
      <w:pPr>
        <w:pStyle w:val="Style_1"/>
        <w:spacing w:line="240" w:lineRule="auto"/>
        <w:ind w:firstLine="0" w:left="1069"/>
        <w:jc w:val="both"/>
        <w:rPr>
          <w:rFonts w:ascii="Times New Roman" w:hAnsi="Times New Roman"/>
          <w:sz w:val="24"/>
        </w:rPr>
      </w:pPr>
    </w:p>
    <w:p w14:paraId="15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3. Описание </w:t>
      </w:r>
      <w:r>
        <w:rPr>
          <w:rFonts w:ascii="Times New Roman" w:hAnsi="Times New Roman"/>
          <w:b w:val="1"/>
          <w:sz w:val="24"/>
        </w:rPr>
        <w:t xml:space="preserve">материалов и </w:t>
      </w:r>
      <w:r>
        <w:rPr>
          <w:rFonts w:ascii="Times New Roman" w:hAnsi="Times New Roman"/>
          <w:b w:val="1"/>
          <w:sz w:val="24"/>
        </w:rPr>
        <w:t>методов</w:t>
      </w:r>
    </w:p>
    <w:p w14:paraId="16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Концепция Маунткасла говорит о том, что в неокортексе присутствует повторяющаяся функциональная единица. Эта единица – кортикальная колонка [4, 5</w:t>
      </w:r>
      <w:r>
        <w:rPr>
          <w:rFonts w:ascii="Times New Roman" w:hAnsi="Times New Roman"/>
          <w:sz w:val="24"/>
        </w:rPr>
        <w:t>]. Джефф Хоккинс в своей книге ссылается на работу Маунткасла и описывает свою теорию «Тысячи умов», основанную на этих колонках [6</w:t>
      </w:r>
      <w:r>
        <w:rPr>
          <w:rFonts w:ascii="Times New Roman" w:hAnsi="Times New Roman"/>
          <w:sz w:val="24"/>
        </w:rPr>
        <w:t>].</w:t>
      </w:r>
    </w:p>
    <w:p w14:paraId="17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Кортикальные колонки образуют слои головного мозга</w:t>
      </w:r>
      <w:r>
        <w:rPr>
          <w:rFonts w:ascii="Times New Roman" w:hAnsi="Times New Roman"/>
          <w:sz w:val="24"/>
        </w:rPr>
        <w:t xml:space="preserve">, сами же, свою очередь, состоят из нейронов. Идея состоит в том, что каждая колонка проходит через цикл предсказаний и активаций и в конечном итоге сходится к определенному результату. </w:t>
      </w:r>
    </w:p>
    <w:p w14:paraId="18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Самый распространенный [3]</w:t>
      </w:r>
      <w:r>
        <w:rPr>
          <w:rFonts w:ascii="Times New Roman" w:hAnsi="Times New Roman"/>
          <w:sz w:val="24"/>
        </w:rPr>
        <w:t xml:space="preserve"> вид нейронов – пирамидальный нейрон. </w:t>
      </w:r>
      <w:r>
        <w:rPr>
          <w:rFonts w:ascii="Times New Roman" w:hAnsi="Times New Roman"/>
          <w:sz w:val="24"/>
        </w:rPr>
        <w:t>Пирамидальный нейрон имеет ответвления, называемые дендритами. Нам известно о трех видах дендритов: проксимальные, базальные и апикальные. Каждый вид имеет свои особенности. Проксимальные дендрит – это часть</w:t>
      </w:r>
      <w:r>
        <w:rPr>
          <w:rFonts w:ascii="Times New Roman" w:hAnsi="Times New Roman"/>
          <w:sz w:val="24"/>
        </w:rPr>
        <w:t xml:space="preserve">, которая находится ближе всего к телу нейрона. Проксимальные дендриты приводят к непосредственной активации нейронов. </w:t>
      </w:r>
      <w:r>
        <w:rPr>
          <w:rFonts w:ascii="Times New Roman" w:hAnsi="Times New Roman"/>
          <w:sz w:val="24"/>
        </w:rPr>
        <w:t>Базальные и апикальные дендриты – части, достаточно удаленные от тела нейрона. Закономерности, обнаруженные базальными и апикальными связями только деполяризуют клетк</w:t>
      </w:r>
      <w:r>
        <w:rPr>
          <w:rFonts w:ascii="Times New Roman" w:hAnsi="Times New Roman"/>
          <w:sz w:val="24"/>
        </w:rPr>
        <w:t xml:space="preserve">и, без активации. Более подробное описание нейрона приведено в в предыдущей работе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7] и оригинальной статье Хоккинса [3]</w:t>
      </w:r>
      <w:r>
        <w:rPr>
          <w:rFonts w:ascii="Times New Roman" w:hAnsi="Times New Roman"/>
          <w:sz w:val="24"/>
        </w:rPr>
        <w:t>.</w:t>
      </w:r>
    </w:p>
    <w:p w14:paraId="19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1A000000">
      <w:pPr>
        <w:spacing w:line="240" w:lineRule="auto"/>
        <w:ind w:firstLine="709"/>
        <w:jc w:val="center"/>
        <w:rPr>
          <w:rFonts w:ascii="Times New Roman" w:hAnsi="Times New Roman"/>
          <w:sz w:val="24"/>
          <w:shd w:fill="FFD821" w:val="clear"/>
        </w:rPr>
      </w:pPr>
      <w:r>
        <w:drawing>
          <wp:inline>
            <wp:extent cx="2619374" cy="210502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19374" cy="21050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spacing w:line="240" w:lineRule="auto"/>
        <w:ind w:firstLine="70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Модель нейрона [3]</w:t>
      </w:r>
    </w:p>
    <w:p w14:paraId="1C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биологической точки зрения устройство колонки неокортекса можно представить в виде следующей схемы:</w:t>
      </w:r>
    </w:p>
    <w:p w14:paraId="1D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drawing>
          <wp:inline>
            <wp:extent cx="6122035" cy="174820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122035" cy="17482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2 – Модель неокортекса</w:t>
      </w:r>
    </w:p>
    <w:p w14:paraId="1F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Более бледное изображение мини-колонки обусловлено тем, что это условная единица. Организация клеток внутри колонки может не соответствовать физическому расположению в столбец, но важно понимать, эти клетки относятся к одной условной группе, поэтому </w:t>
      </w:r>
      <w:r>
        <w:rPr>
          <w:rFonts w:ascii="Times New Roman" w:hAnsi="Times New Roman"/>
          <w:sz w:val="24"/>
        </w:rPr>
        <w:t>клетки организованы в «мини-колонки»</w:t>
      </w:r>
      <w:r>
        <w:rPr>
          <w:rFonts w:ascii="Times New Roman" w:hAnsi="Times New Roman"/>
          <w:sz w:val="24"/>
        </w:rPr>
        <w:t xml:space="preserve"> для удобства работы с ними в рамках модели. Для синапса похожее обоснование, синапс – соединение дендрита и аксона, по сути, условная единица, не имеющая физического проявления (но только в рамках данной модели).</w:t>
      </w:r>
    </w:p>
    <w:p w14:paraId="2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точки зрения хранения данных, структура будет иметь следующий вид:</w:t>
      </w:r>
    </w:p>
    <w:p w14:paraId="21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drawing>
          <wp:inline>
            <wp:extent cx="3063874" cy="246062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63874" cy="2460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3 – Реляционная схема данных</w:t>
      </w:r>
    </w:p>
    <w:p w14:paraId="23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хранения данных слоев будем использовать словарь (ключ - значение), один слой – один словарь.</w:t>
      </w:r>
    </w:p>
    <w:p w14:paraId="24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b w:val="0"/>
          <w:sz w:val="24"/>
        </w:rPr>
        <w:t>входного слоя</w:t>
      </w:r>
      <w:r>
        <w:rPr>
          <w:rFonts w:ascii="Times New Roman" w:hAnsi="Times New Roman"/>
          <w:sz w:val="24"/>
        </w:rPr>
        <w:t xml:space="preserve"> ключом будет являться разряд входных бинарных данных, значение – мини-колонка, тоже словарь. В словаре мини-колонок ключом является guid клетки, а значение – словарь дендритов. Дендриты, в свою очередь, представляют из себя тоже словарь, где ключ – номер разряда латерального сигнала, а значение – синапс.</w:t>
      </w:r>
    </w:p>
    <w:p w14:paraId="25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Синапс – структура из guid синапса, значения постоянства и веса.</w:t>
      </w:r>
    </w:p>
    <w:p w14:paraId="26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sz w:val="24"/>
        </w:rPr>
        <w:t>Выходной слой</w:t>
      </w:r>
      <w:r>
        <w:rPr>
          <w:rFonts w:ascii="Times New Roman" w:hAnsi="Times New Roman"/>
          <w:sz w:val="24"/>
        </w:rPr>
        <w:t xml:space="preserve"> – словарь, ключ – номер разряда, значение – пара, состоящая из guid клетки и словаря</w:t>
      </w:r>
      <w:r>
        <w:rPr>
          <w:rFonts w:ascii="Times New Roman" w:hAnsi="Times New Roman"/>
          <w:sz w:val="24"/>
        </w:rPr>
        <w:t xml:space="preserve"> дендритных ветвей. Структура дендрита выходного слоя аналогична структуре дендрита входного слоя.</w:t>
      </w:r>
    </w:p>
    <w:p w14:paraId="27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Дендритная ветвь выходного слоя имеет размер выходного слоя. Потому что латеральная поддержка в этом слое ссылается сама на себя.</w:t>
      </w:r>
    </w:p>
    <w:p w14:paraId="28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отдельных словарях </w:t>
      </w:r>
      <w:r>
        <w:rPr>
          <w:rFonts w:ascii="Times New Roman" w:hAnsi="Times New Roman"/>
          <w:b w:val="0"/>
          <w:sz w:val="24"/>
        </w:rPr>
        <w:t xml:space="preserve">FeedForward (зеленые стрелочки на рисунке 4) и </w:t>
      </w:r>
      <w:r>
        <w:rPr>
          <w:rFonts w:ascii="Times New Roman" w:hAnsi="Times New Roman"/>
          <w:b w:val="0"/>
          <w:sz w:val="24"/>
        </w:rPr>
        <w:t>FeedBack (красные стрелочки на рисунке 4)</w:t>
      </w:r>
      <w:r>
        <w:rPr>
          <w:rFonts w:ascii="Times New Roman" w:hAnsi="Times New Roman"/>
          <w:sz w:val="24"/>
        </w:rPr>
        <w:t xml:space="preserve"> хранятся синапсы между клетками входного слоя и выходного.  При этом, для удобства хранится номер разряда внешнего словаря: </w:t>
      </w:r>
    </w:p>
    <w:p w14:paraId="29000000">
      <w:pPr>
        <w:pStyle w:val="Style_2"/>
        <w:spacing w:line="240" w:lineRule="auto"/>
        <w:ind w:firstLine="0"/>
        <w:jc w:val="center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t>&lt;&lt;&lt;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</m:e>
          </m:d>
          <m:r>
            <w:rPr>
              <w:rFonts w:ascii="Cambria Math" w:hAnsi="Cambria Math"/>
              <w:sz w:val="24"/>
            </w:rPr>
            <m:t>&gt;,&lt;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e>
          </m:d>
          <m:r>
            <w:rPr>
              <w:rFonts w:ascii="Cambria Math" w:hAnsi="Cambria Math"/>
              <w:sz w:val="24"/>
            </w:rPr>
            <m:t>&gt;&gt;,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r</m:t>
          </m:r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c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rPr>
              <m:sty m:val="p"/>
            </m:rPr>
            <m:t>V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u</m:t>
          </m:r>
          <m:r>
            <w:rPr>
              <w:rFonts w:ascii="Cambria Math" w:hAnsi="Cambria Math"/>
              <w:sz w:val="24"/>
            </w:rPr>
            <m:rPr>
              <m:sty m:val="p"/>
            </m:rPr>
            <m:t>e</m:t>
          </m:r>
          <m:r>
            <w:rPr>
              <w:rFonts w:ascii="Cambria Math" w:hAnsi="Cambria Math"/>
              <w:sz w:val="24"/>
            </w:rPr>
            <m:t>&gt;</m:t>
          </m:r>
        </m:oMath>
      </m:oMathPara>
    </w:p>
    <w:p w14:paraId="2A000000">
      <w:pPr>
        <w:pStyle w:val="Style_2"/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1 – Структура хранения синапсов между слоями</w:t>
      </w:r>
    </w:p>
    <w:p w14:paraId="2B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отображения состояния предсказания клеток на текущей итерации будем использовать аналогичную по структуре схему данных. Но хранить в ней будем те данные, которые имеют отношение к предсказанным клеткам.  А именно мини-колонки, в которых предсказанные клетки, сами предсказанные клетки и дендриты, которые привели к активации. Дополнительно для каждой клетки будем хранить признак активного апикального дендрита (guid самого дендрита, если он есть).</w:t>
      </w:r>
    </w:p>
    <w:p w14:paraId="2C000000">
      <w:pPr>
        <w:pStyle w:val="Style_2"/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отображения состояния активности клеток на текущей итерации будем использовать следующую структуру – map по мини-колонкам, где в значении хранится список guid активных клеток. При этом не нужно хранить дендриты, потому что они уже хранятся в map с предсказанными клетками. Следует заметить, что если клетка активная, но ее нет в map с предсказанными клетками, значит она была активирована в следствие того, что в мини-колонке не оказалось предсказанных клеток и был активирован весь столбец.</w:t>
      </w:r>
    </w:p>
    <w:p w14:paraId="2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данной статье предлагается система, состоящая из двух кортикальных слоев, один для обработки входных сигналов, другой для индикации выходного сигнала. </w:t>
      </w:r>
    </w:p>
    <w:p w14:paraId="2E000000">
      <w:pPr>
        <w:spacing w:line="240" w:lineRule="auto"/>
        <w:ind w:firstLine="0"/>
        <w:jc w:val="center"/>
        <w:rPr>
          <w:rFonts w:ascii="Times New Roman" w:hAnsi="Times New Roman"/>
          <w:sz w:val="24"/>
          <w:shd w:fill="FFD821" w:val="clear"/>
        </w:rPr>
      </w:pPr>
      <w:r>
        <w:drawing>
          <wp:inline>
            <wp:extent cx="6122035" cy="3064341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22035" cy="30643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 – Общая модель системы</w:t>
      </w:r>
    </w:p>
    <w:p w14:paraId="30000000">
      <w:pPr>
        <w:spacing w:line="240" w:lineRule="auto"/>
        <w:ind w:firstLine="709" w:left="0"/>
        <w:jc w:val="both"/>
        <w:rPr>
          <w:rFonts w:ascii="Times New Roman" w:hAnsi="Times New Roman"/>
          <w:sz w:val="24"/>
          <w:shd w:fill="FFD821" w:val="clear"/>
        </w:rPr>
      </w:pPr>
      <w:r>
        <w:rPr>
          <w:rFonts w:ascii="Times New Roman" w:hAnsi="Times New Roman"/>
          <w:sz w:val="24"/>
        </w:rPr>
        <w:t>Цветовая индикация:</w:t>
      </w:r>
    </w:p>
    <w:p w14:paraId="31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зеленый - прямые сигналы, которые идут по проксимальным дендритам. Служат для непосредственной активации нейронов;</w:t>
      </w:r>
    </w:p>
    <w:p w14:paraId="32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синий – боковые (латеральные) сигналы, идут по базальным дендритам. Служат для деполяризации клеток, то есть предвещают активацию. Клетки с боковой связью активируются быстрее и пресекают активацию клеток, у которых такой связи нет;</w:t>
      </w:r>
    </w:p>
    <w:p w14:paraId="33000000">
      <w:pPr>
        <w:numPr>
          <w:numId w:val="3"/>
        </w:numPr>
        <w:spacing w:line="240" w:lineRule="auto"/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красный – обратная связь, апикальные дендриты. это обратная связь от внешнего слоя. Если клетка во внешнем слое была активирована, то она может предсказать активацию клеток входного слоя, деполяризовав их по апикальному дендриту.</w:t>
      </w:r>
    </w:p>
    <w:p w14:paraId="34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Данная модель является сенсорно-моторной. Это означает, что обучение и вынесение вердикта основывается на перемещении датчиков, относительно объектов. Отталкиваемся от гипотезы, что каждая колонка получает сигнал местоположения, хотя полная картина этого механизма пока что не ясна [3]</w:t>
      </w:r>
      <w:r>
        <w:rPr>
          <w:rFonts w:ascii="Times New Roman" w:hAnsi="Times New Roman"/>
          <w:sz w:val="24"/>
        </w:rPr>
        <w:t>.</w:t>
      </w:r>
    </w:p>
    <w:p w14:paraId="35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Принципиальное отличие от модели, представленной в предыдущей статье [7]</w:t>
      </w:r>
      <w:r>
        <w:rPr>
          <w:rFonts w:ascii="Times New Roman" w:hAnsi="Times New Roman"/>
          <w:sz w:val="24"/>
        </w:rPr>
        <w:t xml:space="preserve">, заключается в том, что для предсказания и активации клеток выходного слоя используется активация входного слоя </w:t>
      </w:r>
      <w:r>
        <w:rPr>
          <w:rFonts w:ascii="Times New Roman" w:hAnsi="Times New Roman"/>
          <w:sz w:val="24"/>
        </w:rPr>
        <w:t>и деполяризация выходного слоя, основанная на активации выходного слоя на предыдущем шаге</w:t>
      </w:r>
      <w:r>
        <w:rPr>
          <w:rFonts w:ascii="Times New Roman" w:hAnsi="Times New Roman"/>
          <w:sz w:val="24"/>
        </w:rPr>
        <w:t>:</w:t>
      </w:r>
    </w:p>
    <w:p w14:paraId="36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grow m:val="on"/>
              <m:subHide m:val="off"/>
              <m:supHide m:val="off"/>
            </m:naryPr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begChr m:val="["/>
              <m:sepChr m:val=","/>
              <m:endChr m:val="]"/>
            </m:dPr>
            <m:e>
              <m:sSub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j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≥</m:t>
              </m:r>
              <m:sSubSup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bSup>
            </m:e>
          </m:d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  <m:r>
            <w:rPr>
              <w:rFonts w:ascii="Cambria Math" w:hAnsi="Cambria Math"/>
              <w:sz w:val="24"/>
            </w:rPr>
            <m:t>≥</m:t>
          </m:r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rFonts w:ascii="Times New Roman" w:hAnsi="Times New Roman"/>
          <w:sz w:val="24"/>
        </w:rPr>
        <w:t xml:space="preserve"> </w:t>
      </w:r>
    </w:p>
    <w:p w14:paraId="37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2 – Выбор клеток выходного слоя с достаточным количеством прямых связей</w:t>
      </w:r>
    </w:p>
    <w:p w14:paraId="38000000">
      <w:pPr>
        <w:spacing w:line="240" w:lineRule="auto"/>
        <w:ind w:firstLine="709"/>
        <w:jc w:val="center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  <m:r>
            <w:rPr>
              <w:rFonts w:ascii="Cambria Math" w:hAnsi="Cambria Math"/>
              <w:sz w:val="24"/>
            </w:rPr>
            <m:t>=1</m:t>
          </m:r>
          <m:r>
            <w:rPr>
              <w:rFonts w:ascii="Cambria Math" w:hAnsi="Cambria Math"/>
              <w:sz w:val="24"/>
            </w:rPr>
            <m:rPr>
              <m:sty m:val="p"/>
            </m:rPr>
            <m:t>i</m:t>
          </m:r>
          <m:r>
            <w:rPr>
              <w:rFonts w:ascii="Cambria Math" w:hAnsi="Cambria Math"/>
              <w:sz w:val="24"/>
            </w:rPr>
            <m:rPr>
              <m:sty m:val="p"/>
            </m:rPr>
            <m:t>f</m:t>
          </m:r>
          <m:r>
            <w:rPr>
              <w:rFonts w:ascii="Cambria Math" w:hAnsi="Cambria Math"/>
              <w:sz w:val="24"/>
            </w:rPr>
            <m:t>∊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n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nary>
            <m:naryPr>
              <m:chr m:val="∑"/>
              <m:limLoc m:val="undOvr"/>
              <m:grow m:val="on"/>
              <m:subHide m:val="off"/>
              <m:supHide m:val="on"/>
            </m:naryPr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nary>
          <m:d>
            <m:dPr>
              <m:begChr m:val="["/>
              <m:sepChr m:val=","/>
              <m:endChr m:val="]"/>
            </m:dPr>
            <m:e>
              <m:sSup>
                <m:e>
                  <m:limUp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~</m:t>
                      </m:r>
                    </m:lim>
                  </m:limUpp>
                </m:e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⋅</m:t>
              </m:r>
              <m:sSup>
                <m:e>
                  <m:limUp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~</m:t>
                      </m:r>
                    </m:lim>
                  </m:limUpp>
                </m:e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d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≥</m:t>
              </m:r>
              <m:sSubSup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o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u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t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≥</m:t>
          </m:r>
          <m:sSubSup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</w:p>
    <w:p w14:paraId="39000000">
      <w:pPr>
        <w:spacing w:line="240" w:lineRule="auto"/>
        <w:ind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Формула 3 – Определение активных клеток</w:t>
      </w:r>
    </w:p>
    <w:p w14:paraId="3A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Где 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«выигрышные» клетки выходного слоя на текущем шаге;</w:t>
      </w:r>
    </w:p>
    <w:p w14:paraId="3B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rFonts w:ascii="Times New Roman" w:hAnsi="Times New Roman"/>
          <w:sz w:val="24"/>
        </w:rPr>
        <w:t xml:space="preserve"> – индексы мини-колонки и клетки в мини-колонке;</w:t>
      </w:r>
    </w:p>
    <w:p w14:paraId="3C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k</m:t>
              </m:r>
            </m:sub>
          </m:sSub>
        </m:oMath>
      </m:oMathPara>
      <w:r>
        <w:rPr>
          <w:rFonts w:ascii="Times New Roman" w:hAnsi="Times New Roman"/>
          <w:sz w:val="24"/>
        </w:rPr>
        <w:t xml:space="preserve"> – значение постоянства между </w:t>
      </w: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rPr>
          <w:rFonts w:ascii="Times New Roman" w:hAnsi="Times New Roman"/>
          <w:sz w:val="24"/>
        </w:rPr>
        <w:t xml:space="preserve"> клеткой входного слоя и </w:t>
      </w:r>
      <m:oMathPara>
        <m:oMath>
          <m:r>
            <w:rPr>
              <w:rFonts w:ascii="Cambria Math" w:hAnsi="Cambria Math"/>
              <w:sz w:val="24"/>
            </w:rPr>
            <m:t>k</m:t>
          </m:r>
        </m:oMath>
      </m:oMathPara>
      <w:r>
        <w:rPr>
          <w:rFonts w:ascii="Times New Roman" w:hAnsi="Times New Roman"/>
          <w:sz w:val="24"/>
        </w:rPr>
        <w:t xml:space="preserve"> клеткой выходного слоя;</w:t>
      </w:r>
    </w:p>
    <w:p w14:paraId="3D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rPr>
          <w:rFonts w:ascii="Times New Roman" w:hAnsi="Times New Roman"/>
          <w:sz w:val="24"/>
        </w:rPr>
        <w:t xml:space="preserve"> – порог образования синапса между входным и выходным слоем;</w:t>
      </w:r>
    </w:p>
    <w:p w14:paraId="3E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бинарное значение, признак наличия активной </w:t>
      </w:r>
      <m:oMathPara>
        <m:oMath>
          <m:r>
            <w:rPr>
              <w:rFonts w:ascii="Cambria Math" w:hAnsi="Cambria Math"/>
              <w:sz w:val="24"/>
            </w:rPr>
            <m:t>i,j</m:t>
          </m:r>
        </m:oMath>
      </m:oMathPara>
      <w:r>
        <w:t xml:space="preserve"> </w:t>
      </w:r>
      <w:r>
        <w:rPr>
          <w:rFonts w:ascii="Times New Roman" w:hAnsi="Times New Roman"/>
          <w:sz w:val="24"/>
        </w:rPr>
        <w:t>клетки во входном слое;</w:t>
      </w:r>
    </w:p>
    <w:p w14:paraId="3F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пороговое количество прямых связей для клетки выходного слоя;</w:t>
      </w:r>
    </w:p>
    <w:p w14:paraId="40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t>,t</m:t>
              </m:r>
            </m:sup>
          </m:sSubSup>
        </m:oMath>
      </m:oMathPara>
      <w:r>
        <w:t xml:space="preserve"> – </w:t>
      </w:r>
      <w:r>
        <w:rPr>
          <w:rFonts w:ascii="Times New Roman" w:hAnsi="Times New Roman"/>
          <w:sz w:val="24"/>
        </w:rPr>
        <w:t xml:space="preserve">бинарное значение, признак активной </w:t>
      </w:r>
      <m:oMathPara>
        <m:oMath>
          <m:r>
            <w:rPr>
              <w:rFonts w:ascii="Cambria Math" w:hAnsi="Cambria Math"/>
              <w:sz w:val="24"/>
            </w:rPr>
            <m:t>i</m:t>
          </m:r>
        </m:oMath>
      </m:oMathPara>
      <w:r>
        <w:rPr>
          <w:rFonts w:ascii="Times New Roman" w:hAnsi="Times New Roman"/>
          <w:sz w:val="24"/>
        </w:rPr>
        <w:t xml:space="preserve"> клетки выходного слоя;</w:t>
      </w:r>
    </w:p>
    <w:p w14:paraId="41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</m:oMath>
      </m:oMathPara>
      <w:r>
        <w:t xml:space="preserve"> </w:t>
      </w:r>
      <w:r>
        <w:rPr>
          <w:rFonts w:ascii="Times New Roman" w:hAnsi="Times New Roman"/>
          <w:sz w:val="24"/>
        </w:rPr>
        <w:t xml:space="preserve"> – индекс дендрита;</w:t>
      </w:r>
    </w:p>
    <w:p w14:paraId="42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p>
            <m:e>
              <m:limUpp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~</m:t>
                  </m:r>
                </m:lim>
              </m:limUpp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p>
        </m:oMath>
      </m:oMathPara>
      <w:r>
        <w:rPr>
          <w:rFonts w:ascii="Times New Roman" w:hAnsi="Times New Roman"/>
          <w:sz w:val="24"/>
        </w:rPr>
        <w:t xml:space="preserve"> – бинарная матрица, признак наличия синапса у активной клетки выходного слоя;</w:t>
      </w:r>
    </w:p>
    <w:p w14:paraId="43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p>
            <m:e>
              <m:limUpp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~</m:t>
                  </m:r>
                </m:lim>
              </m:limUpp>
            </m:e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i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d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p>
        </m:oMath>
      </m:oMathPara>
      <w:r>
        <w:rPr>
          <w:rFonts w:ascii="Times New Roman" w:hAnsi="Times New Roman"/>
          <w:sz w:val="24"/>
        </w:rPr>
        <w:t xml:space="preserve"> – бинарная матрица, признак наличия синапса у дендрита клетки выходного слоя;</w:t>
      </w:r>
    </w:p>
    <w:p w14:paraId="44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пороговое количество боковых связей для клетки выходного слоя;</w:t>
      </w:r>
    </w:p>
    <w:p w14:paraId="45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m:oMathPara>
        <m:oMath>
          <m:sSubSup>
            <m:e>
              <m:r>
                <w:rPr>
                  <w:rFonts w:ascii="Cambria Math" w:hAnsi="Cambria Math"/>
                  <w:sz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u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</m:sup>
          </m:sSubSup>
        </m:oMath>
      </m:oMathPara>
      <w:r>
        <w:t xml:space="preserve"> –</w:t>
      </w:r>
      <w:r>
        <w:rPr>
          <w:rFonts w:ascii="Times New Roman" w:hAnsi="Times New Roman"/>
          <w:sz w:val="24"/>
        </w:rPr>
        <w:t xml:space="preserve"> наибольшее количество активных базальных дендритов на предыдущем шаге.</w:t>
      </w:r>
    </w:p>
    <w:p w14:paraId="46000000">
      <w:pPr>
        <w:pStyle w:val="Style_1"/>
        <w:spacing w:line="240" w:lineRule="auto"/>
        <w:ind w:firstLine="709" w:left="0"/>
        <w:jc w:val="center"/>
        <w:rPr>
          <w:rFonts w:ascii="Times New Roman" w:hAnsi="Times New Roman"/>
          <w:sz w:val="24"/>
          <w:shd w:fill="FFD821" w:val="clear"/>
        </w:rPr>
      </w:pPr>
    </w:p>
    <w:p w14:paraId="47000000">
      <w:pPr>
        <w:spacing w:line="240" w:lineRule="auto"/>
        <w:ind w:firstLine="709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 Заключение</w:t>
      </w:r>
    </w:p>
    <w:p w14:paraId="48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данной работы была спроектирована модель кортикальной памяти, состоящая из двух слоев и позволяющая делать предсказания с помощью сенсорно-моторных алгоритмов, основываясь в том числе на данных, полученных ранее.</w:t>
      </w:r>
    </w:p>
    <w:p w14:paraId="49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Модель кортикальной колонки, представленная в этой статье, описывается с точки </w:t>
      </w:r>
      <w:r>
        <w:rPr>
          <w:rFonts w:ascii="Times New Roman" w:hAnsi="Times New Roman"/>
          <w:sz w:val="24"/>
        </w:rPr>
        <w:t xml:space="preserve">зрения сенсорных областей и сенсорной обработки, но схема, лежащая в основе </w:t>
      </w:r>
      <w:r>
        <w:rPr>
          <w:rFonts w:ascii="Times New Roman" w:hAnsi="Times New Roman"/>
          <w:sz w:val="24"/>
        </w:rPr>
        <w:t xml:space="preserve">нашей модели, существует во всех корковых областях. Таким образом, если гипотеза </w:t>
      </w:r>
      <w:r>
        <w:rPr>
          <w:rFonts w:ascii="Times New Roman" w:hAnsi="Times New Roman"/>
          <w:sz w:val="24"/>
        </w:rPr>
        <w:t xml:space="preserve">Маунткасла верна, в этой структуре могут быть реализованы даже когнитивные функции </w:t>
      </w:r>
      <w:r>
        <w:rPr>
          <w:rFonts w:ascii="Times New Roman" w:hAnsi="Times New Roman"/>
          <w:sz w:val="24"/>
        </w:rPr>
        <w:t xml:space="preserve">высокого уровня, такие как математика, язык и естественные науки. Из этого следует, </w:t>
      </w:r>
      <w:r>
        <w:rPr>
          <w:rFonts w:ascii="Times New Roman" w:hAnsi="Times New Roman"/>
          <w:sz w:val="24"/>
        </w:rPr>
        <w:t xml:space="preserve">что даже абстрактные знания хранятся в некоторой форме «локации». </w:t>
      </w:r>
    </w:p>
    <w:p w14:paraId="4A000000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14:paraId="4B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СПИСОК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ИСПОЛЬЗОВАННЫХ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ИСТОЧНИКОВ</w:t>
      </w:r>
    </w:p>
    <w:p w14:paraId="4C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Recurrent Neural Networks &amp; Deep Neural Networks Based on Intrusion Detect</w:t>
      </w:r>
      <w:r>
        <w:rPr>
          <w:rFonts w:ascii="Times New Roman" w:hAnsi="Times New Roman"/>
          <w:color w:val="000000"/>
          <w:sz w:val="24"/>
        </w:rPr>
        <w:t>ion System</w:t>
      </w:r>
      <w:r>
        <w:rPr>
          <w:rFonts w:ascii="Times New Roman" w:hAnsi="Times New Roman"/>
          <w:color w:val="000000"/>
          <w:sz w:val="24"/>
        </w:rPr>
        <w:t xml:space="preserve">. - </w:t>
      </w:r>
      <w:r>
        <w:rPr>
          <w:rFonts w:ascii="Times New Roman" w:hAnsi="Times New Roman"/>
          <w:color w:val="000000"/>
          <w:sz w:val="24"/>
        </w:rPr>
        <w:t>LeCun et al., 2015.</w:t>
      </w:r>
    </w:p>
    <w:p w14:paraId="4D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Networks of Spiking Neurons: The Third Generation of Neural Network Models</w:t>
      </w:r>
      <w:r>
        <w:rPr>
          <w:rFonts w:ascii="Times New Roman" w:hAnsi="Times New Roman"/>
          <w:color w:val="000000"/>
          <w:sz w:val="24"/>
        </w:rPr>
        <w:t xml:space="preserve">. - </w:t>
      </w:r>
      <w:r>
        <w:rPr>
          <w:rFonts w:ascii="Times New Roman" w:hAnsi="Times New Roman"/>
          <w:color w:val="000000"/>
          <w:sz w:val="24"/>
        </w:rPr>
        <w:t>Maass, 1997</w:t>
      </w:r>
    </w:p>
    <w:p w14:paraId="4E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A Theory of How Columns in the Neocortex Enable Learning the Structure of the World. -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Hawkins J, Ahmad S and Cui Y, 2017</w:t>
      </w:r>
    </w:p>
    <w:p w14:paraId="4F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Эделмен Дж., </w:t>
      </w:r>
      <w:r>
        <w:rPr>
          <w:rFonts w:ascii="Times New Roman" w:hAnsi="Times New Roman"/>
          <w:sz w:val="24"/>
        </w:rPr>
        <w:t>Маунткасл В., Разумный мозг: Пер. с англ./Перевод Алексеенко Н. Ю.; Под ред. и с предисл. Е. Н. Соколова. – М.: Мир, 1981. – 135 с. с ил.</w:t>
      </w:r>
    </w:p>
    <w:p w14:paraId="50000000">
      <w:pPr>
        <w:numPr>
          <w:numId w:val="4"/>
        </w:numPr>
        <w:spacing w:line="24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Старолетов, С. М. Обзор современного состояния кортикальных алгоритмов и их применение для анализа сигналов в реальном времени / С. М. </w:t>
      </w:r>
      <w:r>
        <w:rPr>
          <w:rFonts w:ascii="Times New Roman" w:hAnsi="Times New Roman"/>
          <w:sz w:val="24"/>
        </w:rPr>
        <w:t>Старолетов</w:t>
      </w:r>
      <w:r>
        <w:rPr>
          <w:rFonts w:ascii="Times New Roman" w:hAnsi="Times New Roman"/>
          <w:sz w:val="24"/>
        </w:rPr>
        <w:t xml:space="preserve"> // Системный администратор. – 2022. – № 11(240). – С. 82-87. – EDN IHFWEA.</w:t>
      </w:r>
    </w:p>
    <w:p w14:paraId="51000000">
      <w:pPr>
        <w:pStyle w:val="Style_1"/>
        <w:numPr>
          <w:ilvl w:val="0"/>
          <w:numId w:val="4"/>
        </w:numPr>
        <w:spacing w:line="240" w:lineRule="auto"/>
        <w:ind/>
        <w:jc w:val="both"/>
        <w:rPr>
          <w:rFonts w:ascii="Times New Roman" w:hAnsi="Times New Roman"/>
          <w:b w:val="0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>Hawkins J. A thousand brains: A new theory of intelligence. – Hachette UK, 2021.</w:t>
      </w:r>
    </w:p>
    <w:p w14:paraId="52000000">
      <w:pPr>
        <w:numPr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Проектирование биоподобной модели память-предсказание по Хоккинсу. – Потапов Д.П., Целебровский О.Б., Старолетов С.М., 2023</w:t>
      </w:r>
    </w:p>
    <w:sectPr>
      <w:pgSz w:h="16834" w:orient="portrait" w:w="11909"/>
      <w:pgMar w:bottom="907" w:footer="720" w:gutter="0" w:header="720" w:left="1134" w:right="1134" w:top="709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6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76" w:lineRule="auto"/>
      <w:ind/>
    </w:pPr>
    <w:rPr>
      <w:rFonts w:ascii="Arial" w:hAnsi="Arial"/>
    </w:rPr>
  </w:style>
  <w:style w:default="1" w:styleId="Style_2_ch" w:type="character">
    <w:name w:val="Normal"/>
    <w:link w:val="Style_2"/>
    <w:rPr>
      <w:rFonts w:ascii="Arial" w:hAnsi="Arial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FollowedHyperlink"/>
    <w:basedOn w:val="Style_6"/>
    <w:link w:val="Style_5_ch"/>
    <w:rPr>
      <w:color w:themeColor="followedHyperlink" w:val="954F72"/>
      <w:u w:val="single"/>
    </w:rPr>
  </w:style>
  <w:style w:styleId="Style_5_ch" w:type="character">
    <w:name w:val="FollowedHyperlink"/>
    <w:basedOn w:val="Style_6_ch"/>
    <w:link w:val="Style_5"/>
    <w:rPr>
      <w:color w:themeColor="followedHyperlink" w:val="954F72"/>
      <w:u w:val="single"/>
    </w:rPr>
  </w:style>
  <w:style w:styleId="Style_7" w:type="paragraph">
    <w:name w:val="Placeholder Text"/>
    <w:basedOn w:val="Style_6"/>
    <w:link w:val="Style_7_ch"/>
    <w:rPr>
      <w:color w:val="808080"/>
    </w:rPr>
  </w:style>
  <w:style w:styleId="Style_7_ch" w:type="character">
    <w:name w:val="Placeholder Text"/>
    <w:basedOn w:val="Style_6_ch"/>
    <w:link w:val="Style_7"/>
    <w:rPr>
      <w:color w:val="808080"/>
    </w:rPr>
  </w:style>
  <w:style w:styleId="Style_8" w:type="paragraph">
    <w:name w:val="toc 6"/>
    <w:next w:val="Style_2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2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Balloon Text"/>
    <w:basedOn w:val="Style_2"/>
    <w:link w:val="Style_10_ch"/>
    <w:pPr>
      <w:spacing w:line="240" w:lineRule="auto"/>
      <w:ind/>
    </w:pPr>
    <w:rPr>
      <w:rFonts w:ascii="Segoe UI" w:hAnsi="Segoe UI"/>
      <w:sz w:val="18"/>
    </w:rPr>
  </w:style>
  <w:style w:styleId="Style_10_ch" w:type="character">
    <w:name w:val="Balloon Text"/>
    <w:basedOn w:val="Style_2_ch"/>
    <w:link w:val="Style_10"/>
    <w:rPr>
      <w:rFonts w:ascii="Segoe UI" w:hAnsi="Segoe UI"/>
      <w:sz w:val="18"/>
    </w:rPr>
  </w:style>
  <w:style w:styleId="Style_11" w:type="paragraph">
    <w:name w:val="heading 3"/>
    <w:next w:val="Style_2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Потупчик"/>
    <w:basedOn w:val="Style_2"/>
    <w:link w:val="Style_12_ch"/>
    <w:pPr>
      <w:spacing w:after="200"/>
      <w:ind w:firstLine="851"/>
      <w:jc w:val="both"/>
    </w:pPr>
    <w:rPr>
      <w:sz w:val="28"/>
    </w:rPr>
  </w:style>
  <w:style w:styleId="Style_12_ch" w:type="character">
    <w:name w:val="Потупчик"/>
    <w:basedOn w:val="Style_2_ch"/>
    <w:link w:val="Style_12"/>
    <w:rPr>
      <w:sz w:val="28"/>
    </w:rPr>
  </w:style>
  <w:style w:styleId="Style_13" w:type="paragraph">
    <w:name w:val="toc 3"/>
    <w:next w:val="Style_2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Отчеты"/>
    <w:basedOn w:val="Style_2"/>
    <w:link w:val="Style_14_ch"/>
    <w:pPr>
      <w:spacing w:after="200"/>
      <w:ind w:firstLine="709"/>
      <w:jc w:val="both"/>
    </w:pPr>
    <w:rPr>
      <w:color w:val="202020"/>
      <w:sz w:val="28"/>
      <w:highlight w:val="white"/>
    </w:rPr>
  </w:style>
  <w:style w:styleId="Style_14_ch" w:type="character">
    <w:name w:val="Отчеты"/>
    <w:basedOn w:val="Style_2_ch"/>
    <w:link w:val="Style_14"/>
    <w:rPr>
      <w:color w:val="202020"/>
      <w:sz w:val="28"/>
      <w:highlight w:val="white"/>
    </w:rPr>
  </w:style>
  <w:style w:styleId="Style_15" w:type="paragraph">
    <w:name w:val="heading 5"/>
    <w:next w:val="Style_2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basedOn w:val="Style_2"/>
    <w:next w:val="Style_2"/>
    <w:link w:val="Style_16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6_ch" w:type="character">
    <w:name w:val="heading 1"/>
    <w:basedOn w:val="Style_2_ch"/>
    <w:link w:val="Style_16"/>
    <w:rPr>
      <w:sz w:val="40"/>
    </w:rPr>
  </w:style>
  <w:style w:styleId="Style_17" w:type="paragraph">
    <w:name w:val="Hyperlink"/>
    <w:basedOn w:val="Style_6"/>
    <w:link w:val="Style_17_ch"/>
    <w:rPr>
      <w:color w:themeColor="hyperlink" w:val="0563C1"/>
      <w:u w:val="single"/>
    </w:rPr>
  </w:style>
  <w:style w:styleId="Style_17_ch" w:type="character">
    <w:name w:val="Hyperlink"/>
    <w:basedOn w:val="Style_6_ch"/>
    <w:link w:val="Style_17"/>
    <w:rPr>
      <w:color w:themeColor="hyperlink" w:val="0563C1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2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2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2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24" w:type="paragraph">
    <w:name w:val="Subtitle"/>
    <w:next w:val="Style_2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oc 10"/>
    <w:next w:val="Style_2"/>
    <w:link w:val="Style_25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5_ch" w:type="character">
    <w:name w:val="toc 10"/>
    <w:link w:val="Style_25"/>
    <w:rPr>
      <w:rFonts w:ascii="XO Thames" w:hAnsi="XO Thames"/>
      <w:sz w:val="28"/>
    </w:rPr>
  </w:style>
  <w:style w:styleId="Style_26" w:type="paragraph">
    <w:name w:val="Title"/>
    <w:next w:val="Style_2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2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2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jpeg" Type="http://schemas.openxmlformats.org/officeDocument/2006/relationships/image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2024-05-25T07:58:20Z</dcterms:modified>
</cp:coreProperties>
</file>