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b/>
          <w:color w:val="A05A1A"/>
          <w:sz w:val="18"/>
        </w:rPr>
        <w:t>FINANCIAL INTELLIGENCE EVALUATION SUITE — ARCHITECTURE REFERENCE</w:t>
      </w:r>
    </w:p>
    <w:p>
      <w:pPr>
        <w:spacing w:before="200" w:after="280"/>
      </w:pPr>
      <w:r>
        <w:rPr>
          <w:b/>
          <w:color w:val="23201A"/>
          <w:sz w:val="60"/>
        </w:rPr>
        <w:t>How FIES is built, end to end</w:t>
      </w:r>
    </w:p>
    <w:p>
      <w:pPr>
        <w:spacing w:after="320" w:before="0"/>
      </w:pPr>
      <w:r>
        <w:rPr>
          <w:b w:val="0"/>
          <w:i w:val="0"/>
          <w:color w:val="5B564C"/>
          <w:sz w:val="23"/>
        </w:rPr>
        <w:t>A LangGraph-orchestrated RAG + text-to-SQL agent over AMFI/mfapi.in mutual fund data — from raw AMFI feeds to a routed, guarded, cited answer. This reference traces every stage: ingestion, entity resolution, query routing, retrieval, ranking, and the evaluation harness that scores all of it.</w:t>
      </w:r>
    </w:p>
    <w:p>
      <w:r>
        <w:rPr>
          <w:rFonts w:ascii="Consolas" w:hAnsi="Consolas"/>
          <w:b w:val="0"/>
          <w:color w:val="8A8370"/>
          <w:sz w:val="17"/>
        </w:rPr>
        <w:t>financial-data-ingestion-pipeline · src/financial_pipeline/ · compiled 2026-07-13</w:t>
      </w:r>
    </w:p>
    <w:p>
      <w:r>
        <w:br w:type="page"/>
      </w:r>
    </w:p>
    <w:p>
      <w:pPr>
        <w:pStyle w:val="Heading1"/>
        <w:spacing w:before="520" w:after="200"/>
        <w:pBdr>
          <w:bottom w:val="single" w:sz="6" w:space="4" w:color="DDD6C5"/>
        </w:pBdr>
      </w:pPr>
      <w:r>
        <w:rPr>
          <w:rFonts w:ascii="Calibri" w:hAnsi="Calibri"/>
          <w:b/>
          <w:color w:val="A05A1A"/>
          <w:sz w:val="34"/>
        </w:rPr>
        <w:t xml:space="preserve">00  </w:t>
      </w:r>
      <w:r>
        <w:rPr>
          <w:rFonts w:ascii="Calibri" w:hAnsi="Calibri"/>
          <w:b/>
          <w:color w:val="23201A"/>
          <w:sz w:val="34"/>
        </w:rPr>
        <w:t>The system in one pass</w:t>
      </w:r>
    </w:p>
    <w:p>
      <w:pPr>
        <w:spacing w:after="160" w:before="0"/>
      </w:pPr>
      <w:r>
        <w:rPr>
          <w:b w:val="0"/>
          <w:i w:val="0"/>
          <w:color w:val="23201A"/>
          <w:sz w:val="21"/>
        </w:rPr>
        <w:t>Three independent ingestion sources feed a shared Postgres/S3 storage layer and a five-stage entity-resolution pipeline that builds a canonical entity graph. A single LangGraph state machine receives every user query, classifies intent, and routes it down one of four branches — RAG retrieval, text-to-SQL, year-range analytical aggregation, or causal reasoning — before every branch converges on a shared guardrail and citation layer.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Sources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§02 Entity resolution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§03 LangGraph router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§04 RAG / SQL / analytical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§04 Guardrails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Cited answer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AMFI · mfapi.in · SEBI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canonical entity graph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intent → branch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retrieve → rank → generate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pre + post checks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§06 scores it, §07 traces it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color w:val="23201A"/>
          <w:sz w:val="21"/>
        </w:rPr>
        <w:t xml:space="preserve">Section 05 — the semantic ontology in </w:t>
      </w:r>
      <w:r>
        <w:rPr>
          <w:rFonts w:ascii="Consolas" w:hAnsi="Consolas"/>
          <w:b w:val="0"/>
          <w:color w:val="6B4116"/>
          <w:sz w:val="19"/>
        </w:rPr>
        <w:t>domain/*.yaml</w:t>
      </w:r>
      <w:r>
        <w:rPr>
          <w:color w:val="23201A"/>
          <w:sz w:val="21"/>
        </w:rPr>
        <w:t xml:space="preserve"> — underlies both the entity resolution stage and the intent classifier, so it's documented as its own layer rather than folded into either.</w:t>
      </w:r>
    </w:p>
    <w:p>
      <w:pPr>
        <w:pStyle w:val="Heading1"/>
        <w:spacing w:before="520" w:after="200"/>
        <w:pBdr>
          <w:bottom w:val="single" w:sz="6" w:space="4" w:color="DDD6C5"/>
        </w:pBdr>
      </w:pPr>
      <w:r>
        <w:rPr>
          <w:rFonts w:ascii="Calibri" w:hAnsi="Calibri"/>
          <w:b/>
          <w:color w:val="A05A1A"/>
          <w:sz w:val="34"/>
        </w:rPr>
        <w:t xml:space="preserve">01  </w:t>
      </w:r>
      <w:r>
        <w:rPr>
          <w:rFonts w:ascii="Calibri" w:hAnsi="Calibri"/>
          <w:b/>
          <w:color w:val="23201A"/>
          <w:sz w:val="34"/>
        </w:rPr>
        <w:t>Repository structure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A05A1A"/>
          <w:sz w:val="26"/>
        </w:rPr>
        <w:t>Package layout</w:t>
      </w:r>
    </w:p>
    <w:p>
      <w:pPr>
        <w:spacing w:after="160" w:before="0"/>
      </w:pPr>
      <w:r>
        <w:rPr>
          <w:color w:val="23201A"/>
          <w:sz w:val="21"/>
        </w:rPr>
        <w:t xml:space="preserve">Everything importable lives under </w:t>
      </w:r>
      <w:r>
        <w:rPr>
          <w:rFonts w:ascii="Consolas" w:hAnsi="Consolas"/>
          <w:b w:val="0"/>
          <w:color w:val="6B4116"/>
          <w:sz w:val="19"/>
        </w:rPr>
        <w:t>src/financial_pipeline/</w:t>
      </w:r>
      <w:r>
        <w:rPr>
          <w:color w:val="23201A"/>
          <w:sz w:val="21"/>
        </w:rPr>
        <w:t xml:space="preserve">. Four repo-root directories sit alongside it: </w:t>
      </w:r>
      <w:r>
        <w:rPr>
          <w:rFonts w:ascii="Consolas" w:hAnsi="Consolas"/>
          <w:b w:val="0"/>
          <w:color w:val="6B4116"/>
          <w:sz w:val="19"/>
        </w:rPr>
        <w:t>eval/</w:t>
      </w:r>
      <w:r>
        <w:rPr>
          <w:color w:val="23201A"/>
          <w:sz w:val="21"/>
        </w:rPr>
        <w:t xml:space="preserve"> (the current evaluation corpus and runners), </w:t>
      </w:r>
      <w:r>
        <w:rPr>
          <w:rFonts w:ascii="Consolas" w:hAnsi="Consolas"/>
          <w:b w:val="0"/>
          <w:color w:val="6B4116"/>
          <w:sz w:val="19"/>
        </w:rPr>
        <w:t>infra/</w:t>
      </w:r>
      <w:r>
        <w:rPr>
          <w:color w:val="23201A"/>
          <w:sz w:val="21"/>
        </w:rPr>
        <w:t xml:space="preserve"> (CloudFormation + Lambda), </w:t>
      </w:r>
      <w:r>
        <w:rPr>
          <w:rFonts w:ascii="Consolas" w:hAnsi="Consolas"/>
          <w:b w:val="0"/>
          <w:color w:val="6B4116"/>
          <w:sz w:val="19"/>
        </w:rPr>
        <w:t>scripts/</w:t>
      </w:r>
      <w:r>
        <w:rPr>
          <w:color w:val="23201A"/>
          <w:sz w:val="21"/>
        </w:rPr>
        <w:t xml:space="preserve"> (operational CLIs and worker processes), and </w:t>
      </w:r>
      <w:r>
        <w:rPr>
          <w:rFonts w:ascii="Consolas" w:hAnsi="Consolas"/>
          <w:b w:val="0"/>
          <w:color w:val="6B4116"/>
          <w:sz w:val="19"/>
        </w:rPr>
        <w:t>domain/</w:t>
      </w:r>
      <w:r>
        <w:rPr>
          <w:color w:val="23201A"/>
          <w:sz w:val="21"/>
        </w:rPr>
        <w:t xml:space="preserve"> (the YAML ontology — read directly by the package at runtime, not copied into it).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Directory</w:t>
            </w:r>
          </w:p>
        </w:tc>
        <w:tc>
          <w:tcPr>
            <w:tcW w:type="dxa" w:w="468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Responsibility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api/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FastAPI service (main.py, schemas.py) exposing the query endpoints.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graph/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LangGraph orchestration — topology, state, nodes, edges. See §03.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retrieval/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Hybrid dense + lexical retrieval, query understanding, ontology-aware expansion. See §04.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augmentation/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Reranking, citations, guardrails, prompts, generation. See §04.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text_to_sql/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Vanna-based NL→SQL agent and table schema definitions. See §04.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semantic/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Runtime accessor over the domain/semantic/*.yaml ontology. See §05.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services/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Entity resolution and reconciliation — normalization, matching, entity/identifier/relationship writers. See §02, §05.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reasoning/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Causal 'why did X change' reasoning engine, driven by domain/semantic/reasoning_rules.yaml.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mf_ingestion/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mfapi.in scheme/NAV sync pipeline. See §02.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mf_performance/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Return / CAGR / volatility computation from NAV history. See §02.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sebi_ingestion/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Scheme Information Document scraping per AMC. See §02.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processing/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Document extraction (PyMuPDF/Docling), chunking, chunk-level guardrails for the RAG corpus.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ingestion/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Shared low-level primitives (http.py, page_scraper.py) used by AMFI and SEBI scraping.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storage/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database.py, s3.py, document_repo.py, LangGraph Postgres checkpointer, query logging.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evaluation/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An earlier, separate 7-dimension eval harness — largely superseded by repo-root eval/. See §06.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config.py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Pydantic Settings — Postgres URL, S3 bucket, LLM provider, feature flags, all env-driven.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Repo-root directories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Directory</w:t>
            </w:r>
          </w:p>
        </w:tc>
        <w:tc>
          <w:tcPr>
            <w:tcW w:type="dxa" w:w="468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eval/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FIES evaluation suite — corpus, per-phase runners, metrics, results archive. See §06.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infra/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cloudformation/*.yaml (EventBridge Scheduler + ECS Fargate), lambda/amfi_connector/, sql/schema.sql, deploy scripts.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scripts/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Fetchers, per-stage processing workers, backfill/repair scripts, train_vanna.py.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domain/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The YAML ontology: entity_model/, resolution/, semantic/. Read at runtime. See §05.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fies/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Query-template generator and its own ontology/ capability/template YAML — feeds the auto-generated slice of the eval corpus.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520" w:after="200"/>
        <w:pBdr>
          <w:bottom w:val="single" w:sz="6" w:space="4" w:color="DDD6C5"/>
        </w:pBdr>
      </w:pPr>
      <w:r>
        <w:rPr>
          <w:rFonts w:ascii="Calibri" w:hAnsi="Calibri"/>
          <w:b/>
          <w:color w:val="A05A1A"/>
          <w:sz w:val="34"/>
        </w:rPr>
        <w:t xml:space="preserve">02  </w:t>
      </w:r>
      <w:r>
        <w:rPr>
          <w:rFonts w:ascii="Calibri" w:hAnsi="Calibri"/>
          <w:b/>
          <w:color w:val="23201A"/>
          <w:sz w:val="34"/>
        </w:rPr>
        <w:t>Data ingestion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A05A1A"/>
          <w:sz w:val="26"/>
        </w:rPr>
        <w:t>From raw feeds to the entity graph</w:t>
      </w:r>
    </w:p>
    <w:p>
      <w:pPr>
        <w:spacing w:after="160" w:before="0"/>
      </w:pPr>
      <w:r>
        <w:rPr>
          <w:b w:val="0"/>
          <w:i w:val="0"/>
          <w:color w:val="23201A"/>
          <w:sz w:val="21"/>
        </w:rPr>
        <w:t>Three source systems land data independently; a fourth stage — entity resolution — reconciles all of them into one canonical graph, and is triggered incrementally as each source writes.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AMFI NAV fetch (bulk file)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scripts/fetch_amfi_nav.py</w:t>
      </w:r>
      <w:r>
        <w:rPr>
          <w:color w:val="23201A"/>
          <w:sz w:val="21"/>
        </w:rPr>
        <w:t xml:space="preserve"> pulls AMFI's daily </w:t>
      </w:r>
      <w:r>
        <w:rPr>
          <w:rFonts w:ascii="Consolas" w:hAnsi="Consolas"/>
          <w:b w:val="0"/>
          <w:color w:val="6B4116"/>
          <w:sz w:val="19"/>
        </w:rPr>
        <w:t>NAVAll.txt</w:t>
      </w:r>
      <w:r>
        <w:rPr>
          <w:color w:val="23201A"/>
          <w:sz w:val="21"/>
        </w:rPr>
        <w:t xml:space="preserve"> bulk file over HTTP (httpx, retried per settings.max_retries). Raw bytes land in S3 bronze at </w:t>
      </w:r>
      <w:r>
        <w:rPr>
          <w:rFonts w:ascii="Consolas" w:hAnsi="Consolas"/>
          <w:b w:val="0"/>
          <w:color w:val="6B4116"/>
          <w:sz w:val="19"/>
        </w:rPr>
        <w:t>bronze/amfi/nav/{date}/NAVAll.txt</w:t>
      </w:r>
      <w:r>
        <w:rPr>
          <w:color w:val="23201A"/>
          <w:sz w:val="21"/>
        </w:rPr>
        <w:t xml:space="preserve">. The same bytes are parsed by </w:t>
      </w:r>
      <w:r>
        <w:rPr>
          <w:rFonts w:ascii="Consolas" w:hAnsi="Consolas"/>
          <w:b w:val="0"/>
          <w:color w:val="6B4116"/>
          <w:sz w:val="19"/>
        </w:rPr>
        <w:t>mf_ingestion/amfi_nav_parser.py</w:t>
      </w:r>
      <w:r>
        <w:rPr>
          <w:color w:val="23201A"/>
          <w:sz w:val="21"/>
        </w:rPr>
        <w:t xml:space="preserve">'s </w:t>
      </w:r>
      <w:r>
        <w:rPr>
          <w:rFonts w:ascii="Consolas" w:hAnsi="Consolas"/>
          <w:b w:val="0"/>
          <w:color w:val="6B4116"/>
          <w:sz w:val="19"/>
        </w:rPr>
        <w:t>parse_nav_text()</w:t>
      </w:r>
      <w:r>
        <w:rPr>
          <w:color w:val="23201A"/>
          <w:sz w:val="21"/>
        </w:rPr>
        <w:t xml:space="preserve"> — a regex (_CATEGORY_HEADER_RE) tracks the current AMFI category section header while skipping AMC sub-header lines — into a DataFrame, then uploaded as CSV to </w:t>
      </w:r>
      <w:r>
        <w:rPr>
          <w:rFonts w:ascii="Consolas" w:hAnsi="Consolas"/>
          <w:b w:val="0"/>
          <w:color w:val="6B4116"/>
          <w:sz w:val="19"/>
        </w:rPr>
        <w:t>silver/amfi/nav_csv/{date}/NAVAll.csv</w:t>
      </w:r>
      <w:r>
        <w:rPr>
          <w:color w:val="23201A"/>
          <w:sz w:val="21"/>
        </w:rPr>
        <w:t xml:space="preserve">. This snapshot is the one authoritative source of AMFI's own category labels, later read back by </w:t>
      </w:r>
      <w:r>
        <w:rPr>
          <w:rFonts w:ascii="Consolas" w:hAnsi="Consolas"/>
          <w:b w:val="0"/>
          <w:color w:val="6B4116"/>
          <w:sz w:val="19"/>
        </w:rPr>
        <w:t>services/amfi_category_source.load_amfi_category_map()</w:t>
      </w:r>
      <w:r>
        <w:rPr>
          <w:color w:val="23201A"/>
          <w:sz w:val="21"/>
        </w:rP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MFAPI live sync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mf_ingestion/sync.py</w:t>
      </w:r>
      <w:r>
        <w:rPr>
          <w:color w:val="23201A"/>
          <w:sz w:val="21"/>
        </w:rPr>
        <w:t xml:space="preserve">'s </w:t>
      </w:r>
      <w:r>
        <w:rPr>
          <w:rFonts w:ascii="Consolas" w:hAnsi="Consolas"/>
          <w:b w:val="0"/>
          <w:color w:val="6B4116"/>
          <w:sz w:val="19"/>
        </w:rPr>
        <w:t>run_sync()</w:t>
      </w:r>
      <w:r>
        <w:rPr>
          <w:color w:val="23201A"/>
          <w:sz w:val="21"/>
        </w:rPr>
        <w:t xml:space="preserve"> resolves the latest mf_scheme_master.json snapshot from S3, validates records, then fans work out across a thread pool. Per scheme: fetch NAV history from mfapi.in (MFApiClient, retried via tenacity), upsert </w:t>
      </w:r>
      <w:r>
        <w:rPr>
          <w:rFonts w:ascii="Consolas" w:hAnsi="Consolas"/>
          <w:b w:val="0"/>
          <w:color w:val="6B4116"/>
          <w:sz w:val="19"/>
        </w:rPr>
        <w:t>mf_scheme_master</w:t>
      </w:r>
      <w:r>
        <w:rPr>
          <w:color w:val="23201A"/>
          <w:sz w:val="21"/>
        </w:rPr>
        <w:t xml:space="preserve"> / </w:t>
      </w:r>
      <w:r>
        <w:rPr>
          <w:rFonts w:ascii="Consolas" w:hAnsi="Consolas"/>
          <w:b w:val="0"/>
          <w:color w:val="6B4116"/>
          <w:sz w:val="19"/>
        </w:rPr>
        <w:t>mf_nav_history</w:t>
      </w:r>
      <w:r>
        <w:rPr>
          <w:color w:val="23201A"/>
          <w:sz w:val="21"/>
        </w:rPr>
        <w:t xml:space="preserve"> / </w:t>
      </w:r>
      <w:r>
        <w:rPr>
          <w:rFonts w:ascii="Consolas" w:hAnsi="Consolas"/>
          <w:b w:val="0"/>
          <w:color w:val="6B4116"/>
          <w:sz w:val="19"/>
        </w:rPr>
        <w:t>mf_scheme_sync_status</w:t>
      </w:r>
      <w:r>
        <w:rPr>
          <w:color w:val="23201A"/>
          <w:sz w:val="21"/>
        </w:rPr>
        <w:t xml:space="preserve">, then call </w:t>
      </w:r>
      <w:r>
        <w:rPr>
          <w:rFonts w:ascii="Consolas" w:hAnsi="Consolas"/>
          <w:b w:val="0"/>
          <w:color w:val="6B4116"/>
          <w:sz w:val="19"/>
        </w:rPr>
        <w:t>ingest_scheme_plan()</w:t>
      </w:r>
      <w:r>
        <w:rPr>
          <w:color w:val="23201A"/>
          <w:sz w:val="21"/>
        </w:rPr>
        <w:t xml:space="preserve"> to push the row through entity resolution. Schemes absent from the latest snapshot are marked is_active=FALSE rather than deleted.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SEBI SID scraping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sebi_ingestion/sync.py</w:t>
      </w:r>
      <w:r>
        <w:rPr>
          <w:color w:val="23201A"/>
          <w:sz w:val="21"/>
        </w:rPr>
        <w:t xml:space="preserve">'s </w:t>
      </w:r>
      <w:r>
        <w:rPr>
          <w:rFonts w:ascii="Consolas" w:hAnsi="Consolas"/>
          <w:b w:val="0"/>
          <w:color w:val="6B4116"/>
          <w:sz w:val="19"/>
        </w:rPr>
        <w:t>sync_sid_documents()</w:t>
      </w:r>
      <w:r>
        <w:rPr>
          <w:color w:val="23201A"/>
          <w:sz w:val="21"/>
        </w:rPr>
        <w:t xml:space="preserve"> iterates a per-AMC source list, scrapes each AMC's site for Scheme Information Document PDFs (ingestion/page_scraper.PageScraper), and uploads new ones to </w:t>
      </w:r>
      <w:r>
        <w:rPr>
          <w:rFonts w:ascii="Consolas" w:hAnsi="Consolas"/>
          <w:b w:val="0"/>
          <w:color w:val="6B4116"/>
          <w:sz w:val="19"/>
        </w:rPr>
        <w:t>bronze/sebi/sid/{amc_entity_id}/</w:t>
      </w:r>
      <w:r>
        <w:rPr>
          <w:color w:val="23201A"/>
          <w:sz w:val="21"/>
        </w:rPr>
        <w:t>.</w:t>
      </w:r>
    </w:p>
    <w:p>
      <w:pPr>
        <w:spacing w:before="160" w:after="200"/>
        <w:ind w:left="216"/>
        <w:pBdr>
          <w:left w:val="single" w:sz="18" w:space="8" w:color="A8631F"/>
        </w:pBdr>
        <w:shd w:val="clear" w:color="auto" w:fill="F2E6CD"/>
      </w:pPr>
      <w:r>
        <w:rPr>
          <w:b/>
          <w:color w:val="6B4116"/>
          <w:sz w:val="16"/>
        </w:rPr>
        <w:t>GAP</w:t>
        <w:br/>
      </w:r>
      <w:r>
        <w:rPr>
          <w:color w:val="23201A"/>
          <w:sz w:val="20"/>
        </w:rPr>
        <w:t>Idempotency is by S3 key existence only — no dedicated Postgres tracking table yet.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Fund performance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mf_performance/run.py</w:t>
      </w:r>
      <w:r>
        <w:rPr>
          <w:color w:val="23201A"/>
          <w:sz w:val="21"/>
        </w:rPr>
        <w:t xml:space="preserve">'s </w:t>
      </w:r>
      <w:r>
        <w:rPr>
          <w:rFonts w:ascii="Consolas" w:hAnsi="Consolas"/>
          <w:b w:val="0"/>
          <w:color w:val="6B4116"/>
          <w:sz w:val="19"/>
        </w:rPr>
        <w:t>calculate_all_performance()</w:t>
      </w:r>
      <w:r>
        <w:rPr>
          <w:color w:val="23201A"/>
          <w:sz w:val="21"/>
        </w:rPr>
        <w:t xml:space="preserve"> reads every scheme's full NAV history and computes 1d/1w/1m/3m/6m/1y returns plus 3y/5y/10y CAGR, all-time return, rolling volatility/stddev, and 52-week high/low into </w:t>
      </w:r>
      <w:r>
        <w:rPr>
          <w:rFonts w:ascii="Consolas" w:hAnsi="Consolas"/>
          <w:b w:val="0"/>
          <w:color w:val="6B4116"/>
          <w:sz w:val="19"/>
        </w:rPr>
        <w:t>mf_scheme_performance</w:t>
      </w:r>
      <w:r>
        <w:rPr>
          <w:color w:val="23201A"/>
          <w:sz w:val="21"/>
        </w:rPr>
        <w:t>. Runs immediately after the MFAPI sync, in the same ECS task.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Entity resolution — the five-stage pipeline</w:t>
      </w:r>
    </w:p>
    <w:p>
      <w:pPr>
        <w:spacing w:after="160" w:before="0"/>
      </w:pPr>
      <w:r>
        <w:rPr>
          <w:color w:val="23201A"/>
          <w:sz w:val="21"/>
        </w:rPr>
        <w:t xml:space="preserve">Every ingestion path that produces a scheme, AMC, or category funnels through the same idempotent pipeline in </w:t>
      </w:r>
      <w:r>
        <w:rPr>
          <w:rFonts w:ascii="Consolas" w:hAnsi="Consolas"/>
          <w:b w:val="0"/>
          <w:color w:val="6B4116"/>
          <w:sz w:val="19"/>
        </w:rPr>
        <w:t>services/entity_ingestion.py</w:t>
      </w:r>
      <w:r>
        <w:rPr>
          <w:color w:val="23201A"/>
          <w:sz w:val="21"/>
        </w:rPr>
        <w:t xml:space="preserve">, writing to three Postgres tables: </w:t>
      </w:r>
      <w:r>
        <w:rPr>
          <w:rFonts w:ascii="Consolas" w:hAnsi="Consolas"/>
          <w:b w:val="0"/>
          <w:color w:val="6B4116"/>
          <w:sz w:val="19"/>
        </w:rPr>
        <w:t>financial_entity_master</w:t>
      </w:r>
      <w:r>
        <w:rPr>
          <w:color w:val="23201A"/>
          <w:sz w:val="21"/>
        </w:rPr>
        <w:t xml:space="preserve">, </w:t>
      </w:r>
      <w:r>
        <w:rPr>
          <w:rFonts w:ascii="Consolas" w:hAnsi="Consolas"/>
          <w:b w:val="0"/>
          <w:color w:val="6B4116"/>
          <w:sz w:val="19"/>
        </w:rPr>
        <w:t>financial_entity_identifier</w:t>
      </w:r>
      <w:r>
        <w:rPr>
          <w:color w:val="23201A"/>
          <w:sz w:val="21"/>
        </w:rPr>
        <w:t xml:space="preserve">, </w:t>
      </w:r>
      <w:r>
        <w:rPr>
          <w:rFonts w:ascii="Consolas" w:hAnsi="Consolas"/>
          <w:b w:val="0"/>
          <w:color w:val="6B4116"/>
          <w:sz w:val="19"/>
        </w:rPr>
        <w:t>financial_entity_relationship</w:t>
      </w:r>
      <w:r>
        <w:rPr>
          <w:color w:val="23201A"/>
          <w:sz w:val="21"/>
        </w:rPr>
        <w:t>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1. Normalize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2. Lookup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3. Create if needed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4. Identifier mapping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5. Relationships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normalize_name()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lookup_entity()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get_or_create_entity()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add_identifier()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add_relationship()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ingest_scheme_plan()</w:t>
      </w:r>
      <w:r>
        <w:rPr>
          <w:color w:val="23201A"/>
          <w:sz w:val="21"/>
        </w:rPr>
        <w:t xml:space="preserve"> is the orchestrator: it creates a scheme entity (keyed on normalized base fund name, shared across plan/option variants) and a scheme_plan entity (keyed on the full scheme name), attaches the mfapi scheme_code as an identifier, then writes three relationship types — </w:t>
      </w:r>
      <w:r>
        <w:rPr>
          <w:rFonts w:ascii="Consolas" w:hAnsi="Consolas"/>
          <w:b w:val="0"/>
          <w:color w:val="6B4116"/>
          <w:sz w:val="19"/>
        </w:rPr>
        <w:t>has_plan</w:t>
      </w:r>
      <w:r>
        <w:rPr>
          <w:color w:val="23201A"/>
          <w:sz w:val="21"/>
        </w:rPr>
        <w:t xml:space="preserve"> (scheme → scheme_plan, always), </w:t>
      </w:r>
      <w:r>
        <w:rPr>
          <w:rFonts w:ascii="Consolas" w:hAnsi="Consolas"/>
          <w:b w:val="0"/>
          <w:color w:val="6B4116"/>
          <w:sz w:val="19"/>
        </w:rPr>
        <w:t>manages</w:t>
      </w:r>
      <w:r>
        <w:rPr>
          <w:color w:val="23201A"/>
          <w:sz w:val="21"/>
        </w:rPr>
        <w:t xml:space="preserve"> (AMC organization → scheme, single-valued per scheme), and </w:t>
      </w:r>
      <w:r>
        <w:rPr>
          <w:rFonts w:ascii="Consolas" w:hAnsi="Consolas"/>
          <w:b w:val="0"/>
          <w:color w:val="6B4116"/>
          <w:sz w:val="19"/>
        </w:rPr>
        <w:t>belongs_to</w:t>
      </w:r>
      <w:r>
        <w:rPr>
          <w:color w:val="23201A"/>
          <w:sz w:val="21"/>
        </w:rPr>
        <w:t xml:space="preserve"> (scheme → category, single-valued per scheme). Concurrent writers for sibling plans of the same scheme are serialized with a pg_advisory_xact_lock keyed on the scheme entity, closing a duplicate-edge race condition. Category resolution (§05) prioritizes AMFI's own NAVAll.txt category over mfapi's less reliable category field, with a scheme-name pattern match as a last-resort fallback.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RAG document ingestion</w:t>
      </w:r>
    </w:p>
    <w:p>
      <w:pPr>
        <w:spacing w:after="160" w:before="0"/>
      </w:pPr>
      <w:r>
        <w:rPr>
          <w:color w:val="23201A"/>
          <w:sz w:val="21"/>
        </w:rPr>
        <w:t xml:space="preserve">A separate pipeline from the structured MF tables above. </w:t>
      </w:r>
      <w:r>
        <w:rPr>
          <w:rFonts w:ascii="Consolas" w:hAnsi="Consolas"/>
          <w:b w:val="0"/>
          <w:color w:val="6B4116"/>
          <w:sz w:val="19"/>
        </w:rPr>
        <w:t>scripts/fetch_amfi_research_files.py</w:t>
      </w:r>
      <w:r>
        <w:rPr>
          <w:color w:val="23201A"/>
          <w:sz w:val="21"/>
        </w:rPr>
        <w:t xml:space="preserve"> scrapes AMFI's research/data pages, lands raw files in S3 bronze, and registers each in </w:t>
      </w:r>
      <w:r>
        <w:rPr>
          <w:rFonts w:ascii="Consolas" w:hAnsi="Consolas"/>
          <w:b w:val="0"/>
          <w:color w:val="6B4116"/>
          <w:sz w:val="19"/>
        </w:rPr>
        <w:t>document_metadata</w:t>
      </w:r>
      <w:r>
        <w:rPr>
          <w:color w:val="23201A"/>
          <w:sz w:val="21"/>
        </w:rPr>
        <w:t xml:space="preserve"> (claim-based processing state). A chain of claim-based workers then processes the backlog: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Extract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Chunk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Embed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Store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process_text/table/ocr_worker.py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processing/chunker.py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all-MiniLM-L6-v2, 384-dim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document_chunks (pgvector)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color w:val="23201A"/>
          <w:sz w:val="21"/>
        </w:rPr>
        <w:t xml:space="preserve">Extraction uses Docling/PyMuPDF (processing/extractor.py) for text, table, and OCR content. </w:t>
      </w:r>
      <w:r>
        <w:rPr>
          <w:rFonts w:ascii="Consolas" w:hAnsi="Consolas"/>
          <w:b w:val="0"/>
          <w:color w:val="6B4116"/>
          <w:sz w:val="19"/>
        </w:rPr>
        <w:t>scripts/run_parallel_orchestrator.py</w:t>
      </w:r>
      <w:r>
        <w:rPr>
          <w:color w:val="23201A"/>
          <w:sz w:val="21"/>
        </w:rPr>
        <w:t xml:space="preserve"> drives every stage as looped ECS Fargate tasks across the backlog; each stage logs to document_processing_log.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Scheduled infrastructure</w:t>
      </w:r>
    </w:p>
    <w:p>
      <w:pPr>
        <w:spacing w:after="160" w:before="0"/>
      </w:pPr>
      <w:r>
        <w:rPr>
          <w:b w:val="0"/>
          <w:i w:val="0"/>
          <w:color w:val="23201A"/>
          <w:sz w:val="21"/>
        </w:rPr>
        <w:t>All scheduled jobs follow the same pattern — EventBridge Scheduler → ECS Fargate on the shared weather-agent-cluster: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Template</w:t>
            </w:r>
          </w:p>
        </w:tc>
        <w:tc>
          <w:tcPr>
            <w:tcW w:type="dxa" w:w="312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Schedule</w:t>
            </w:r>
          </w:p>
        </w:tc>
        <w:tc>
          <w:tcPr>
            <w:tcW w:type="dxa" w:w="312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Runs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amfi-nav-fetch.yaml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cron(30 3 * * ? *) — 09:00 IST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fetch_amfi_nav.py</w:t>
            </w:r>
            <w:r>
              <w:rPr>
                <w:sz w:val="19"/>
              </w:rPr>
              <w:t xml:space="preserve"> → bronze/silver NAV snapshot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mf-nav-sync.yaml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cron(0 4 * * ? *) — 09:30 IST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run_sync()</w:t>
            </w:r>
            <w:r>
              <w:rPr>
                <w:sz w:val="19"/>
              </w:rPr>
              <w:t xml:space="preserve"> then </w:t>
            </w:r>
            <w:r>
              <w:rPr>
                <w:rFonts w:ascii="Consolas" w:hAnsi="Consolas"/>
                <w:b w:val="0"/>
                <w:sz w:val="18"/>
              </w:rPr>
              <w:t>calculate_all_performance()</w:t>
            </w:r>
            <w:r>
              <w:rPr>
                <w:sz w:val="19"/>
              </w:rPr>
              <w:t>, sequentially in one container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amfi-pipeline.yaml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cron(30 3 * * ? *)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Lambda-based alternate path to the same NAVAll.txt bronze landing — overlaps functionally with the ECS version above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 w:val="0"/>
          <w:color w:val="23201A"/>
          <w:sz w:val="21"/>
        </w:rPr>
        <w:t>The 30-minute offset between the NAV fetch and the MFAPI sync is deliberate: entity resolution needs same-day AMFI category data available before it runs.</w:t>
      </w:r>
    </w:p>
    <w:p>
      <w:r>
        <w:br w:type="page"/>
      </w:r>
    </w:p>
    <w:p>
      <w:pPr>
        <w:pStyle w:val="Heading1"/>
        <w:spacing w:before="520" w:after="200"/>
        <w:pBdr>
          <w:bottom w:val="single" w:sz="6" w:space="4" w:color="DDD6C5"/>
        </w:pBdr>
      </w:pPr>
      <w:r>
        <w:rPr>
          <w:rFonts w:ascii="Calibri" w:hAnsi="Calibri"/>
          <w:b/>
          <w:color w:val="A05A1A"/>
          <w:sz w:val="34"/>
        </w:rPr>
        <w:t xml:space="preserve">03  </w:t>
      </w:r>
      <w:r>
        <w:rPr>
          <w:rFonts w:ascii="Calibri" w:hAnsi="Calibri"/>
          <w:b/>
          <w:color w:val="23201A"/>
          <w:sz w:val="34"/>
        </w:rPr>
        <w:t>Query routing (LangGraph)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A05A1A"/>
          <w:sz w:val="26"/>
        </w:rPr>
        <w:t>The LangGraph state machine</w:t>
      </w:r>
    </w:p>
    <w:p>
      <w:pPr>
        <w:spacing w:after="160" w:before="0"/>
      </w:pPr>
      <w:r>
        <w:rPr>
          <w:color w:val="23201A"/>
          <w:sz w:val="21"/>
        </w:rPr>
        <w:t xml:space="preserve">Built in </w:t>
      </w:r>
      <w:r>
        <w:rPr>
          <w:rFonts w:ascii="Consolas" w:hAnsi="Consolas"/>
          <w:b w:val="0"/>
          <w:color w:val="6B4116"/>
          <w:sz w:val="19"/>
        </w:rPr>
        <w:t>graph/graph.py</w:t>
      </w:r>
      <w:r>
        <w:rPr>
          <w:color w:val="23201A"/>
          <w:sz w:val="21"/>
        </w:rPr>
        <w:t xml:space="preserve">'s </w:t>
      </w:r>
      <w:r>
        <w:rPr>
          <w:rFonts w:ascii="Consolas" w:hAnsi="Consolas"/>
          <w:b w:val="0"/>
          <w:color w:val="6B4116"/>
          <w:sz w:val="19"/>
        </w:rPr>
        <w:t>build_graph()</w:t>
      </w:r>
      <w:r>
        <w:rPr>
          <w:color w:val="23201A"/>
          <w:sz w:val="21"/>
        </w:rPr>
        <w:t>. Every query enters at analyze_query and is routed to exactly one of four branches before converging on a shared guardrail pipeline.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Graph topology</w:t>
      </w:r>
    </w:p>
    <w:p>
      <w:pPr>
        <w:spacing w:after="160" w:before="0"/>
      </w:pPr>
      <w:r>
        <w:rPr>
          <w:color w:val="23201A"/>
          <w:sz w:val="21"/>
        </w:rPr>
        <w:t>RAG core</w:t>
      </w:r>
      <w:r>
        <w:rPr>
          <w:color w:val="23201A"/>
          <w:sz w:val="21"/>
        </w:rPr>
        <w:t xml:space="preserve"> (graph/nodes.py, class NodeFactory): </w:t>
      </w:r>
      <w:r>
        <w:rPr>
          <w:rFonts w:ascii="Consolas" w:hAnsi="Consolas"/>
          <w:b w:val="0"/>
          <w:color w:val="6B4116"/>
          <w:sz w:val="19"/>
        </w:rPr>
        <w:t>analyze_query → route → {retrieve_dense, retrieve_sparse, retrieve_table, retrieve_metadata} → rrf_fusion → rerank → context_optimizer → grade_context → augment → pre_guardrail → generate → post_guardrail → format_response</w:t>
      </w:r>
      <w:r>
        <w:rPr>
          <w:color w:val="23201A"/>
          <w:sz w:val="21"/>
        </w:rPr>
        <w:t>.</w:t>
      </w:r>
    </w:p>
    <w:p>
      <w:pPr>
        <w:pStyle w:val="ListBullet"/>
        <w:spacing w:after="100"/>
      </w:pPr>
      <w:r>
        <w:rPr>
          <w:rFonts w:ascii="Consolas" w:hAnsi="Consolas"/>
          <w:b w:val="0"/>
          <w:color w:val="6B4116"/>
          <w:sz w:val="19"/>
        </w:rPr>
        <w:t>Lookup shortcut</w:t>
      </w:r>
      <w:r>
        <w:rPr>
          <w:color w:val="23201A"/>
          <w:sz w:val="20"/>
        </w:rPr>
        <w:t xml:space="preserve"> — an intent classified as lookup first tries retrieve_metadata_first; if it resolves specific document IDs, retrieval is scoped to just those documents instead of the full parallel fan-out.</w:t>
      </w:r>
    </w:p>
    <w:p>
      <w:pPr>
        <w:pStyle w:val="ListBullet"/>
        <w:spacing w:after="100"/>
      </w:pPr>
      <w:r>
        <w:rPr>
          <w:rFonts w:ascii="Consolas" w:hAnsi="Consolas"/>
          <w:b w:val="0"/>
          <w:color w:val="6B4116"/>
          <w:sz w:val="19"/>
        </w:rPr>
        <w:t>CRAG retry loop</w:t>
      </w:r>
      <w:r>
        <w:rPr>
          <w:color w:val="23201A"/>
          <w:sz w:val="20"/>
        </w:rPr>
        <w:t xml:space="preserve"> — grade_context can send the query back through rewrite_query → route up to twice before falling back to an abstention response.</w:t>
      </w:r>
    </w:p>
    <w:p>
      <w:pPr>
        <w:pStyle w:val="ListBullet"/>
        <w:spacing w:after="100"/>
      </w:pPr>
      <w:r>
        <w:rPr>
          <w:rFonts w:ascii="Consolas" w:hAnsi="Consolas"/>
          <w:b w:val="0"/>
          <w:color w:val="6B4116"/>
          <w:sz w:val="19"/>
        </w:rPr>
        <w:t>Repair loop</w:t>
      </w:r>
      <w:r>
        <w:rPr>
          <w:color w:val="23201A"/>
          <w:sz w:val="20"/>
        </w:rPr>
        <w:t xml:space="preserve"> — post_guardrail can send a citation/number problem back through repair → post_guardrail once before giving up and abstaining.</w:t>
      </w:r>
    </w:p>
    <w:p>
      <w:pPr>
        <w:spacing w:after="160" w:before="0"/>
      </w:pPr>
      <w:r>
        <w:rPr>
          <w:color w:val="23201A"/>
          <w:sz w:val="21"/>
        </w:rPr>
        <w:t>Other branches</w:t>
      </w:r>
      <w:r>
        <w:rPr>
          <w:color w:val="23201A"/>
          <w:sz w:val="21"/>
        </w:rPr>
        <w:t xml:space="preserve"> bypass retrieval entirely and produce a structured_answer directly, rejoining at pre_guardrail or post_guardrail: </w:t>
      </w:r>
      <w:r>
        <w:rPr>
          <w:rFonts w:ascii="Consolas" w:hAnsi="Consolas"/>
          <w:b w:val="0"/>
          <w:color w:val="6B4116"/>
          <w:sz w:val="19"/>
        </w:rPr>
        <w:t>query_sql</w:t>
      </w:r>
      <w:r>
        <w:rPr>
          <w:color w:val="23201A"/>
          <w:sz w:val="21"/>
        </w:rPr>
        <w:t xml:space="preserve"> (Vanna text-to-SQL), </w:t>
      </w:r>
      <w:r>
        <w:rPr>
          <w:rFonts w:ascii="Consolas" w:hAnsi="Consolas"/>
          <w:b w:val="0"/>
          <w:color w:val="6B4116"/>
          <w:sz w:val="19"/>
        </w:rPr>
        <w:t>fund_performance_sql</w:t>
      </w:r>
      <w:r>
        <w:rPr>
          <w:color w:val="23201A"/>
          <w:sz w:val="21"/>
        </w:rPr>
        <w:t xml:space="preserve"> (per-scheme NAV/CAGR lookups), </w:t>
      </w:r>
      <w:r>
        <w:rPr>
          <w:rFonts w:ascii="Consolas" w:hAnsi="Consolas"/>
          <w:b w:val="0"/>
          <w:color w:val="6B4116"/>
          <w:sz w:val="19"/>
        </w:rPr>
        <w:t>reasoning</w:t>
      </w:r>
      <w:r>
        <w:rPr>
          <w:color w:val="23201A"/>
          <w:sz w:val="21"/>
        </w:rPr>
        <w:t xml:space="preserve"> (causal "why" queries), and the analytical subgraph below.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Graph state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graph/state.py</w:t>
      </w:r>
      <w:r>
        <w:rPr>
          <w:color w:val="23201A"/>
          <w:sz w:val="21"/>
        </w:rPr>
        <w:t>'s RAGState TypedDict carries the query and retry counters throughout; intent and routing hints (intent, active_branches); the parallel retrieval buckets (dense_results, sparse_results, table_results, metadata_results) and their fused/reranked/optimized successors; grading output (grade, rewritten_query); augmentation output (citations, context_text); guardrail flags (pre_result, blocked, post_result, repair_attempted); and the analytical loop's own nested state (pending_years, current_year, year_results, pending_months, current_month, month_values).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Intent classification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retrieval/query_understanding.py</w:t>
      </w:r>
      <w:r>
        <w:rPr>
          <w:color w:val="23201A"/>
          <w:sz w:val="21"/>
        </w:rPr>
        <w:t>'s QueryAnalyzer.analyze() runs a staged fallback, each stage capable of resolving the query and producing a QueryIntent:</w:t>
      </w:r>
    </w:p>
    <w:p>
      <w:pPr>
        <w:pStyle w:val="ListNumber"/>
        <w:spacing w:after="100"/>
      </w:pPr>
      <w:r>
        <w:rPr>
          <w:rFonts w:ascii="Consolas" w:hAnsi="Consolas"/>
          <w:b w:val="0"/>
          <w:color w:val="6B4116"/>
          <w:sz w:val="19"/>
        </w:rPr>
        <w:t>Rule-based</w:t>
      </w:r>
      <w:r>
        <w:rPr>
          <w:color w:val="23201A"/>
          <w:sz w:val="20"/>
        </w:rPr>
        <w:t xml:space="preserve"> — regex/keyword extraction of intent type, metric, year range, fiscal year, and entities, plus a confidence score. Resolves the query outright if confidence clears the threshold.</w:t>
      </w:r>
    </w:p>
    <w:p>
      <w:pPr>
        <w:pStyle w:val="ListNumber"/>
        <w:spacing w:after="100"/>
      </w:pPr>
      <w:r>
        <w:rPr>
          <w:rFonts w:ascii="Consolas" w:hAnsi="Consolas"/>
          <w:b w:val="0"/>
          <w:color w:val="6B4116"/>
          <w:sz w:val="19"/>
        </w:rPr>
        <w:t>Embedding similarity</w:t>
      </w:r>
      <w:r>
        <w:rPr>
          <w:color w:val="23201A"/>
          <w:sz w:val="20"/>
        </w:rPr>
        <w:t xml:space="preserve"> — top-K cosine match against pre-embedded labeled examples, used only when rule-based confidence is low and agrees in direction.</w:t>
      </w:r>
    </w:p>
    <w:p>
      <w:pPr>
        <w:pStyle w:val="ListNumber"/>
        <w:spacing w:after="100"/>
      </w:pPr>
      <w:r>
        <w:rPr>
          <w:rFonts w:ascii="Consolas" w:hAnsi="Consolas"/>
          <w:b w:val="0"/>
          <w:color w:val="6B4116"/>
          <w:sz w:val="19"/>
        </w:rPr>
        <w:t>LLM structured extraction</w:t>
      </w:r>
      <w:r>
        <w:rPr>
          <w:color w:val="23201A"/>
          <w:sz w:val="20"/>
        </w:rPr>
        <w:t xml:space="preserve"> — a JSON-structured fallback call.</w:t>
      </w:r>
    </w:p>
    <w:p>
      <w:pPr>
        <w:pStyle w:val="ListNumber"/>
        <w:spacing w:after="100"/>
      </w:pPr>
      <w:r>
        <w:rPr>
          <w:rFonts w:ascii="Consolas" w:hAnsi="Consolas"/>
          <w:b w:val="0"/>
          <w:color w:val="6B4116"/>
          <w:sz w:val="19"/>
        </w:rPr>
        <w:t>Ambiguous</w:t>
      </w:r>
      <w:r>
        <w:rPr>
          <w:color w:val="23201A"/>
          <w:sz w:val="20"/>
        </w:rPr>
        <w:t xml:space="preserve"> — marked explicitly rather than guessed.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intent_type</w:t>
      </w:r>
      <w:r>
        <w:rPr>
          <w:color w:val="23201A"/>
          <w:sz w:val="21"/>
        </w:rPr>
        <w:t xml:space="preserve"> is one of </w:t>
      </w:r>
      <w:r>
        <w:rPr>
          <w:rFonts w:ascii="Consolas" w:hAnsi="Consolas"/>
          <w:b w:val="0"/>
          <w:color w:val="6B4116"/>
          <w:sz w:val="19"/>
        </w:rPr>
        <w:t>factual | trend | tabular | comparison | definition | lookup | analytical</w:t>
      </w:r>
      <w:r>
        <w:rPr>
          <w:color w:val="23201A"/>
          <w:sz w:val="21"/>
        </w:rPr>
        <w:t>. A temporal invariant is enforced on every exit path: needs_analytical is forced False unless a year or month was actually extracted, since the analytical loop needs a period to iterate over. Entities are extracted by longest-match scans against known scheme types and AMC name lists, with an ontology-resolver fallback (§05) when the literal string doesn't match.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Analytical agent — year-range aggregation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graph/nodes_analytical.py</w:t>
      </w:r>
      <w:r>
        <w:rPr>
          <w:color w:val="23201A"/>
          <w:sz w:val="21"/>
        </w:rPr>
        <w:t>'s AnalyticalNodeFactory handles queries like "AUM trend from 2020 to 2026." plan_years builds the list of years to cover and resolves the target metric and scheme type. From there it splits two ways: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Years ≥ 2020, DB-covered metric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synthesize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query_db_stats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single grouped SQL query, no LLM calls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Otherwise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aggregate_year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synthesize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plan_months → retrieve_month → extract_month_metric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loops until all years done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  <w:t>rejoins post_guardrail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b w:val="0"/>
          <w:i w:val="0"/>
          <w:color w:val="23201A"/>
          <w:sz w:val="21"/>
        </w:rPr>
        <w:t>The chunk-based path retrieves document chunks per month and runs a small, cheap LLM extraction call per month to pull the metric value out of prose/table text — the DB-stats path skips LLM calls entirely when the years and metric are already covered by amfi_fund_stats / amfi_amc_stats.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Path decision logic</w:t>
      </w:r>
    </w:p>
    <w:p>
      <w:pPr>
        <w:spacing w:after="160" w:before="0"/>
      </w:pPr>
      <w:r>
        <w:rPr>
          <w:color w:val="23201A"/>
          <w:sz w:val="21"/>
        </w:rPr>
        <w:t xml:space="preserve">A single router, </w:t>
      </w:r>
      <w:r>
        <w:rPr>
          <w:rFonts w:ascii="Consolas" w:hAnsi="Consolas"/>
          <w:b w:val="0"/>
          <w:color w:val="6B4116"/>
          <w:sz w:val="19"/>
        </w:rPr>
        <w:t>edges_analytical.py</w:t>
      </w:r>
      <w:r>
        <w:rPr>
          <w:color w:val="23201A"/>
          <w:sz w:val="21"/>
        </w:rPr>
        <w:t>'s is_range_query(), evaluates right after analyze_query in strict priority order:</w:t>
      </w:r>
    </w:p>
    <w:p>
      <w:pPr>
        <w:spacing w:after="120"/>
      </w:pPr>
      <w:r>
        <w:rPr>
          <w:b/>
          <w:color w:val="A05A1A"/>
          <w:sz w:val="20"/>
        </w:rPr>
        <w:t xml:space="preserve">1.  </w:t>
      </w:r>
      <w:r>
        <w:rPr>
          <w:rFonts w:ascii="Consolas" w:hAnsi="Consolas"/>
          <w:b w:val="0"/>
          <w:color w:val="23201A"/>
          <w:sz w:val="19"/>
        </w:rPr>
        <w:t>state.blocked</w:t>
      </w:r>
      <w:r>
        <w:rPr>
          <w:sz w:val="19"/>
        </w:rPr>
        <w:br/>
        <w:t xml:space="preserve">     → </w:t>
      </w:r>
      <w:r>
        <w:rPr>
          <w:color w:val="5B564C"/>
          <w:sz w:val="19"/>
        </w:rPr>
        <w:t xml:space="preserve">→ </w:t>
      </w:r>
      <w:r>
        <w:rPr>
          <w:rFonts w:ascii="Consolas" w:hAnsi="Consolas"/>
          <w:b w:val="0"/>
          <w:color w:val="6B4116"/>
          <w:sz w:val="18"/>
        </w:rPr>
        <w:t>format_response</w:t>
      </w:r>
      <w:r>
        <w:rPr>
          <w:color w:val="5B564C"/>
          <w:sz w:val="19"/>
        </w:rPr>
        <w:t xml:space="preserve"> (pre-guardrail policy block)</w:t>
      </w:r>
    </w:p>
    <w:p>
      <w:pPr>
        <w:spacing w:after="120"/>
      </w:pPr>
      <w:r>
        <w:rPr>
          <w:b/>
          <w:color w:val="A05A1A"/>
          <w:sz w:val="20"/>
        </w:rPr>
        <w:t xml:space="preserve">2.  </w:t>
      </w:r>
      <w:r>
        <w:rPr>
          <w:rFonts w:ascii="Consolas" w:hAnsi="Consolas"/>
          <w:b w:val="0"/>
          <w:color w:val="23201A"/>
          <w:sz w:val="19"/>
        </w:rPr>
        <w:t>intent.metrics ∩ FUND_PERFORMANCE_METRIC_IDS</w:t>
      </w:r>
      <w:r>
        <w:rPr>
          <w:sz w:val="19"/>
        </w:rPr>
        <w:br/>
        <w:t xml:space="preserve">     → </w:t>
      </w:r>
      <w:r>
        <w:rPr>
          <w:color w:val="5B564C"/>
          <w:sz w:val="19"/>
        </w:rPr>
        <w:t xml:space="preserve">→ </w:t>
      </w:r>
      <w:r>
        <w:rPr>
          <w:rFonts w:ascii="Consolas" w:hAnsi="Consolas"/>
          <w:b w:val="0"/>
          <w:color w:val="6B4116"/>
          <w:sz w:val="18"/>
        </w:rPr>
        <w:t>fund_performance_sql</w:t>
      </w:r>
      <w:r>
        <w:rPr>
          <w:color w:val="5B564C"/>
          <w:sz w:val="19"/>
        </w:rPr>
        <w:t xml:space="preserve"> — checked early so per-scheme NAV/CAGR queries aren't hijacked by the analytical or tabular paths</w:t>
      </w:r>
    </w:p>
    <w:p>
      <w:pPr>
        <w:spacing w:after="120"/>
      </w:pPr>
      <w:r>
        <w:rPr>
          <w:b/>
          <w:color w:val="A05A1A"/>
          <w:sz w:val="20"/>
        </w:rPr>
        <w:t xml:space="preserve">3.  </w:t>
      </w:r>
      <w:r>
        <w:rPr>
          <w:rFonts w:ascii="Consolas" w:hAnsi="Consolas"/>
          <w:b w:val="0"/>
          <w:color w:val="23201A"/>
          <w:sz w:val="19"/>
        </w:rPr>
        <w:t>intent.needs_reasoning</w:t>
      </w:r>
      <w:r>
        <w:rPr>
          <w:sz w:val="19"/>
        </w:rPr>
        <w:br/>
        <w:t xml:space="preserve">     → </w:t>
      </w:r>
      <w:r>
        <w:rPr>
          <w:color w:val="5B564C"/>
          <w:sz w:val="19"/>
        </w:rPr>
        <w:t xml:space="preserve">→ </w:t>
      </w:r>
      <w:r>
        <w:rPr>
          <w:rFonts w:ascii="Consolas" w:hAnsi="Consolas"/>
          <w:b w:val="0"/>
          <w:color w:val="6B4116"/>
          <w:sz w:val="18"/>
        </w:rPr>
        <w:t>reasoning</w:t>
      </w:r>
      <w:r>
        <w:rPr>
          <w:color w:val="5B564C"/>
          <w:sz w:val="19"/>
        </w:rPr>
        <w:t xml:space="preserve"> (causal "why" queries)</w:t>
      </w:r>
    </w:p>
    <w:p>
      <w:pPr>
        <w:spacing w:after="120"/>
      </w:pPr>
      <w:r>
        <w:rPr>
          <w:b/>
          <w:color w:val="A05A1A"/>
          <w:sz w:val="20"/>
        </w:rPr>
        <w:t xml:space="preserve">4.  </w:t>
      </w:r>
      <w:r>
        <w:rPr>
          <w:rFonts w:ascii="Consolas" w:hAnsi="Consolas"/>
          <w:b w:val="0"/>
          <w:color w:val="23201A"/>
          <w:sz w:val="19"/>
        </w:rPr>
        <w:t>intent.needs_analytical</w:t>
      </w:r>
      <w:r>
        <w:rPr>
          <w:sz w:val="19"/>
        </w:rPr>
        <w:br/>
        <w:t xml:space="preserve">     → </w:t>
      </w:r>
      <w:r>
        <w:rPr>
          <w:color w:val="5B564C"/>
          <w:sz w:val="19"/>
        </w:rPr>
        <w:t xml:space="preserve">→ </w:t>
      </w:r>
      <w:r>
        <w:rPr>
          <w:rFonts w:ascii="Consolas" w:hAnsi="Consolas"/>
          <w:b w:val="0"/>
          <w:color w:val="6B4116"/>
          <w:sz w:val="18"/>
        </w:rPr>
        <w:t>plan_years</w:t>
      </w:r>
      <w:r>
        <w:rPr>
          <w:color w:val="5B564C"/>
          <w:sz w:val="19"/>
        </w:rPr>
        <w:t xml:space="preserve"> (analytical loop)</w:t>
      </w:r>
    </w:p>
    <w:p>
      <w:pPr>
        <w:spacing w:after="120"/>
      </w:pPr>
      <w:r>
        <w:rPr>
          <w:b/>
          <w:color w:val="A05A1A"/>
          <w:sz w:val="20"/>
        </w:rPr>
        <w:t xml:space="preserve">5.  </w:t>
      </w:r>
      <w:r>
        <w:rPr>
          <w:rFonts w:ascii="Consolas" w:hAnsi="Consolas"/>
          <w:b w:val="0"/>
          <w:color w:val="23201A"/>
          <w:sz w:val="19"/>
        </w:rPr>
        <w:t>intent.intent_type in (tabular, trend)</w:t>
      </w:r>
      <w:r>
        <w:rPr>
          <w:sz w:val="19"/>
        </w:rPr>
        <w:br/>
        <w:t xml:space="preserve">     → </w:t>
      </w:r>
      <w:r>
        <w:rPr>
          <w:color w:val="5B564C"/>
          <w:sz w:val="19"/>
        </w:rPr>
        <w:t xml:space="preserve">→ </w:t>
      </w:r>
      <w:r>
        <w:rPr>
          <w:rFonts w:ascii="Consolas" w:hAnsi="Consolas"/>
          <w:b w:val="0"/>
          <w:color w:val="6B4116"/>
          <w:sz w:val="18"/>
        </w:rPr>
        <w:t>query_sql</w:t>
      </w:r>
      <w:r>
        <w:rPr>
          <w:color w:val="5B564C"/>
          <w:sz w:val="19"/>
        </w:rPr>
        <w:t xml:space="preserve"> (Vanna text-to-SQL)</w:t>
      </w:r>
    </w:p>
    <w:p>
      <w:pPr>
        <w:spacing w:after="120"/>
      </w:pPr>
      <w:r>
        <w:rPr>
          <w:b/>
          <w:color w:val="A05A1A"/>
          <w:sz w:val="20"/>
        </w:rPr>
        <w:t xml:space="preserve">6.  </w:t>
      </w:r>
      <w:r>
        <w:rPr>
          <w:rFonts w:ascii="Consolas" w:hAnsi="Consolas"/>
          <w:b w:val="0"/>
          <w:color w:val="23201A"/>
          <w:sz w:val="19"/>
        </w:rPr>
        <w:t>intent.year_from and intent.year_to</w:t>
      </w:r>
      <w:r>
        <w:rPr>
          <w:sz w:val="19"/>
        </w:rPr>
        <w:br/>
        <w:t xml:space="preserve">     → </w:t>
      </w:r>
      <w:r>
        <w:rPr>
          <w:color w:val="5B564C"/>
          <w:sz w:val="19"/>
        </w:rPr>
        <w:t xml:space="preserve">→ </w:t>
      </w:r>
      <w:r>
        <w:rPr>
          <w:rFonts w:ascii="Consolas" w:hAnsi="Consolas"/>
          <w:b w:val="0"/>
          <w:color w:val="6B4116"/>
          <w:sz w:val="18"/>
        </w:rPr>
        <w:t>plan_years</w:t>
      </w:r>
      <w:r>
        <w:rPr>
          <w:color w:val="5B564C"/>
          <w:sz w:val="19"/>
        </w:rPr>
        <w:t xml:space="preserve"> (backward-compat path)</w:t>
      </w:r>
    </w:p>
    <w:p>
      <w:pPr>
        <w:spacing w:after="120"/>
      </w:pPr>
      <w:r>
        <w:rPr>
          <w:b/>
          <w:color w:val="A05A1A"/>
          <w:sz w:val="20"/>
        </w:rPr>
        <w:t xml:space="preserve">7.  </w:t>
      </w:r>
      <w:r>
        <w:rPr>
          <w:rFonts w:ascii="Consolas" w:hAnsi="Consolas"/>
          <w:b w:val="0"/>
          <w:color w:val="23201A"/>
          <w:sz w:val="19"/>
        </w:rPr>
        <w:t>default</w:t>
      </w:r>
      <w:r>
        <w:rPr>
          <w:sz w:val="19"/>
        </w:rPr>
        <w:br/>
        <w:t xml:space="preserve">     → </w:t>
      </w:r>
      <w:r>
        <w:rPr>
          <w:color w:val="5B564C"/>
          <w:sz w:val="19"/>
        </w:rPr>
        <w:t xml:space="preserve">→ </w:t>
      </w:r>
      <w:r>
        <w:rPr>
          <w:rFonts w:ascii="Consolas" w:hAnsi="Consolas"/>
          <w:b w:val="0"/>
          <w:color w:val="6B4116"/>
          <w:sz w:val="18"/>
        </w:rPr>
        <w:t>route</w:t>
      </w:r>
      <w:r>
        <w:rPr>
          <w:color w:val="5B564C"/>
          <w:sz w:val="19"/>
        </w:rPr>
        <w:t xml:space="preserve"> (standard parallel RAG retrieval)</w:t>
      </w:r>
    </w:p>
    <w:p>
      <w:r>
        <w:br w:type="page"/>
      </w:r>
    </w:p>
    <w:p>
      <w:pPr>
        <w:pStyle w:val="Heading1"/>
        <w:spacing w:before="520" w:after="200"/>
        <w:pBdr>
          <w:bottom w:val="single" w:sz="6" w:space="4" w:color="DDD6C5"/>
        </w:pBdr>
      </w:pPr>
      <w:r>
        <w:rPr>
          <w:rFonts w:ascii="Calibri" w:hAnsi="Calibri"/>
          <w:b/>
          <w:color w:val="A05A1A"/>
          <w:sz w:val="34"/>
        </w:rPr>
        <w:t xml:space="preserve">04  </w:t>
      </w:r>
      <w:r>
        <w:rPr>
          <w:rFonts w:ascii="Calibri" w:hAnsi="Calibri"/>
          <w:b/>
          <w:color w:val="23201A"/>
          <w:sz w:val="34"/>
        </w:rPr>
        <w:t>RAG pipeline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A05A1A"/>
          <w:sz w:val="26"/>
        </w:rPr>
        <w:t>Retrieve, rank, generate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Hybrid retrieval and BM25</w:t>
      </w:r>
    </w:p>
    <w:p>
      <w:pPr>
        <w:spacing w:after="160" w:before="0"/>
      </w:pPr>
      <w:r>
        <w:rPr>
          <w:b w:val="0"/>
          <w:i w:val="0"/>
          <w:color w:val="23201A"/>
          <w:sz w:val="21"/>
        </w:rPr>
        <w:t>Dense and lexical retrieval run concurrently and are fused before reranking — nothing is thrown away in favor of the other signal.</w:t>
      </w:r>
    </w:p>
    <w:p>
      <w:pPr>
        <w:pStyle w:val="ListBullet"/>
        <w:spacing w:after="100"/>
      </w:pPr>
      <w:r>
        <w:rPr>
          <w:rFonts w:ascii="Consolas" w:hAnsi="Consolas"/>
          <w:b w:val="0"/>
          <w:color w:val="6B4116"/>
          <w:sz w:val="19"/>
        </w:rPr>
        <w:t>Dense</w:t>
      </w:r>
      <w:r>
        <w:rPr>
          <w:color w:val="23201A"/>
          <w:sz w:val="20"/>
        </w:rPr>
        <w:t xml:space="preserve"> — all-MiniLM-L6-v2 (384-dim, normalized embeddings), indexed in Postgres via pgvector with an HNSW index on cosine distance.</w:t>
      </w:r>
    </w:p>
    <w:p>
      <w:pPr>
        <w:pStyle w:val="ListBullet"/>
        <w:spacing w:after="100"/>
      </w:pPr>
      <w:r>
        <w:rPr>
          <w:rFonts w:ascii="Consolas" w:hAnsi="Consolas"/>
          <w:b w:val="0"/>
          <w:color w:val="6B4116"/>
          <w:sz w:val="19"/>
        </w:rPr>
        <w:t>Lexical</w:t>
      </w:r>
      <w:r>
        <w:rPr>
          <w:color w:val="23201A"/>
          <w:sz w:val="20"/>
        </w:rPr>
        <w:t xml:space="preserve"> — Postgres full-text search (to_tsvector('english', text), GIN-indexed), scored with ts_rank. This is the BM25-style keyword signal — it runs as a genuinely separate retrieval path, not a fallback.</w:t>
      </w:r>
    </w:p>
    <w:p>
      <w:pPr>
        <w:pStyle w:val="ListBullet"/>
        <w:spacing w:after="100"/>
      </w:pPr>
      <w:r>
        <w:rPr>
          <w:rFonts w:ascii="Consolas" w:hAnsi="Consolas"/>
          <w:b w:val="0"/>
          <w:color w:val="6B4116"/>
          <w:sz w:val="19"/>
        </w:rPr>
        <w:t>Fusion</w:t>
      </w:r>
      <w:r>
        <w:rPr>
          <w:color w:val="23201A"/>
          <w:sz w:val="20"/>
        </w:rPr>
        <w:t xml:space="preserve"> — Reciprocal Rank Fusion: score(d) = Σ 1/(k+rank) across both ranked lists, k=60. Implemented once (retrieval/retriever.py's _rrf_merge()) and reused by the more elaborate HybridRetriever (retrieval/hybrid.py).</w:t>
      </w:r>
    </w:p>
    <w:p>
      <w:pPr>
        <w:spacing w:after="160" w:before="0"/>
      </w:pPr>
      <w:r>
        <w:rPr>
          <w:b w:val="0"/>
          <w:i w:val="0"/>
          <w:color w:val="23201A"/>
          <w:sz w:val="21"/>
        </w:rPr>
        <w:t>The production path (HybridRetriever) runs five stages: optional query expansion with domain synonyms, concurrent dense+sparse fetch, RRF fusion, cross-encoder rerank, then a context optimizer that removes near-duplicates (Jaccard similarity ≥ 0.85), caps chunks per source document, sorts for recency when the query asks for "latest," and guarantees at least one table-sourced chunk survives for numeric/tabular intents.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Stage</w:t>
            </w:r>
          </w:p>
        </w:tc>
        <w:tc>
          <w:tcPr>
            <w:tcW w:type="dxa" w:w="468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Default value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dense_candidates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sparse_candidates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fusion_candidates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50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final_top_k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10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 w:val="0"/>
          <w:color w:val="23201A"/>
          <w:sz w:val="21"/>
        </w:rPr>
        <w:t>These scale automatically with corpus size (HybridConfig.for_corpus_size()) — smaller candidate pools below 100K chunks, larger above 500K.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Cross-encoder reranking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augmentation/ranker.py</w:t>
      </w:r>
      <w:r>
        <w:rPr>
          <w:color w:val="23201A"/>
          <w:sz w:val="21"/>
        </w:rPr>
        <w:t xml:space="preserve"> uses </w:t>
      </w:r>
      <w:r>
        <w:rPr>
          <w:rFonts w:ascii="Consolas" w:hAnsi="Consolas"/>
          <w:b w:val="0"/>
          <w:color w:val="6B4116"/>
          <w:sz w:val="19"/>
        </w:rPr>
        <w:t>cross-encoder/ms-marco-MiniLM-L-12-v2</w:t>
      </w:r>
      <w:r>
        <w:rPr>
          <w:color w:val="23201A"/>
          <w:sz w:val="21"/>
        </w:rPr>
        <w:t xml:space="preserve"> via sentence-transformers. Unlike the bi-encoder used for dense retrieval — which embeds the query and each chunk independently — the cross-encoder jointly encodes each (query, passage) pair and produces a single relevance logit per pair, which is strictly more accurate but too expensive to run over the full corpus. It only ever sees the ~50–75 candidates that already survived fusion. Candidates below min_score=-5.0 are dropped, with a safety net that keeps the top 3 anyway if every candidate scores below threshold (common for table-formatted chunks, since the cross-encoder was trained on prose QA pairs).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Citations and grounding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augmentation/citations.py</w:t>
      </w:r>
      <w:r>
        <w:rPr>
          <w:color w:val="23201A"/>
          <w:sz w:val="21"/>
        </w:rPr>
        <w:t xml:space="preserve"> numbers reranked chunks [1..N] in rank order and attaches file name, period, category, and a confidence score derived from the cross-encoder logit. verify_grounding() then runs four checks against the generated answer: every [N] marker points at a real citation; low-confidence citations are flagged unverified; every number appearing in the answer must also appear in the text of its cited excerpt; and an optional embedding-cosine faithfulness check between answer and excerpt. An answer is is_grounded only if no warnings fired and at least half its claims are grounded.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Guardrails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augmentation/guardrails.py</w:t>
      </w:r>
      <w:r>
        <w:rPr>
          <w:color w:val="23201A"/>
          <w:sz w:val="21"/>
        </w:rPr>
        <w:t xml:space="preserve"> runs in two passes around generation.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Pass</w:t>
            </w:r>
          </w:p>
        </w:tc>
        <w:tc>
          <w:tcPr>
            <w:tcW w:type="dxa" w:w="312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Check</w:t>
            </w:r>
          </w:p>
        </w:tc>
        <w:tc>
          <w:tcPr>
            <w:tcW w:type="dxa" w:w="312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Effect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Pre-generation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Investment-advice patterns ("should I invest," "guaranteed return")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hard block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Pre-generation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Out-of-scope patterns (stock prices, Nifty/Sensex, FD rates, crypto)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hard block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Pre-generation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Assertion-style phrasing ("…right?")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soft warning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Pre-generation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Minimum source count for intent type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soft warning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Pre-generation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Low-confidence context (&lt; 0.20)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soft warning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Post-generation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Citation markers valid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repairable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Post-generation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Faithfulness (embedding cosine &lt; 0.25)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hallucination_risk flag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Post-generation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Unsafe advice language in the generated answer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hard block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Post-generation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Numeric consistency (numbers must appear in cited excerpts)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repairable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Post-generation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Abstention phrase detection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pass-through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 w:val="0"/>
          <w:color w:val="23201A"/>
          <w:sz w:val="21"/>
        </w:rPr>
        <w:t>SQL-specific guardrails (SELECT-only, table allowlist, LIMIT injection, date-filter warning) are a separate policy layer inside the text-to-SQL agent, not this module — see below.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Answer generation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augmentation/generator.py</w:t>
      </w:r>
      <w:r>
        <w:rPr>
          <w:color w:val="23201A"/>
          <w:sz w:val="21"/>
        </w:rPr>
        <w:t xml:space="preserve"> calls Claude Haiku (claude-haiku-4-5-20251001, or its Bedrock ARN equivalent), with OpenAI gpt-4o-mini supported as an alternate provider. Temperature varies by intent — as low as 0.05 for factual/tabular/lookup queries, up to 0.20 for definitions. augmentation/prompts.py selects a system prompt per intent type, all sharing a base rule set: answer only from the numbered context, cite every claim, and abstain with a fixed phrase when the context doesn't support an answer. Context is capped at 14,000 characters, with per-chunk truncation (600 chars prose, 2,500 for table-formatted chunks).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Text-to-SQL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text_to_sql/vanna_agent.py</w:t>
      </w:r>
      <w:r>
        <w:rPr>
          <w:color w:val="23201A"/>
          <w:sz w:val="21"/>
        </w:rPr>
        <w:t xml:space="preserve"> uses Vanna.ai: a ChromaDB-backed vector store of trained DDL/documentation/question-SQL pairs, with Claude Haiku generating SQL from natural language. _validate_and_prepare() is the policy layer: SELECT-only (hard block on any other statement), a five-table allowlist (amfi_fund_stats, amfi_amc_stats, mf_scheme_master, mf_nav_history, mf_scheme_performance), a soft warning when no date/scheme filter is present, and automatic LIMIT 500 injection when missing. ask() additionally applies a deterministic corrective retry when the generated SQL targets the wrong stats table for the requested period year.</w:t>
      </w:r>
    </w:p>
    <w:p>
      <w:r>
        <w:br w:type="page"/>
      </w:r>
    </w:p>
    <w:p>
      <w:pPr>
        <w:pStyle w:val="Heading1"/>
        <w:spacing w:before="520" w:after="200"/>
        <w:pBdr>
          <w:bottom w:val="single" w:sz="6" w:space="4" w:color="DDD6C5"/>
        </w:pBdr>
      </w:pPr>
      <w:r>
        <w:rPr>
          <w:rFonts w:ascii="Calibri" w:hAnsi="Calibri"/>
          <w:b/>
          <w:color w:val="A05A1A"/>
          <w:sz w:val="34"/>
        </w:rPr>
        <w:t xml:space="preserve">05  </w:t>
      </w:r>
      <w:r>
        <w:rPr>
          <w:rFonts w:ascii="Calibri" w:hAnsi="Calibri"/>
          <w:b/>
          <w:color w:val="23201A"/>
          <w:sz w:val="34"/>
        </w:rPr>
        <w:t>Semantic ontology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A05A1A"/>
          <w:sz w:val="26"/>
        </w:rPr>
        <w:t>The domain model underneath everything</w:t>
      </w:r>
    </w:p>
    <w:p>
      <w:pPr>
        <w:spacing w:after="160" w:before="0"/>
      </w:pPr>
      <w:r>
        <w:rPr>
          <w:b w:val="0"/>
          <w:i w:val="0"/>
          <w:color w:val="23201A"/>
          <w:sz w:val="21"/>
        </w:rPr>
        <w:t>Both entity resolution (§02) and intent classification (§03) resolve raw text against the same ontology — a layered set of YAML files, not a database or graph store.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The semantic engine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semantic/semantic_engine.py</w:t>
      </w:r>
      <w:r>
        <w:rPr>
          <w:color w:val="23201A"/>
          <w:sz w:val="21"/>
        </w:rPr>
        <w:t>'s get_engine() is a process-wide singleton. It loads six YAML layers in strict dependency order and validates cross-references at load time — a bad reference anywhere fails loudly at process start, not mid-query: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vocabulary.yaml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taxonomy.yaml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thesaurus.yaml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financial_ontology.yaml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financial_relationships.yaml</w:t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reasoning_rules.yaml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</w:r>
          </w:p>
        </w:tc>
        <w:tc>
          <w:tcPr>
            <w:tcW w:type="dxa" w:w="1560"/>
            <w:shd w:val="clear" w:color="auto" w:fill="FFFFFF"/>
            <w:tcBorders>
              <w:top w:val="single" w:sz="4" w:color="CFC4A6"/>
              <w:left w:val="single" w:sz="4" w:color="CFC4A6"/>
              <w:bottom w:val="single" w:sz="4" w:color="CFC4A6"/>
              <w:right w:val="single" w:sz="4" w:color="CFC4A6"/>
            </w:tcBorders>
          </w:tcPr>
          <w:p>
            <w:pPr>
              <w:jc w:val="center"/>
            </w:pPr>
            <w:r>
              <w:rPr>
                <w:rFonts w:ascii="Consolas" w:hAnsi="Consolas"/>
                <w:b w:val="0"/>
                <w:color w:val="5B564C"/>
                <w:sz w:val="16"/>
              </w:rPr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color w:val="23201A"/>
          <w:sz w:val="21"/>
        </w:rPr>
        <w:t>Exposed accessors include amc_display_name(), mf_scheme_category(), the three synonym lookups (metric_synonyms, scheme_type_synonyms, amc_synonyms), ontology concept resolution, and the reasoning layer's pattern/threshold lookups.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Domain YAML layers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domain/semantic/taxonomy.yaml</w:t>
      </w:r>
      <w:r>
        <w:rPr>
          <w:color w:val="23201A"/>
          <w:sz w:val="21"/>
        </w:rPr>
        <w:t xml:space="preserve"> holds two deliberately separate hierarchies: a small scheme_types tree (equity → large/mid/small/multi/flexi-cap/ELSS/sectoral, debt → liquid/overnight/gilt, plus hybrid/index/ETF/gold/international) mapped to amfi_fund_stats.fund_category; and a ~40-leaf mf_scheme_categories taxonomy mirroring the SEBI/AMFI classification, each leaf carrying a SQL-LIKE pattern, mapped to mf_scheme_master.category.</w:t>
      </w:r>
    </w:p>
    <w:p>
      <w:pPr>
        <w:spacing w:before="160" w:after="200"/>
        <w:ind w:left="216"/>
        <w:pBdr>
          <w:left w:val="single" w:sz="18" w:space="8" w:color="A8631F"/>
        </w:pBdr>
        <w:shd w:val="clear" w:color="auto" w:fill="F2E6CD"/>
      </w:pPr>
      <w:r>
        <w:rPr>
          <w:b/>
          <w:color w:val="6B4116"/>
          <w:sz w:val="16"/>
        </w:rPr>
        <w:t>NOTE</w:t>
        <w:br/>
      </w:r>
      <w:r>
        <w:rPr>
          <w:color w:val="23201A"/>
          <w:sz w:val="20"/>
        </w:rPr>
        <w:t>mf_scheme_categories is not wired into live query routing — it's used by entity resolution's category matching and by scripts/train_vanna.py, but the intent classifier's entity extraction only reads scheme_types.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domain/semantic/thesaurus.yaml</w:t>
      </w:r>
      <w:r>
        <w:rPr>
          <w:color w:val="23201A"/>
          <w:sz w:val="21"/>
        </w:rPr>
        <w:t xml:space="preserve"> supplies synonym lists per AMC/metric/scheme-type (e.g. sbi_mf → "sbi," "sbi mf," "sbi mutual fund"). domain/entity_model/ defines the identity model itself — entity types, relationship types (each flagged with whether it's FK-enforced), canonical naming rules, lifecycle statuses. domain/resolution/matching_thresholds.yaml documents the scoring model in two states:</w:t>
      </w:r>
    </w:p>
    <w:p>
      <w:pPr>
        <w:spacing w:before="160" w:after="200"/>
        <w:ind w:left="216"/>
        <w:pBdr>
          <w:left w:val="single" w:sz="18" w:space="8" w:color="A8631F"/>
        </w:pBdr>
        <w:shd w:val="clear" w:color="auto" w:fill="F2E6CD"/>
      </w:pPr>
      <w:r>
        <w:rPr>
          <w:b/>
          <w:color w:val="6B4116"/>
          <w:sz w:val="16"/>
        </w:rPr>
        <w:t>CURRENT VS. PLANNED</w:t>
        <w:br/>
      </w:r>
      <w:r>
        <w:rPr>
          <w:color w:val="23201A"/>
          <w:sz w:val="20"/>
        </w:rPr>
        <w:t>Today's matching is binary_exact_match — a resolution is either score 1.0 or 0.0, no fuzzy library is wired in. A future_model spec exists for rapidfuzz-based token-sort scoring with auto_accept / needs_review / reject bands, but it's not implemented yet.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Entity resolver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services/entity_resolver.py</w:t>
      </w:r>
      <w:r>
        <w:rPr>
          <w:color w:val="23201A"/>
          <w:sz w:val="21"/>
        </w:rPr>
        <w:t>'s resolve_amc_name() does case-insensitive, word-boundary synonym matching against every AMC's thesaurus entry (longest synonym first), returning score 1.0 on a hit or 0.0 on none — no partial credit. resolve_category() tries three signals, strictly in order: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Priority</w:t>
            </w:r>
          </w:p>
        </w:tc>
        <w:tc>
          <w:tcPr>
            <w:tcW w:type="dxa" w:w="234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Signal</w:t>
            </w:r>
          </w:p>
        </w:tc>
        <w:tc>
          <w:tcPr>
            <w:tcW w:type="dxa" w:w="234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Score</w:t>
            </w:r>
          </w:p>
        </w:tc>
        <w:tc>
          <w:tcPr>
            <w:tcW w:type="dxa" w:w="234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Source tag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AMFI's own NAVAll.txt category header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amfi_navall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mfapi's mf_scheme_master.category field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primary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Scheme-name pattern match (fallback)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0.85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scheme_name_fallback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 w:val="0"/>
          <w:color w:val="23201A"/>
          <w:sz w:val="21"/>
        </w:rPr>
        <w:t>Signal 2 shares the same score as signal 1 but is tried second — mfapi's own category field is unreliable per-row (often plan/option text, or a generic value on a majority of rows), so AMFI's section header wins whenever both are available.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services/canonical_name_normalizer.py</w:t>
      </w:r>
      <w:r>
        <w:rPr>
          <w:color w:val="23201A"/>
          <w:sz w:val="21"/>
        </w:rPr>
        <w:t>'s normalize_name() collapses whitespace and lowercases for the entity lookup key; parse_scheme_name() splits a raw scheme name into base fund / plan / option by matching known plan tokens (Direct/Regular) and option tokens (Growth/IDCW/Dividend) longest-first, leaving anything unmatched as None rather than guessing.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Connection to the Postgres entity graph</w:t>
      </w:r>
    </w:p>
    <w:p>
      <w:pPr>
        <w:spacing w:after="160" w:before="0"/>
      </w:pPr>
      <w:r>
        <w:rPr>
          <w:color w:val="23201A"/>
          <w:sz w:val="21"/>
        </w:rPr>
        <w:t xml:space="preserve">Resolution output becomes graph writes: entity_type="organization"/"amc" for AMCs, entity_type="category" keyed on the taxonomy leaf id, and entity_type="scheme" / "scheme_plan" for funds — connected by has_plan, manages, and belongs_to relationships (§02). </w:t>
      </w:r>
      <w:r>
        <w:rPr>
          <w:rFonts w:ascii="Consolas" w:hAnsi="Consolas"/>
          <w:b w:val="0"/>
          <w:color w:val="6B4116"/>
          <w:sz w:val="19"/>
        </w:rPr>
        <w:t>services/entity_reconciliation.py</w:t>
      </w:r>
      <w:r>
        <w:rPr>
          <w:color w:val="23201A"/>
          <w:sz w:val="21"/>
        </w:rPr>
        <w:t xml:space="preserve"> runs periodically to re-derive belongs_to edges by majority vote across a scheme's sibling plans, prioritized by the same three-tier source ranking, soft-superseding old edges rather than deleting them.</w:t>
      </w:r>
    </w:p>
    <w:p>
      <w:r>
        <w:br w:type="page"/>
      </w:r>
    </w:p>
    <w:p>
      <w:pPr>
        <w:pStyle w:val="Heading1"/>
        <w:spacing w:before="520" w:after="200"/>
        <w:pBdr>
          <w:bottom w:val="single" w:sz="6" w:space="4" w:color="DDD6C5"/>
        </w:pBdr>
      </w:pPr>
      <w:r>
        <w:rPr>
          <w:rFonts w:ascii="Calibri" w:hAnsi="Calibri"/>
          <w:b/>
          <w:color w:val="A05A1A"/>
          <w:sz w:val="34"/>
        </w:rPr>
        <w:t xml:space="preserve">06  </w:t>
      </w:r>
      <w:r>
        <w:rPr>
          <w:rFonts w:ascii="Calibri" w:hAnsi="Calibri"/>
          <w:b/>
          <w:color w:val="23201A"/>
          <w:sz w:val="34"/>
        </w:rPr>
        <w:t>Evaluation suite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A05A1A"/>
          <w:sz w:val="26"/>
        </w:rPr>
        <w:t>FIES — five phases over a synthetic corpus</w:t>
      </w:r>
    </w:p>
    <w:p>
      <w:pPr>
        <w:spacing w:before="160" w:after="200"/>
        <w:ind w:left="216"/>
        <w:pBdr>
          <w:left w:val="single" w:sz="18" w:space="8" w:color="A8631F"/>
        </w:pBdr>
        <w:shd w:val="clear" w:color="auto" w:fill="F2E6CD"/>
      </w:pPr>
      <w:r>
        <w:rPr>
          <w:b/>
          <w:color w:val="6B4116"/>
          <w:sz w:val="16"/>
        </w:rPr>
        <w:t>TWO HARNESSES EXIST</w:t>
        <w:br/>
      </w:r>
      <w:r>
        <w:rPr>
          <w:rFonts w:ascii="Consolas" w:hAnsi="Consolas"/>
          <w:b w:val="0"/>
          <w:color w:val="6B4116"/>
          <w:sz w:val="19"/>
        </w:rPr>
        <w:t>eval/</w:t>
      </w:r>
      <w:r>
        <w:rPr>
          <w:color w:val="23201A"/>
          <w:sz w:val="20"/>
        </w:rPr>
        <w:t xml:space="preserve"> (FIES, 2026-07-08 onward) is the current, actively maintained suite — richer JSON fixtures, per-phase runners, a 151-query corpus, ~50 archived runs. </w:t>
      </w:r>
      <w:r>
        <w:rPr>
          <w:rFonts w:ascii="Consolas" w:hAnsi="Consolas"/>
          <w:b w:val="0"/>
          <w:color w:val="6B4116"/>
          <w:sz w:val="19"/>
        </w:rPr>
        <w:t>src/financial_pipeline/evaluation/</w:t>
      </w:r>
      <w:r>
        <w:rPr>
          <w:color w:val="23201A"/>
          <w:sz w:val="20"/>
        </w:rPr>
        <w:t xml:space="preserve"> (2026-07-02) is an earlier 7-dimension harness with a 24-case hardcoded dataset; it still runs standalone via python -m financial_pipeline.evaluation.runner, but nothing in eval/ depends on it.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Running it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eval/run_eval.py --phase all|intent|sql|retrieval|answer|guardrail [--out path.json]</w:t>
      </w:r>
      <w:r>
        <w:rPr>
          <w:color w:val="23201A"/>
          <w:sz w:val="21"/>
        </w:rPr>
        <w:t>. Each phase lazily imports and times its runner in eval/runners/. If settings.langsmith_api_key is set, the full result uploads to LangSmith as one run by default; a local JSON file is only written when --out is passed or the upload fails.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The five phases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Phase</w:t>
            </w:r>
          </w:p>
        </w:tc>
        <w:tc>
          <w:tcPr>
            <w:tcW w:type="dxa" w:w="312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What it exercises</w:t>
            </w:r>
          </w:p>
        </w:tc>
        <w:tc>
          <w:tcPr>
            <w:tcW w:type="dxa" w:w="3120"/>
            <w:shd w:val="clear" w:color="auto" w:fill="EFE7D6"/>
          </w:tcPr>
          <w:p>
            <w:r>
              <w:rPr>
                <w:b/>
                <w:color w:val="5B564C"/>
                <w:sz w:val="18"/>
              </w:rPr>
              <w:t>Key metrics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Intent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QueryAnalyzer.analyze() against labeled queries; predicted routing is cross-checked against the same precedence is_range_query() uses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routing_accuracy, intent_type_accuracy, metric/scheme_type/year_extraction_accuracy, per-class P/R/F1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SQL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Full Vanna ask() against a fixed query set, compared to expected tables/columns/value ranges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parse_rate, policy_pass_rate, table_accuracy, column_recall, execution_accuracy, row_count_accuracy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Retrieval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QueryAnalyzer → route → retrieve → rerank → optimize → augment, compared to labeled relevant chunks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hit@8, precision@8, recall@8, mrr, keyword_coverage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Answer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Full graph invoke() end to end, compared to expected facts/citations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fact_coverage, citation_presence_rate, hallucination_rate, safety/required_content rates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Guardrail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31-case adversarial corpus routed through the real guardrail + graph path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block_rate_by_type, false_positive_rate, false_negative_rate, layer_accuracy, limit_injection_rate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5B564C"/>
          <w:sz w:val="21"/>
        </w:rPr>
        <w:t>The corpus</w:t>
      </w:r>
    </w:p>
    <w:p>
      <w:pPr>
        <w:spacing w:after="160" w:before="0"/>
      </w:pPr>
      <w:r>
        <w:rPr>
          <w:b w:val="0"/>
          <w:i w:val="0"/>
          <w:color w:val="23201A"/>
          <w:sz w:val="21"/>
        </w:rPr>
        <w:t>eval/corpus/query_corpus.json holds 151 queries (Q001…, F001… for the failure set) — 77 tabular, 21 analytical, 16 factual, 6 definitional, 31 adversarial/failure. A subset (eval/corpus/generated/v3/, 122 queries) is auto-generated from ontology templates by fies/generator/query_generator.py (seeded, versioned); execution-dependent labels — SQL expectations, retrieval relevance, expected answers — are hand-curated against the live database and explicitly excluded from auto-generation. This is synthetic, template-derived data, not production query logs.</w:t>
      </w:r>
    </w:p>
    <w:p>
      <w:r>
        <w:br w:type="page"/>
      </w:r>
    </w:p>
    <w:p>
      <w:pPr>
        <w:pStyle w:val="Heading1"/>
        <w:spacing w:before="520" w:after="200"/>
        <w:pBdr>
          <w:bottom w:val="single" w:sz="6" w:space="4" w:color="DDD6C5"/>
        </w:pBdr>
      </w:pPr>
      <w:r>
        <w:rPr>
          <w:rFonts w:ascii="Calibri" w:hAnsi="Calibri"/>
          <w:b/>
          <w:color w:val="A05A1A"/>
          <w:sz w:val="34"/>
        </w:rPr>
        <w:t xml:space="preserve">07  </w:t>
      </w:r>
      <w:r>
        <w:rPr>
          <w:rFonts w:ascii="Calibri" w:hAnsi="Calibri"/>
          <w:b/>
          <w:color w:val="23201A"/>
          <w:sz w:val="34"/>
        </w:rPr>
        <w:t>Observability &amp; cost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A05A1A"/>
          <w:sz w:val="26"/>
        </w:rPr>
        <w:t>Tracing and pricing every call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src/financial_pipeline/evaluation/observability.py</w:t>
      </w:r>
      <w:r>
        <w:rPr>
          <w:color w:val="23201A"/>
          <w:sz w:val="21"/>
        </w:rPr>
        <w:t xml:space="preserve"> defines the tracing layer: RequestTrace captures per-stage latency, retrieval counts, generation token/cost figures, and guardrail outcomes for one request. Two emitters consume it — MetricsEmitter batches custom metrics to AWS CloudWatch (namespace AMFI/Pipeline), and LangSmithFeedbackEmitter pushes per-case and aggregate scores as LangSmith run feedback.</w:t>
      </w:r>
    </w:p>
    <w:p>
      <w:pPr>
        <w:spacing w:before="160" w:after="200"/>
        <w:ind w:left="216"/>
        <w:pBdr>
          <w:left w:val="single" w:sz="18" w:space="8" w:color="A8631F"/>
        </w:pBdr>
        <w:shd w:val="clear" w:color="auto" w:fill="F2E6CD"/>
      </w:pPr>
      <w:r>
        <w:rPr>
          <w:b/>
          <w:color w:val="6B4116"/>
          <w:sz w:val="16"/>
        </w:rPr>
        <w:t>GAP</w:t>
        <w:br/>
      </w:r>
      <w:r>
        <w:rPr>
          <w:color w:val="23201A"/>
          <w:sz w:val="20"/>
        </w:rPr>
        <w:t>RequestTrace, MetricsEmitter, and LangSmithFeedbackEmitter are referenced only inside src/financial_pipeline/evaluation/ — api/main.py does not import this module. CloudWatch and LangSmith-feedback observability currently only fire when the standalone evaluation.runner suite is run directly, not on live API traffic through the LangGraph service.</w:t>
      </w:r>
    </w:p>
    <w:p>
      <w:pPr>
        <w:spacing w:after="160" w:before="0"/>
      </w:pPr>
      <w:r>
        <w:rPr>
          <w:rFonts w:ascii="Consolas" w:hAnsi="Consolas"/>
          <w:b w:val="0"/>
          <w:color w:val="6B4116"/>
          <w:sz w:val="19"/>
        </w:rPr>
        <w:t>evaluation/cost_tracker.py</w:t>
      </w:r>
      <w:r>
        <w:rPr>
          <w:color w:val="23201A"/>
          <w:sz w:val="21"/>
        </w:rPr>
        <w:t xml:space="preserve"> holds a static per-model USD-per-1K-token pricing table covering Claude (direct and Bedrock ARNs), GPT-4o/4o-mini/4.1, and free self-hosted embedding/cross-encoder models. cost_for(model, prompt_tokens, completion_tokens) computes per-call cost; unknown models silently default to zero cost, so the table is the single place to keep current when pricing changes. CostSummary aggregates running totals — cost per query, average and p90/p99 latency — across a batch.</w:t>
      </w:r>
    </w:p>
    <w:p/>
    <w:p>
      <w:pPr>
        <w:spacing w:before="400"/>
      </w:pPr>
      <w:r>
        <w:rPr>
          <w:rFonts w:ascii="Consolas" w:hAnsi="Consolas"/>
          <w:b w:val="0"/>
          <w:color w:val="8A8370"/>
          <w:sz w:val="15"/>
        </w:rPr>
        <w:t>financial-data-ingestion-pipeline · src/financial_pipeline/ · reference compiled from source, file:line citations verified against the working tree at compile time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7" w:lineRule="auto"/>
    </w:pPr>
    <w:rPr>
      <w:rFonts w:ascii="Calibri" w:hAnsi="Calibri"/>
      <w:color w:val="2320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