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595959"/>
          <w:sz w:val="26"/>
        </w:rPr>
        <w:t>VELDORA STUDIO</w:t>
      </w:r>
    </w:p>
    <w:p>
      <w:pPr>
        <w:jc w:val="center"/>
      </w:pPr>
      <w:r>
        <w:rPr>
          <w:b/>
          <w:color w:val="1F4E79"/>
          <w:sz w:val="52"/>
        </w:rPr>
        <w:t>Development Proposal</w:t>
      </w:r>
    </w:p>
    <w:p>
      <w:pPr>
        <w:jc w:val="center"/>
      </w:pPr>
      <w:r>
        <w:rPr>
          <w:color w:val="595959"/>
          <w:sz w:val="28"/>
        </w:rPr>
        <w:t>Weather Monitoring and Alerting System — Sydney Metro M1 Line</w:t>
      </w:r>
    </w:p>
    <w:p>
      <w:r>
        <w:rPr>
          <w:i/>
        </w:rPr>
        <w:t>In response to the Technical Proposal for Weather Monitoring, Sydney Metro M1 (OBS-MTS-M1-WX-2026-01, Rev A, 22 July 2026)</w:t>
      </w:r>
    </w:p>
    <w:tbl>
      <w:tblPr>
        <w:tblStyle w:val="TableGrid"/>
        <w:tblW w:type="auto" w:w="0"/>
        <w:tblLayout w:type="fixed"/>
        <w:tblLook w:firstColumn="1" w:firstRow="1" w:lastColumn="0" w:lastRow="0" w:noHBand="0" w:noVBand="1" w:val="04A0"/>
        <w:tblLayout w:type="fixed"/>
        <w:tblBorders>
          <w:top w:val="single" w:sz="8" w:color="4F81BD"/>
          <w:left w:val="single" w:sz="8" w:color="4F81BD"/>
          <w:bottom w:val="single" w:sz="8" w:color="4F81BD"/>
          <w:right w:val="single" w:sz="8" w:color="4F81BD"/>
          <w:insideH w:val="single" w:sz="4" w:color="4F81BD"/>
          <w:insideV w:val="single" w:sz="4" w:color="4F81BD"/>
        </w:tblBorders>
      </w:tblPr>
      <w:tblGrid>
        <w:gridCol w:w="2948"/>
        <w:gridCol w:w="6463"/>
      </w:tblGrid>
      <w:tr>
        <w:tc>
          <w:tcPr>
            <w:tcW w:type="dxa" w:w="2948"/>
            <w:shd w:val="clear" w:color="auto" w:fill="D3DFEE"/>
          </w:tcPr>
          <w:p>
            <w:pPr>
              <w:spacing w:after="40"/>
            </w:pPr>
            <w:r>
              <w:rPr>
                <w:b/>
                <w:sz w:val="20"/>
              </w:rPr>
            </w:r>
            <w:r>
              <w:rPr>
                <w:b/>
                <w:sz w:val="20"/>
              </w:rPr>
              <w:t>Submitted by</w:t>
            </w:r>
          </w:p>
        </w:tc>
        <w:tc>
          <w:tcPr>
            <w:tcW w:type="dxa" w:w="6463"/>
            <w:shd w:val="clear" w:color="auto" w:fill="D3DFEE"/>
          </w:tcPr>
          <w:p>
            <w:pPr>
              <w:spacing w:after="40"/>
            </w:pPr>
            <w:r>
              <w:rPr>
                <w:b w:val="0"/>
                <w:sz w:val="20"/>
              </w:rPr>
            </w:r>
            <w:r>
              <w:rPr>
                <w:b w:val="0"/>
                <w:sz w:val="20"/>
              </w:rPr>
              <w:t>Veldora Studio</w:t>
            </w:r>
          </w:p>
        </w:tc>
      </w:tr>
      <w:tr>
        <w:tc>
          <w:tcPr>
            <w:tcW w:type="dxa" w:w="2948"/>
          </w:tcPr>
          <w:p>
            <w:pPr>
              <w:spacing w:after="40"/>
            </w:pPr>
            <w:r>
              <w:rPr>
                <w:b/>
                <w:sz w:val="20"/>
              </w:rPr>
            </w:r>
            <w:r>
              <w:rPr>
                <w:b/>
                <w:sz w:val="20"/>
              </w:rPr>
              <w:t>Contact</w:t>
            </w:r>
          </w:p>
        </w:tc>
        <w:tc>
          <w:tcPr>
            <w:tcW w:type="dxa" w:w="6463"/>
          </w:tcPr>
          <w:p>
            <w:pPr>
              <w:spacing w:after="40"/>
            </w:pPr>
            <w:r>
              <w:rPr>
                <w:b w:val="0"/>
                <w:sz w:val="20"/>
              </w:rPr>
            </w:r>
            <w:r>
              <w:rPr>
                <w:b w:val="0"/>
                <w:sz w:val="20"/>
              </w:rPr>
              <w:t>Hassan Ali · hassanali@veldorastudio.com</w:t>
            </w:r>
          </w:p>
        </w:tc>
      </w:tr>
      <w:tr>
        <w:tc>
          <w:tcPr>
            <w:tcW w:type="dxa" w:w="2948"/>
            <w:shd w:val="clear" w:color="auto" w:fill="D3DFEE"/>
          </w:tcPr>
          <w:p>
            <w:pPr>
              <w:spacing w:after="40"/>
            </w:pPr>
            <w:r>
              <w:rPr>
                <w:b/>
                <w:sz w:val="20"/>
              </w:rPr>
            </w:r>
            <w:r>
              <w:rPr>
                <w:b/>
                <w:sz w:val="20"/>
              </w:rPr>
              <w:t>Prepared for</w:t>
            </w:r>
          </w:p>
        </w:tc>
        <w:tc>
          <w:tcPr>
            <w:tcW w:type="dxa" w:w="6463"/>
            <w:shd w:val="clear" w:color="auto" w:fill="D3DFEE"/>
          </w:tcPr>
          <w:p>
            <w:pPr>
              <w:spacing w:after="40"/>
            </w:pPr>
            <w:r>
              <w:rPr>
                <w:b w:val="0"/>
                <w:sz w:val="20"/>
              </w:rPr>
            </w:r>
            <w:r>
              <w:rPr>
                <w:b w:val="0"/>
                <w:sz w:val="20"/>
              </w:rPr>
              <w:t>Observator Instruments (Observator Group)</w:t>
            </w:r>
          </w:p>
        </w:tc>
      </w:tr>
      <w:tr>
        <w:tc>
          <w:tcPr>
            <w:tcW w:type="dxa" w:w="2948"/>
          </w:tcPr>
          <w:p>
            <w:pPr>
              <w:spacing w:after="40"/>
            </w:pPr>
            <w:r>
              <w:rPr>
                <w:b/>
                <w:sz w:val="20"/>
              </w:rPr>
            </w:r>
            <w:r>
              <w:rPr>
                <w:b/>
                <w:sz w:val="20"/>
              </w:rPr>
              <w:t>Scope</w:t>
            </w:r>
          </w:p>
        </w:tc>
        <w:tc>
          <w:tcPr>
            <w:tcW w:type="dxa" w:w="6463"/>
          </w:tcPr>
          <w:p>
            <w:pPr>
              <w:spacing w:after="40"/>
            </w:pPr>
            <w:r>
              <w:rPr>
                <w:b w:val="0"/>
                <w:sz w:val="20"/>
              </w:rPr>
            </w:r>
            <w:r>
              <w:rPr>
                <w:b w:val="0"/>
                <w:sz w:val="20"/>
              </w:rPr>
              <w:t>Ingestion pipeline, central server, web portal and mobile application</w:t>
            </w:r>
          </w:p>
        </w:tc>
      </w:tr>
      <w:tr>
        <w:tc>
          <w:tcPr>
            <w:tcW w:type="dxa" w:w="2948"/>
            <w:shd w:val="clear" w:color="auto" w:fill="D3DFEE"/>
          </w:tcPr>
          <w:p>
            <w:pPr>
              <w:spacing w:after="40"/>
            </w:pPr>
            <w:r>
              <w:rPr>
                <w:b/>
                <w:sz w:val="20"/>
              </w:rPr>
            </w:r>
            <w:r>
              <w:rPr>
                <w:b/>
                <w:sz w:val="20"/>
              </w:rPr>
              <w:t>Duration</w:t>
            </w:r>
          </w:p>
        </w:tc>
        <w:tc>
          <w:tcPr>
            <w:tcW w:type="dxa" w:w="6463"/>
            <w:shd w:val="clear" w:color="auto" w:fill="D3DFEE"/>
          </w:tcPr>
          <w:p>
            <w:pPr>
              <w:spacing w:after="40"/>
            </w:pPr>
            <w:r>
              <w:rPr>
                <w:b w:val="0"/>
                <w:sz w:val="20"/>
              </w:rPr>
            </w:r>
            <w:r>
              <w:rPr>
                <w:b w:val="0"/>
                <w:sz w:val="20"/>
              </w:rPr>
              <w:t>10 months from kickoff</w:t>
            </w:r>
          </w:p>
        </w:tc>
      </w:tr>
      <w:tr>
        <w:tc>
          <w:tcPr>
            <w:tcW w:type="dxa" w:w="2948"/>
          </w:tcPr>
          <w:p>
            <w:pPr>
              <w:spacing w:after="40"/>
            </w:pPr>
            <w:r>
              <w:rPr>
                <w:b/>
                <w:sz w:val="20"/>
              </w:rPr>
            </w:r>
            <w:r>
              <w:rPr>
                <w:b/>
                <w:sz w:val="20"/>
              </w:rPr>
              <w:t>Proposal reference</w:t>
            </w:r>
          </w:p>
        </w:tc>
        <w:tc>
          <w:tcPr>
            <w:tcW w:type="dxa" w:w="6463"/>
          </w:tcPr>
          <w:p>
            <w:pPr>
              <w:spacing w:after="40"/>
            </w:pPr>
            <w:r>
              <w:rPr>
                <w:b w:val="0"/>
                <w:sz w:val="20"/>
              </w:rPr>
            </w:r>
            <w:r>
              <w:rPr>
                <w:b w:val="0"/>
                <w:sz w:val="20"/>
              </w:rPr>
              <w:t>VS-OBS-MTS-M1-2026-01</w:t>
            </w:r>
          </w:p>
        </w:tc>
      </w:tr>
      <w:tr>
        <w:tc>
          <w:tcPr>
            <w:tcW w:type="dxa" w:w="2948"/>
            <w:shd w:val="clear" w:color="auto" w:fill="D3DFEE"/>
          </w:tcPr>
          <w:p>
            <w:pPr>
              <w:spacing w:after="40"/>
            </w:pPr>
            <w:r>
              <w:rPr>
                <w:b/>
                <w:sz w:val="20"/>
              </w:rPr>
            </w:r>
            <w:r>
              <w:rPr>
                <w:b/>
                <w:sz w:val="20"/>
              </w:rPr>
              <w:t>Version / date</w:t>
            </w:r>
          </w:p>
        </w:tc>
        <w:tc>
          <w:tcPr>
            <w:tcW w:type="dxa" w:w="6463"/>
            <w:shd w:val="clear" w:color="auto" w:fill="D3DFEE"/>
          </w:tcPr>
          <w:p>
            <w:pPr>
              <w:spacing w:after="40"/>
            </w:pPr>
            <w:r>
              <w:rPr>
                <w:b w:val="0"/>
                <w:sz w:val="20"/>
              </w:rPr>
            </w:r>
            <w:r>
              <w:rPr>
                <w:b w:val="0"/>
                <w:sz w:val="20"/>
              </w:rPr>
              <w:t>Rev A · 2 September 2026</w:t>
            </w:r>
          </w:p>
        </w:tc>
      </w:tr>
      <w:tr>
        <w:tc>
          <w:tcPr>
            <w:tcW w:type="dxa" w:w="2948"/>
          </w:tcPr>
          <w:p>
            <w:pPr>
              <w:spacing w:after="40"/>
            </w:pPr>
            <w:r>
              <w:rPr>
                <w:b/>
                <w:sz w:val="20"/>
              </w:rPr>
            </w:r>
            <w:r>
              <w:rPr>
                <w:b/>
                <w:sz w:val="20"/>
              </w:rPr>
              <w:t>Status</w:t>
            </w:r>
          </w:p>
        </w:tc>
        <w:tc>
          <w:tcPr>
            <w:tcW w:type="dxa" w:w="6463"/>
          </w:tcPr>
          <w:p>
            <w:pPr>
              <w:spacing w:after="40"/>
            </w:pPr>
            <w:r>
              <w:rPr>
                <w:b w:val="0"/>
                <w:sz w:val="20"/>
              </w:rPr>
            </w:r>
            <w:r>
              <w:rPr>
                <w:b w:val="0"/>
                <w:sz w:val="20"/>
              </w:rPr>
              <w:t>Commercial-in-confidence</w:t>
            </w:r>
          </w:p>
        </w:tc>
      </w:tr>
    </w:tbl>
    <w:p/>
    <w:p>
      <w:r>
        <w:br w:type="page"/>
      </w:r>
    </w:p>
    <w:p>
      <w:pPr>
        <w:pStyle w:val="Heading1"/>
      </w:pPr>
      <w:r>
        <w:t>Contents</w:t>
      </w:r>
    </w:p>
    <w:p>
      <w:pPr>
        <w:tabs>
          <w:tab w:pos="9411" w:val="right" w:leader="dot"/>
        </w:tabs>
        <w:spacing w:after="80"/>
      </w:pPr>
      <w:r>
        <w:rPr>
          <w:sz w:val="21"/>
        </w:rPr>
        <w:t>1. What we are building</w:t>
      </w:r>
      <w:r>
        <w:rPr>
          <w:sz w:val="21"/>
        </w:rPr>
        <w:tab/>
        <w:t>3</w:t>
      </w:r>
    </w:p>
    <w:p>
      <w:pPr>
        <w:tabs>
          <w:tab w:pos="9411" w:val="right" w:leader="dot"/>
        </w:tabs>
        <w:spacing w:after="80"/>
      </w:pPr>
      <w:r>
        <w:rPr>
          <w:sz w:val="21"/>
        </w:rPr>
        <w:t>2. The seven stations</w:t>
      </w:r>
      <w:r>
        <w:rPr>
          <w:sz w:val="21"/>
        </w:rPr>
        <w:tab/>
        <w:t>3</w:t>
      </w:r>
    </w:p>
    <w:p>
      <w:pPr>
        <w:tabs>
          <w:tab w:pos="9411" w:val="right" w:leader="dot"/>
        </w:tabs>
        <w:spacing w:after="80"/>
      </w:pPr>
      <w:r>
        <w:rPr>
          <w:sz w:val="21"/>
        </w:rPr>
        <w:t>3. Data rate — and why it drives the architecture</w:t>
      </w:r>
      <w:r>
        <w:rPr>
          <w:sz w:val="21"/>
        </w:rPr>
        <w:tab/>
        <w:t>3</w:t>
      </w:r>
    </w:p>
    <w:p>
      <w:pPr>
        <w:tabs>
          <w:tab w:pos="9411" w:val="right" w:leader="dot"/>
        </w:tabs>
        <w:spacing w:after="80"/>
      </w:pPr>
      <w:r>
        <w:rPr>
          <w:sz w:val="21"/>
        </w:rPr>
        <w:t>4. Ingestion — the part that must never lose data</w:t>
      </w:r>
      <w:r>
        <w:rPr>
          <w:sz w:val="21"/>
        </w:rPr>
        <w:tab/>
        <w:t>4</w:t>
      </w:r>
    </w:p>
    <w:p>
      <w:pPr>
        <w:tabs>
          <w:tab w:pos="9411" w:val="right" w:leader="dot"/>
        </w:tabs>
        <w:spacing w:after="80"/>
      </w:pPr>
      <w:r>
        <w:rPr>
          <w:sz w:val="21"/>
        </w:rPr>
        <w:t>5. Security</w:t>
      </w:r>
      <w:r>
        <w:rPr>
          <w:sz w:val="21"/>
        </w:rPr>
        <w:tab/>
        <w:t>5</w:t>
      </w:r>
    </w:p>
    <w:p>
      <w:pPr>
        <w:tabs>
          <w:tab w:pos="9411" w:val="right" w:leader="dot"/>
        </w:tabs>
        <w:spacing w:after="80"/>
      </w:pPr>
      <w:r>
        <w:rPr>
          <w:sz w:val="21"/>
        </w:rPr>
        <w:t>6. Performance — millions of records without slowing down</w:t>
      </w:r>
      <w:r>
        <w:rPr>
          <w:sz w:val="21"/>
        </w:rPr>
        <w:tab/>
        <w:t>6</w:t>
      </w:r>
    </w:p>
    <w:p>
      <w:pPr>
        <w:tabs>
          <w:tab w:pos="9411" w:val="right" w:leader="dot"/>
        </w:tabs>
        <w:spacing w:after="80"/>
      </w:pPr>
      <w:r>
        <w:rPr>
          <w:sz w:val="21"/>
        </w:rPr>
        <w:t>7. The alert engine</w:t>
      </w:r>
      <w:r>
        <w:rPr>
          <w:sz w:val="21"/>
        </w:rPr>
        <w:tab/>
        <w:t>6</w:t>
      </w:r>
    </w:p>
    <w:p>
      <w:pPr>
        <w:tabs>
          <w:tab w:pos="9411" w:val="right" w:leader="dot"/>
        </w:tabs>
        <w:spacing w:after="80"/>
      </w:pPr>
      <w:r>
        <w:rPr>
          <w:sz w:val="21"/>
        </w:rPr>
        <w:t>8. The web portal</w:t>
      </w:r>
      <w:r>
        <w:rPr>
          <w:sz w:val="21"/>
        </w:rPr>
        <w:tab/>
        <w:t>7</w:t>
      </w:r>
    </w:p>
    <w:p>
      <w:pPr>
        <w:tabs>
          <w:tab w:pos="9411" w:val="right" w:leader="dot"/>
        </w:tabs>
        <w:spacing w:after="80"/>
      </w:pPr>
      <w:r>
        <w:rPr>
          <w:sz w:val="21"/>
        </w:rPr>
        <w:t>9. The mobile application</w:t>
      </w:r>
      <w:r>
        <w:rPr>
          <w:sz w:val="21"/>
        </w:rPr>
        <w:tab/>
        <w:t>8</w:t>
      </w:r>
    </w:p>
    <w:p>
      <w:pPr>
        <w:tabs>
          <w:tab w:pos="9411" w:val="right" w:leader="dot"/>
        </w:tabs>
        <w:spacing w:after="80"/>
      </w:pPr>
      <w:r>
        <w:rPr>
          <w:sz w:val="21"/>
        </w:rPr>
        <w:t>10. Month-by-month plan</w:t>
      </w:r>
      <w:r>
        <w:rPr>
          <w:sz w:val="21"/>
        </w:rPr>
        <w:tab/>
        <w:t>9</w:t>
      </w:r>
    </w:p>
    <w:p>
      <w:pPr>
        <w:tabs>
          <w:tab w:pos="9411" w:val="right" w:leader="dot"/>
        </w:tabs>
        <w:spacing w:after="80"/>
      </w:pPr>
      <w:r>
        <w:rPr>
          <w:sz w:val="21"/>
        </w:rPr>
        <w:t>11. Requirement traceability</w:t>
      </w:r>
      <w:r>
        <w:rPr>
          <w:sz w:val="21"/>
        </w:rPr>
        <w:tab/>
        <w:t>11</w:t>
      </w:r>
    </w:p>
    <w:p>
      <w:pPr>
        <w:tabs>
          <w:tab w:pos="9411" w:val="right" w:leader="dot"/>
        </w:tabs>
        <w:spacing w:after="80"/>
      </w:pPr>
      <w:r>
        <w:rPr>
          <w:sz w:val="21"/>
        </w:rPr>
        <w:t>12. What we need from you</w:t>
      </w:r>
      <w:r>
        <w:rPr>
          <w:sz w:val="21"/>
        </w:rPr>
        <w:tab/>
        <w:t>12</w:t>
      </w:r>
    </w:p>
    <w:p>
      <w:pPr>
        <w:tabs>
          <w:tab w:pos="9411" w:val="right" w:leader="dot"/>
        </w:tabs>
        <w:spacing w:after="80"/>
      </w:pPr>
      <w:r>
        <w:rPr>
          <w:sz w:val="21"/>
        </w:rPr>
        <w:t>13. Assumptions</w:t>
      </w:r>
      <w:r>
        <w:rPr>
          <w:sz w:val="21"/>
        </w:rPr>
        <w:tab/>
        <w:t>12</w:t>
      </w:r>
    </w:p>
    <w:p>
      <w:pPr>
        <w:tabs>
          <w:tab w:pos="9411" w:val="right" w:leader="dot"/>
        </w:tabs>
        <w:spacing w:after="80"/>
      </w:pPr>
      <w:r>
        <w:rPr>
          <w:sz w:val="21"/>
        </w:rPr>
        <w:t>14. Ways of working</w:t>
      </w:r>
      <w:r>
        <w:rPr>
          <w:sz w:val="21"/>
        </w:rPr>
        <w:tab/>
        <w:t>13</w:t>
      </w:r>
    </w:p>
    <w:p>
      <w:pPr>
        <w:tabs>
          <w:tab w:pos="9411" w:val="right" w:leader="dot"/>
        </w:tabs>
        <w:spacing w:after="80"/>
      </w:pPr>
      <w:r>
        <w:rPr>
          <w:sz w:val="21"/>
        </w:rPr>
        <w:t>15. Acceptance criteria</w:t>
      </w:r>
      <w:r>
        <w:rPr>
          <w:sz w:val="21"/>
        </w:rPr>
        <w:tab/>
        <w:t>13</w:t>
      </w:r>
    </w:p>
    <w:p>
      <w:pPr>
        <w:tabs>
          <w:tab w:pos="9411" w:val="right" w:leader="dot"/>
        </w:tabs>
        <w:spacing w:after="80"/>
      </w:pPr>
      <w:r>
        <w:rPr>
          <w:sz w:val="21"/>
        </w:rPr>
        <w:t>16. In short</w:t>
      </w:r>
      <w:r>
        <w:rPr>
          <w:sz w:val="21"/>
        </w:rPr>
        <w:tab/>
        <w:t>13</w:t>
      </w:r>
    </w:p>
    <w:p/>
    <w:p>
      <w:r>
        <w:br w:type="page"/>
      </w:r>
    </w:p>
    <w:p>
      <w:pPr>
        <w:pStyle w:val="Heading2"/>
      </w:pPr>
      <w:r>
        <w:t>1. What we are building</w:t>
      </w:r>
    </w:p>
    <w:p>
      <w:r>
        <w:t>A complete monitoring and alerting platform for seven trackside weather stations on the Sydney Metro M1 line, covering rainfall, flood water level, temperature, humidity and wind — plus supervised control of the trackside flood pumps at Marrickville.</w:t>
      </w:r>
    </w:p>
    <w:p>
      <w:r>
        <w:t xml:space="preserve">This is a </w:t>
      </w:r>
      <w:r>
        <w:rPr>
          <w:b/>
        </w:rPr>
        <w:t>safety-critical rail system</w:t>
      </w:r>
      <w:r>
        <w:t xml:space="preserve">. Its alerts trigger front-of-train patrols, temporary speed restrictions, and blocking of the line. The engineering standard throughout is that </w:t>
      </w:r>
      <w:r>
        <w:rPr>
          <w:b/>
        </w:rPr>
        <w:t>no reading is ever lost and no alert is ever missed</w:t>
      </w:r>
      <w:r>
        <w:t>, and that every design decision can be explained in those terms.</w:t>
      </w:r>
    </w:p>
    <w:p>
      <w:pPr>
        <w:pStyle w:val="Heading3"/>
      </w:pPr>
      <w:r>
        <w:t>The four deliverables</w:t>
      </w:r>
    </w:p>
    <w:tbl>
      <w:tblPr>
        <w:tblStyle w:val="TableGrid"/>
        <w:tblW w:type="auto" w:w="0"/>
        <w:tblLayout w:type="fixed"/>
        <w:tblLook w:firstColumn="1" w:firstRow="1" w:lastColumn="0" w:lastRow="0" w:noHBand="0" w:noVBand="1" w:val="04A0"/>
        <w:tblLayout w:type="fixed"/>
        <w:tblLayout w:type="fixed"/>
        <w:tblBorders>
          <w:top w:val="single" w:sz="8" w:color="4F81BD"/>
          <w:left w:val="single" w:sz="8" w:color="4F81BD"/>
          <w:bottom w:val="single" w:sz="8" w:color="4F81BD"/>
          <w:right w:val="single" w:sz="8" w:color="4F81BD"/>
          <w:insideH w:val="single" w:sz="4" w:color="4F81BD"/>
          <w:insideV w:val="single" w:sz="4" w:color="4F81BD"/>
        </w:tblBorders>
      </w:tblPr>
      <w:tblGrid>
        <w:gridCol w:w="850"/>
        <w:gridCol w:w="4943"/>
        <w:gridCol w:w="3617"/>
      </w:tblGrid>
      <w:tr>
        <w:tc>
          <w:tcPr>
            <w:tcW w:type="dxa" w:w="850"/>
          </w:tcPr>
          <w:p>
            <w:pPr>
              <w:spacing w:after="40"/>
            </w:pPr>
            <w:r>
              <w:rPr>
                <w:b/>
                <w:sz w:val="18"/>
              </w:rPr>
            </w:r>
            <w:r>
              <w:rPr>
                <w:b/>
                <w:sz w:val="18"/>
              </w:rPr>
              <w:t>#</w:t>
            </w:r>
          </w:p>
        </w:tc>
        <w:tc>
          <w:tcPr>
            <w:tcW w:type="dxa" w:w="4943"/>
          </w:tcPr>
          <w:p>
            <w:pPr>
              <w:spacing w:after="40"/>
            </w:pPr>
            <w:r>
              <w:rPr>
                <w:b/>
                <w:sz w:val="18"/>
              </w:rPr>
            </w:r>
            <w:r>
              <w:rPr>
                <w:b/>
                <w:sz w:val="18"/>
              </w:rPr>
              <w:t>Deliverable</w:t>
            </w:r>
          </w:p>
        </w:tc>
        <w:tc>
          <w:tcPr>
            <w:tcW w:type="dxa" w:w="3617"/>
          </w:tcPr>
          <w:p>
            <w:pPr>
              <w:spacing w:after="40"/>
            </w:pPr>
            <w:r>
              <w:rPr>
                <w:b/>
                <w:sz w:val="18"/>
              </w:rPr>
            </w:r>
            <w:r>
              <w:rPr>
                <w:b/>
                <w:sz w:val="18"/>
              </w:rPr>
              <w:t>Technology</w:t>
            </w:r>
          </w:p>
        </w:tc>
      </w:tr>
      <w:tr>
        <w:tc>
          <w:tcPr>
            <w:tcW w:type="dxa" w:w="850"/>
            <w:shd w:val="clear" w:color="auto" w:fill="D3DFEE"/>
          </w:tcPr>
          <w:p>
            <w:pPr>
              <w:spacing w:after="40"/>
            </w:pPr>
            <w:r>
              <w:rPr>
                <w:b/>
                <w:sz w:val="18"/>
              </w:rPr>
            </w:r>
            <w:r>
              <w:rPr>
                <w:b/>
                <w:sz w:val="18"/>
              </w:rPr>
              <w:t>1</w:t>
            </w:r>
          </w:p>
        </w:tc>
        <w:tc>
          <w:tcPr>
            <w:tcW w:type="dxa" w:w="4943"/>
            <w:shd w:val="clear" w:color="auto" w:fill="D3DFEE"/>
          </w:tcPr>
          <w:p>
            <w:pPr>
              <w:spacing w:after="40"/>
            </w:pPr>
            <w:r>
              <w:rPr>
                <w:sz w:val="18"/>
              </w:rPr>
            </w:r>
            <w:r>
              <w:rPr>
                <w:b/>
                <w:sz w:val="18"/>
              </w:rPr>
              <w:t>Ingestion pipeline</w:t>
            </w:r>
            <w:r>
              <w:rPr>
                <w:sz w:val="18"/>
              </w:rPr>
              <w:t xml:space="preserve"> — from the trackside logger to the database, losing nothing</w:t>
            </w:r>
          </w:p>
        </w:tc>
        <w:tc>
          <w:tcPr>
            <w:tcW w:type="dxa" w:w="3617"/>
            <w:shd w:val="clear" w:color="auto" w:fill="D3DFEE"/>
          </w:tcPr>
          <w:p>
            <w:pPr>
              <w:spacing w:after="40"/>
            </w:pPr>
            <w:r>
              <w:rPr>
                <w:sz w:val="18"/>
              </w:rPr>
            </w:r>
            <w:r>
              <w:rPr>
                <w:sz w:val="18"/>
              </w:rPr>
              <w:t xml:space="preserve">Secure agent on AWS Lightsail → </w:t>
            </w:r>
            <w:r>
              <w:rPr>
                <w:b/>
                <w:sz w:val="18"/>
              </w:rPr>
              <w:t>AWS SQS</w:t>
            </w:r>
            <w:r>
              <w:rPr>
                <w:sz w:val="18"/>
              </w:rPr>
              <w:t xml:space="preserve"> → NestJS workers</w:t>
            </w:r>
          </w:p>
        </w:tc>
      </w:tr>
      <w:tr>
        <w:tc>
          <w:tcPr>
            <w:tcW w:type="dxa" w:w="850"/>
          </w:tcPr>
          <w:p>
            <w:pPr>
              <w:spacing w:after="40"/>
            </w:pPr>
            <w:r>
              <w:rPr>
                <w:b/>
                <w:sz w:val="18"/>
              </w:rPr>
            </w:r>
            <w:r>
              <w:rPr>
                <w:b/>
                <w:sz w:val="18"/>
              </w:rPr>
              <w:t>2</w:t>
            </w:r>
          </w:p>
        </w:tc>
        <w:tc>
          <w:tcPr>
            <w:tcW w:type="dxa" w:w="4943"/>
          </w:tcPr>
          <w:p>
            <w:pPr>
              <w:spacing w:after="40"/>
            </w:pPr>
            <w:r>
              <w:rPr>
                <w:sz w:val="18"/>
              </w:rPr>
            </w:r>
            <w:r>
              <w:rPr>
                <w:b/>
                <w:sz w:val="18"/>
              </w:rPr>
              <w:t>Central server</w:t>
            </w:r>
            <w:r>
              <w:rPr>
                <w:sz w:val="18"/>
              </w:rPr>
              <w:t xml:space="preserve"> — storage, alert engine, API</w:t>
            </w:r>
          </w:p>
        </w:tc>
        <w:tc>
          <w:tcPr>
            <w:tcW w:type="dxa" w:w="3617"/>
          </w:tcPr>
          <w:p>
            <w:pPr>
              <w:spacing w:after="40"/>
            </w:pPr>
            <w:r>
              <w:rPr>
                <w:sz w:val="18"/>
              </w:rPr>
            </w:r>
            <w:r>
              <w:rPr>
                <w:b/>
                <w:sz w:val="18"/>
              </w:rPr>
              <w:t>NestJS</w:t>
            </w:r>
            <w:r>
              <w:rPr>
                <w:sz w:val="18"/>
              </w:rPr>
              <w:t xml:space="preserve"> (TypeScript), MongoDB, Redis</w:t>
            </w:r>
          </w:p>
        </w:tc>
      </w:tr>
      <w:tr>
        <w:tc>
          <w:tcPr>
            <w:tcW w:type="dxa" w:w="850"/>
            <w:shd w:val="clear" w:color="auto" w:fill="D3DFEE"/>
          </w:tcPr>
          <w:p>
            <w:pPr>
              <w:spacing w:after="40"/>
            </w:pPr>
            <w:r>
              <w:rPr>
                <w:b/>
                <w:sz w:val="18"/>
              </w:rPr>
            </w:r>
            <w:r>
              <w:rPr>
                <w:b/>
                <w:sz w:val="18"/>
              </w:rPr>
              <w:t>3</w:t>
            </w:r>
          </w:p>
        </w:tc>
        <w:tc>
          <w:tcPr>
            <w:tcW w:type="dxa" w:w="4943"/>
            <w:shd w:val="clear" w:color="auto" w:fill="D3DFEE"/>
          </w:tcPr>
          <w:p>
            <w:pPr>
              <w:spacing w:after="40"/>
            </w:pPr>
            <w:r>
              <w:rPr>
                <w:sz w:val="18"/>
              </w:rPr>
            </w:r>
            <w:r>
              <w:rPr>
                <w:b/>
                <w:sz w:val="18"/>
              </w:rPr>
              <w:t>Web portal</w:t>
            </w:r>
            <w:r>
              <w:rPr>
                <w:sz w:val="18"/>
              </w:rPr>
              <w:t xml:space="preserve"> — map, trends, station and pump screens</w:t>
            </w:r>
          </w:p>
        </w:tc>
        <w:tc>
          <w:tcPr>
            <w:tcW w:type="dxa" w:w="3617"/>
            <w:shd w:val="clear" w:color="auto" w:fill="D3DFEE"/>
          </w:tcPr>
          <w:p>
            <w:pPr>
              <w:spacing w:after="40"/>
            </w:pPr>
            <w:r>
              <w:rPr>
                <w:sz w:val="18"/>
              </w:rPr>
            </w:r>
            <w:r>
              <w:rPr>
                <w:b/>
                <w:sz w:val="18"/>
              </w:rPr>
              <w:t>Next.js</w:t>
            </w:r>
            <w:r>
              <w:rPr>
                <w:sz w:val="18"/>
              </w:rPr>
              <w:t xml:space="preserve"> (TypeScript), responsive</w:t>
            </w:r>
          </w:p>
        </w:tc>
      </w:tr>
      <w:tr>
        <w:tc>
          <w:tcPr>
            <w:tcW w:type="dxa" w:w="850"/>
          </w:tcPr>
          <w:p>
            <w:pPr>
              <w:spacing w:after="40"/>
            </w:pPr>
            <w:r>
              <w:rPr>
                <w:b/>
                <w:sz w:val="18"/>
              </w:rPr>
            </w:r>
            <w:r>
              <w:rPr>
                <w:b/>
                <w:sz w:val="18"/>
              </w:rPr>
              <w:t>4</w:t>
            </w:r>
          </w:p>
        </w:tc>
        <w:tc>
          <w:tcPr>
            <w:tcW w:type="dxa" w:w="4943"/>
          </w:tcPr>
          <w:p>
            <w:pPr>
              <w:spacing w:after="40"/>
            </w:pPr>
            <w:r>
              <w:rPr>
                <w:sz w:val="18"/>
              </w:rPr>
            </w:r>
            <w:r>
              <w:rPr>
                <w:b/>
                <w:sz w:val="18"/>
              </w:rPr>
              <w:t>Mobile application</w:t>
            </w:r>
            <w:r>
              <w:rPr>
                <w:sz w:val="18"/>
              </w:rPr>
              <w:t xml:space="preserve"> — native iOS and Android</w:t>
            </w:r>
          </w:p>
        </w:tc>
        <w:tc>
          <w:tcPr>
            <w:tcW w:type="dxa" w:w="3617"/>
          </w:tcPr>
          <w:p>
            <w:pPr>
              <w:spacing w:after="40"/>
            </w:pPr>
            <w:r>
              <w:rPr>
                <w:sz w:val="18"/>
              </w:rPr>
            </w:r>
            <w:r>
              <w:rPr>
                <w:b/>
                <w:sz w:val="18"/>
              </w:rPr>
              <w:t>Flutter</w:t>
            </w:r>
          </w:p>
        </w:tc>
      </w:tr>
    </w:tbl>
    <w:p/>
    <w:p>
      <w:pPr>
        <w:pStyle w:val="Heading2"/>
      </w:pPr>
      <w:r>
        <w:t>2. The seven stations</w:t>
      </w:r>
    </w:p>
    <w:p>
      <w:r>
        <w:t>Each station carries only the sensors its location requires.</w:t>
      </w:r>
    </w:p>
    <w:tbl>
      <w:tblPr>
        <w:tblStyle w:val="TableGrid"/>
        <w:tblW w:type="auto" w:w="0"/>
        <w:tblLayout w:type="fixed"/>
        <w:tblLook w:firstColumn="1" w:firstRow="1" w:lastColumn="0" w:lastRow="0" w:noHBand="0" w:noVBand="1" w:val="04A0"/>
        <w:tblLayout w:type="fixed"/>
        <w:tblLayout w:type="fixed"/>
        <w:tblBorders>
          <w:top w:val="single" w:sz="8" w:color="4F81BD"/>
          <w:left w:val="single" w:sz="8" w:color="4F81BD"/>
          <w:bottom w:val="single" w:sz="8" w:color="4F81BD"/>
          <w:right w:val="single" w:sz="8" w:color="4F81BD"/>
          <w:insideH w:val="single" w:sz="4" w:color="4F81BD"/>
          <w:insideV w:val="single" w:sz="4" w:color="4F81BD"/>
        </w:tblBorders>
      </w:tblPr>
      <w:tblGrid>
        <w:gridCol w:w="850"/>
        <w:gridCol w:w="2182"/>
        <w:gridCol w:w="850"/>
        <w:gridCol w:w="960"/>
        <w:gridCol w:w="1047"/>
        <w:gridCol w:w="1309"/>
        <w:gridCol w:w="850"/>
        <w:gridCol w:w="1361"/>
      </w:tblGrid>
      <w:tr>
        <w:tc>
          <w:tcPr>
            <w:tcW w:type="dxa" w:w="850"/>
          </w:tcPr>
          <w:p>
            <w:pPr>
              <w:spacing w:after="40"/>
            </w:pPr>
            <w:r>
              <w:rPr>
                <w:b/>
                <w:sz w:val="18"/>
              </w:rPr>
            </w:r>
            <w:r>
              <w:rPr>
                <w:b/>
                <w:sz w:val="18"/>
              </w:rPr>
              <w:t>#</w:t>
            </w:r>
          </w:p>
        </w:tc>
        <w:tc>
          <w:tcPr>
            <w:tcW w:type="dxa" w:w="2182"/>
          </w:tcPr>
          <w:p>
            <w:pPr>
              <w:spacing w:after="40"/>
            </w:pPr>
            <w:r>
              <w:rPr>
                <w:b/>
                <w:sz w:val="18"/>
              </w:rPr>
            </w:r>
            <w:r>
              <w:rPr>
                <w:b/>
                <w:sz w:val="18"/>
              </w:rPr>
              <w:t>Location</w:t>
            </w:r>
          </w:p>
        </w:tc>
        <w:tc>
          <w:tcPr>
            <w:tcW w:type="dxa" w:w="850"/>
          </w:tcPr>
          <w:p>
            <w:pPr>
              <w:spacing w:after="40"/>
            </w:pPr>
            <w:r>
              <w:rPr>
                <w:b/>
                <w:sz w:val="18"/>
              </w:rPr>
            </w:r>
            <w:r>
              <w:rPr>
                <w:b/>
                <w:sz w:val="18"/>
              </w:rPr>
              <w:t>Rain</w:t>
            </w:r>
          </w:p>
        </w:tc>
        <w:tc>
          <w:tcPr>
            <w:tcW w:type="dxa" w:w="960"/>
          </w:tcPr>
          <w:p>
            <w:pPr>
              <w:spacing w:after="40"/>
            </w:pPr>
            <w:r>
              <w:rPr>
                <w:b/>
                <w:sz w:val="18"/>
              </w:rPr>
            </w:r>
            <w:r>
              <w:rPr>
                <w:b/>
                <w:sz w:val="18"/>
              </w:rPr>
              <w:t>Water level</w:t>
            </w:r>
          </w:p>
        </w:tc>
        <w:tc>
          <w:tcPr>
            <w:tcW w:type="dxa" w:w="1047"/>
          </w:tcPr>
          <w:p>
            <w:pPr>
              <w:spacing w:after="40"/>
            </w:pPr>
            <w:r>
              <w:rPr>
                <w:b/>
                <w:sz w:val="18"/>
              </w:rPr>
            </w:r>
            <w:r>
              <w:rPr>
                <w:b/>
                <w:sz w:val="18"/>
              </w:rPr>
              <w:t>Float switch</w:t>
            </w:r>
          </w:p>
        </w:tc>
        <w:tc>
          <w:tcPr>
            <w:tcW w:type="dxa" w:w="1309"/>
          </w:tcPr>
          <w:p>
            <w:pPr>
              <w:spacing w:after="40"/>
            </w:pPr>
            <w:r>
              <w:rPr>
                <w:b/>
                <w:sz w:val="18"/>
              </w:rPr>
            </w:r>
            <w:r>
              <w:rPr>
                <w:b/>
                <w:sz w:val="18"/>
              </w:rPr>
              <w:t>Temp / Humidity</w:t>
            </w:r>
          </w:p>
        </w:tc>
        <w:tc>
          <w:tcPr>
            <w:tcW w:type="dxa" w:w="850"/>
          </w:tcPr>
          <w:p>
            <w:pPr>
              <w:spacing w:after="40"/>
            </w:pPr>
            <w:r>
              <w:rPr>
                <w:b/>
                <w:sz w:val="18"/>
              </w:rPr>
            </w:r>
            <w:r>
              <w:rPr>
                <w:b/>
                <w:sz w:val="18"/>
              </w:rPr>
              <w:t>Wind</w:t>
            </w:r>
          </w:p>
        </w:tc>
        <w:tc>
          <w:tcPr>
            <w:tcW w:type="dxa" w:w="1361"/>
          </w:tcPr>
          <w:p>
            <w:pPr>
              <w:spacing w:after="40"/>
            </w:pPr>
            <w:r>
              <w:rPr>
                <w:b/>
                <w:sz w:val="18"/>
              </w:rPr>
            </w:r>
            <w:r>
              <w:rPr>
                <w:b/>
                <w:sz w:val="18"/>
              </w:rPr>
              <w:t>Pumps</w:t>
            </w:r>
          </w:p>
        </w:tc>
      </w:tr>
      <w:tr>
        <w:tc>
          <w:tcPr>
            <w:tcW w:type="dxa" w:w="850"/>
            <w:shd w:val="clear" w:color="auto" w:fill="D3DFEE"/>
          </w:tcPr>
          <w:p>
            <w:pPr>
              <w:spacing w:after="40"/>
            </w:pPr>
            <w:r>
              <w:rPr>
                <w:b/>
                <w:sz w:val="18"/>
              </w:rPr>
            </w:r>
            <w:r>
              <w:rPr>
                <w:b/>
                <w:sz w:val="18"/>
              </w:rPr>
              <w:t>1</w:t>
            </w:r>
          </w:p>
        </w:tc>
        <w:tc>
          <w:tcPr>
            <w:tcW w:type="dxa" w:w="2182"/>
            <w:shd w:val="clear" w:color="auto" w:fill="D3DFEE"/>
          </w:tcPr>
          <w:p>
            <w:pPr>
              <w:spacing w:after="40"/>
            </w:pPr>
            <w:r>
              <w:rPr>
                <w:sz w:val="18"/>
              </w:rPr>
            </w:r>
            <w:r>
              <w:rPr>
                <w:sz w:val="18"/>
              </w:rPr>
              <w:t>Marrickville</w:t>
            </w:r>
          </w:p>
        </w:tc>
        <w:tc>
          <w:tcPr>
            <w:tcW w:type="dxa" w:w="850"/>
            <w:shd w:val="clear" w:color="auto" w:fill="D3DFEE"/>
          </w:tcPr>
          <w:p>
            <w:pPr>
              <w:spacing w:after="40"/>
            </w:pPr>
            <w:r>
              <w:rPr>
                <w:sz w:val="18"/>
              </w:rPr>
            </w:r>
            <w:r>
              <w:rPr>
                <w:sz w:val="18"/>
              </w:rPr>
              <w:t>✓</w:t>
            </w:r>
          </w:p>
        </w:tc>
        <w:tc>
          <w:tcPr>
            <w:tcW w:type="dxa" w:w="960"/>
            <w:shd w:val="clear" w:color="auto" w:fill="D3DFEE"/>
          </w:tcPr>
          <w:p>
            <w:pPr>
              <w:spacing w:after="40"/>
            </w:pPr>
            <w:r>
              <w:rPr>
                <w:sz w:val="18"/>
              </w:rPr>
            </w:r>
            <w:r>
              <w:rPr>
                <w:sz w:val="18"/>
              </w:rPr>
              <w:t>✓</w:t>
            </w:r>
          </w:p>
        </w:tc>
        <w:tc>
          <w:tcPr>
            <w:tcW w:type="dxa" w:w="1047"/>
            <w:shd w:val="clear" w:color="auto" w:fill="D3DFEE"/>
          </w:tcPr>
          <w:p>
            <w:pPr>
              <w:spacing w:after="40"/>
            </w:pPr>
            <w:r>
              <w:rPr>
                <w:sz w:val="18"/>
              </w:rPr>
            </w:r>
            <w:r>
              <w:rPr>
                <w:sz w:val="18"/>
              </w:rPr>
              <w:t>✓</w:t>
            </w:r>
          </w:p>
        </w:tc>
        <w:tc>
          <w:tcPr>
            <w:tcW w:type="dxa" w:w="1309"/>
            <w:shd w:val="clear" w:color="auto" w:fill="D3DFEE"/>
          </w:tcPr>
          <w:p>
            <w:pPr>
              <w:spacing w:after="40"/>
            </w:pPr>
            <w:r>
              <w:rPr>
                <w:sz w:val="18"/>
              </w:rPr>
            </w:r>
            <w:r>
              <w:rPr>
                <w:sz w:val="18"/>
              </w:rPr>
              <w:t>–</w:t>
            </w:r>
          </w:p>
        </w:tc>
        <w:tc>
          <w:tcPr>
            <w:tcW w:type="dxa" w:w="850"/>
            <w:shd w:val="clear" w:color="auto" w:fill="D3DFEE"/>
          </w:tcPr>
          <w:p>
            <w:pPr>
              <w:spacing w:after="40"/>
            </w:pPr>
            <w:r>
              <w:rPr>
                <w:sz w:val="18"/>
              </w:rPr>
            </w:r>
            <w:r>
              <w:rPr>
                <w:sz w:val="18"/>
              </w:rPr>
              <w:t>–</w:t>
            </w:r>
          </w:p>
        </w:tc>
        <w:tc>
          <w:tcPr>
            <w:tcW w:type="dxa" w:w="1361"/>
            <w:shd w:val="clear" w:color="auto" w:fill="D3DFEE"/>
          </w:tcPr>
          <w:p>
            <w:pPr>
              <w:spacing w:after="40"/>
            </w:pPr>
            <w:r>
              <w:rPr>
                <w:sz w:val="18"/>
              </w:rPr>
            </w:r>
            <w:r>
              <w:rPr>
                <w:b/>
                <w:sz w:val="18"/>
              </w:rPr>
              <w:t>✓</w:t>
            </w:r>
          </w:p>
        </w:tc>
      </w:tr>
      <w:tr>
        <w:tc>
          <w:tcPr>
            <w:tcW w:type="dxa" w:w="850"/>
          </w:tcPr>
          <w:p>
            <w:pPr>
              <w:spacing w:after="40"/>
            </w:pPr>
            <w:r>
              <w:rPr>
                <w:b/>
                <w:sz w:val="18"/>
              </w:rPr>
            </w:r>
            <w:r>
              <w:rPr>
                <w:b/>
                <w:sz w:val="18"/>
              </w:rPr>
              <w:t>2</w:t>
            </w:r>
          </w:p>
        </w:tc>
        <w:tc>
          <w:tcPr>
            <w:tcW w:type="dxa" w:w="2182"/>
          </w:tcPr>
          <w:p>
            <w:pPr>
              <w:spacing w:after="40"/>
            </w:pPr>
            <w:r>
              <w:rPr>
                <w:sz w:val="18"/>
              </w:rPr>
            </w:r>
            <w:r>
              <w:rPr>
                <w:sz w:val="18"/>
              </w:rPr>
              <w:t>Marrickville–Dulwich Hill</w:t>
            </w:r>
          </w:p>
        </w:tc>
        <w:tc>
          <w:tcPr>
            <w:tcW w:type="dxa" w:w="850"/>
          </w:tcPr>
          <w:p>
            <w:pPr>
              <w:spacing w:after="40"/>
            </w:pPr>
            <w:r>
              <w:rPr>
                <w:sz w:val="18"/>
              </w:rPr>
            </w:r>
            <w:r>
              <w:rPr>
                <w:sz w:val="18"/>
              </w:rPr>
              <w:t>–</w:t>
            </w:r>
          </w:p>
        </w:tc>
        <w:tc>
          <w:tcPr>
            <w:tcW w:type="dxa" w:w="960"/>
          </w:tcPr>
          <w:p>
            <w:pPr>
              <w:spacing w:after="40"/>
            </w:pPr>
            <w:r>
              <w:rPr>
                <w:sz w:val="18"/>
              </w:rPr>
            </w:r>
            <w:r>
              <w:rPr>
                <w:sz w:val="18"/>
              </w:rPr>
              <w:t>✓</w:t>
            </w:r>
          </w:p>
        </w:tc>
        <w:tc>
          <w:tcPr>
            <w:tcW w:type="dxa" w:w="1047"/>
          </w:tcPr>
          <w:p>
            <w:pPr>
              <w:spacing w:after="40"/>
            </w:pPr>
            <w:r>
              <w:rPr>
                <w:sz w:val="18"/>
              </w:rPr>
            </w:r>
            <w:r>
              <w:rPr>
                <w:sz w:val="18"/>
              </w:rPr>
              <w:t>✓</w:t>
            </w:r>
          </w:p>
        </w:tc>
        <w:tc>
          <w:tcPr>
            <w:tcW w:type="dxa" w:w="1309"/>
          </w:tcPr>
          <w:p>
            <w:pPr>
              <w:spacing w:after="40"/>
            </w:pPr>
            <w:r>
              <w:rPr>
                <w:sz w:val="18"/>
              </w:rPr>
            </w:r>
            <w:r>
              <w:rPr>
                <w:sz w:val="18"/>
              </w:rPr>
              <w:t>✓</w:t>
            </w:r>
          </w:p>
        </w:tc>
        <w:tc>
          <w:tcPr>
            <w:tcW w:type="dxa" w:w="850"/>
          </w:tcPr>
          <w:p>
            <w:pPr>
              <w:spacing w:after="40"/>
            </w:pPr>
            <w:r>
              <w:rPr>
                <w:sz w:val="18"/>
              </w:rPr>
            </w:r>
            <w:r>
              <w:rPr>
                <w:sz w:val="18"/>
              </w:rPr>
              <w:t>✓</w:t>
            </w:r>
          </w:p>
        </w:tc>
        <w:tc>
          <w:tcPr>
            <w:tcW w:type="dxa" w:w="1361"/>
          </w:tcPr>
          <w:p>
            <w:pPr>
              <w:spacing w:after="40"/>
            </w:pPr>
            <w:r>
              <w:rPr>
                <w:sz w:val="18"/>
              </w:rPr>
            </w:r>
            <w:r>
              <w:rPr>
                <w:sz w:val="18"/>
              </w:rPr>
              <w:t>–</w:t>
            </w:r>
          </w:p>
        </w:tc>
      </w:tr>
      <w:tr>
        <w:tc>
          <w:tcPr>
            <w:tcW w:type="dxa" w:w="850"/>
            <w:shd w:val="clear" w:color="auto" w:fill="D3DFEE"/>
          </w:tcPr>
          <w:p>
            <w:pPr>
              <w:spacing w:after="40"/>
            </w:pPr>
            <w:r>
              <w:rPr>
                <w:b/>
                <w:sz w:val="18"/>
              </w:rPr>
            </w:r>
            <w:r>
              <w:rPr>
                <w:b/>
                <w:sz w:val="18"/>
              </w:rPr>
              <w:t>3</w:t>
            </w:r>
          </w:p>
        </w:tc>
        <w:tc>
          <w:tcPr>
            <w:tcW w:type="dxa" w:w="2182"/>
            <w:shd w:val="clear" w:color="auto" w:fill="D3DFEE"/>
          </w:tcPr>
          <w:p>
            <w:pPr>
              <w:spacing w:after="40"/>
            </w:pPr>
            <w:r>
              <w:rPr>
                <w:sz w:val="18"/>
              </w:rPr>
            </w:r>
            <w:r>
              <w:rPr>
                <w:sz w:val="18"/>
              </w:rPr>
              <w:t>Canterbury</w:t>
            </w:r>
          </w:p>
        </w:tc>
        <w:tc>
          <w:tcPr>
            <w:tcW w:type="dxa" w:w="850"/>
            <w:shd w:val="clear" w:color="auto" w:fill="D3DFEE"/>
          </w:tcPr>
          <w:p>
            <w:pPr>
              <w:spacing w:after="40"/>
            </w:pPr>
            <w:r>
              <w:rPr>
                <w:sz w:val="18"/>
              </w:rPr>
            </w:r>
            <w:r>
              <w:rPr>
                <w:sz w:val="18"/>
              </w:rPr>
              <w:t>–</w:t>
            </w:r>
          </w:p>
        </w:tc>
        <w:tc>
          <w:tcPr>
            <w:tcW w:type="dxa" w:w="960"/>
            <w:shd w:val="clear" w:color="auto" w:fill="D3DFEE"/>
          </w:tcPr>
          <w:p>
            <w:pPr>
              <w:spacing w:after="40"/>
            </w:pPr>
            <w:r>
              <w:rPr>
                <w:sz w:val="18"/>
              </w:rPr>
            </w:r>
            <w:r>
              <w:rPr>
                <w:sz w:val="18"/>
              </w:rPr>
              <w:t>✓</w:t>
            </w:r>
          </w:p>
        </w:tc>
        <w:tc>
          <w:tcPr>
            <w:tcW w:type="dxa" w:w="1047"/>
            <w:shd w:val="clear" w:color="auto" w:fill="D3DFEE"/>
          </w:tcPr>
          <w:p>
            <w:pPr>
              <w:spacing w:after="40"/>
            </w:pPr>
            <w:r>
              <w:rPr>
                <w:sz w:val="18"/>
              </w:rPr>
            </w:r>
            <w:r>
              <w:rPr>
                <w:sz w:val="18"/>
              </w:rPr>
              <w:t>✓</w:t>
            </w:r>
          </w:p>
        </w:tc>
        <w:tc>
          <w:tcPr>
            <w:tcW w:type="dxa" w:w="1309"/>
            <w:shd w:val="clear" w:color="auto" w:fill="D3DFEE"/>
          </w:tcPr>
          <w:p>
            <w:pPr>
              <w:spacing w:after="40"/>
            </w:pPr>
            <w:r>
              <w:rPr>
                <w:sz w:val="18"/>
              </w:rPr>
            </w:r>
            <w:r>
              <w:rPr>
                <w:sz w:val="18"/>
              </w:rPr>
              <w:t>–</w:t>
            </w:r>
          </w:p>
        </w:tc>
        <w:tc>
          <w:tcPr>
            <w:tcW w:type="dxa" w:w="850"/>
            <w:shd w:val="clear" w:color="auto" w:fill="D3DFEE"/>
          </w:tcPr>
          <w:p>
            <w:pPr>
              <w:spacing w:after="40"/>
            </w:pPr>
            <w:r>
              <w:rPr>
                <w:sz w:val="18"/>
              </w:rPr>
            </w:r>
            <w:r>
              <w:rPr>
                <w:sz w:val="18"/>
              </w:rPr>
              <w:t>–</w:t>
            </w:r>
          </w:p>
        </w:tc>
        <w:tc>
          <w:tcPr>
            <w:tcW w:type="dxa" w:w="1361"/>
            <w:shd w:val="clear" w:color="auto" w:fill="D3DFEE"/>
          </w:tcPr>
          <w:p>
            <w:pPr>
              <w:spacing w:after="40"/>
            </w:pPr>
            <w:r>
              <w:rPr>
                <w:sz w:val="18"/>
              </w:rPr>
            </w:r>
            <w:r>
              <w:rPr>
                <w:sz w:val="18"/>
              </w:rPr>
              <w:t>–</w:t>
            </w:r>
          </w:p>
        </w:tc>
      </w:tr>
      <w:tr>
        <w:tc>
          <w:tcPr>
            <w:tcW w:type="dxa" w:w="850"/>
          </w:tcPr>
          <w:p>
            <w:pPr>
              <w:spacing w:after="40"/>
            </w:pPr>
            <w:r>
              <w:rPr>
                <w:b/>
                <w:sz w:val="18"/>
              </w:rPr>
            </w:r>
            <w:r>
              <w:rPr>
                <w:b/>
                <w:sz w:val="18"/>
              </w:rPr>
              <w:t>4</w:t>
            </w:r>
          </w:p>
        </w:tc>
        <w:tc>
          <w:tcPr>
            <w:tcW w:type="dxa" w:w="2182"/>
          </w:tcPr>
          <w:p>
            <w:pPr>
              <w:spacing w:after="40"/>
            </w:pPr>
            <w:r>
              <w:rPr>
                <w:sz w:val="18"/>
              </w:rPr>
            </w:r>
            <w:r>
              <w:rPr>
                <w:sz w:val="18"/>
              </w:rPr>
              <w:t>Campsie</w:t>
            </w:r>
          </w:p>
        </w:tc>
        <w:tc>
          <w:tcPr>
            <w:tcW w:type="dxa" w:w="850"/>
          </w:tcPr>
          <w:p>
            <w:pPr>
              <w:spacing w:after="40"/>
            </w:pPr>
            <w:r>
              <w:rPr>
                <w:sz w:val="18"/>
              </w:rPr>
            </w:r>
            <w:r>
              <w:rPr>
                <w:sz w:val="18"/>
              </w:rPr>
              <w:t>–</w:t>
            </w:r>
          </w:p>
        </w:tc>
        <w:tc>
          <w:tcPr>
            <w:tcW w:type="dxa" w:w="960"/>
          </w:tcPr>
          <w:p>
            <w:pPr>
              <w:spacing w:after="40"/>
            </w:pPr>
            <w:r>
              <w:rPr>
                <w:sz w:val="18"/>
              </w:rPr>
            </w:r>
            <w:r>
              <w:rPr>
                <w:sz w:val="18"/>
              </w:rPr>
              <w:t>✓</w:t>
            </w:r>
          </w:p>
        </w:tc>
        <w:tc>
          <w:tcPr>
            <w:tcW w:type="dxa" w:w="1047"/>
          </w:tcPr>
          <w:p>
            <w:pPr>
              <w:spacing w:after="40"/>
            </w:pPr>
            <w:r>
              <w:rPr>
                <w:sz w:val="18"/>
              </w:rPr>
            </w:r>
            <w:r>
              <w:rPr>
                <w:sz w:val="18"/>
              </w:rPr>
              <w:t>✓</w:t>
            </w:r>
          </w:p>
        </w:tc>
        <w:tc>
          <w:tcPr>
            <w:tcW w:type="dxa" w:w="1309"/>
          </w:tcPr>
          <w:p>
            <w:pPr>
              <w:spacing w:after="40"/>
            </w:pPr>
            <w:r>
              <w:rPr>
                <w:sz w:val="18"/>
              </w:rPr>
            </w:r>
            <w:r>
              <w:rPr>
                <w:sz w:val="18"/>
              </w:rPr>
              <w:t>–</w:t>
            </w:r>
          </w:p>
        </w:tc>
        <w:tc>
          <w:tcPr>
            <w:tcW w:type="dxa" w:w="850"/>
          </w:tcPr>
          <w:p>
            <w:pPr>
              <w:spacing w:after="40"/>
            </w:pPr>
            <w:r>
              <w:rPr>
                <w:sz w:val="18"/>
              </w:rPr>
            </w:r>
            <w:r>
              <w:rPr>
                <w:sz w:val="18"/>
              </w:rPr>
              <w:t>–</w:t>
            </w:r>
          </w:p>
        </w:tc>
        <w:tc>
          <w:tcPr>
            <w:tcW w:type="dxa" w:w="1361"/>
          </w:tcPr>
          <w:p>
            <w:pPr>
              <w:spacing w:after="40"/>
            </w:pPr>
            <w:r>
              <w:rPr>
                <w:sz w:val="18"/>
              </w:rPr>
            </w:r>
            <w:r>
              <w:rPr>
                <w:sz w:val="18"/>
              </w:rPr>
              <w:t>–</w:t>
            </w:r>
          </w:p>
        </w:tc>
      </w:tr>
      <w:tr>
        <w:tc>
          <w:tcPr>
            <w:tcW w:type="dxa" w:w="850"/>
            <w:shd w:val="clear" w:color="auto" w:fill="D3DFEE"/>
          </w:tcPr>
          <w:p>
            <w:pPr>
              <w:spacing w:after="40"/>
            </w:pPr>
            <w:r>
              <w:rPr>
                <w:b/>
                <w:sz w:val="18"/>
              </w:rPr>
            </w:r>
            <w:r>
              <w:rPr>
                <w:b/>
                <w:sz w:val="18"/>
              </w:rPr>
              <w:t>5</w:t>
            </w:r>
          </w:p>
        </w:tc>
        <w:tc>
          <w:tcPr>
            <w:tcW w:type="dxa" w:w="2182"/>
            <w:shd w:val="clear" w:color="auto" w:fill="D3DFEE"/>
          </w:tcPr>
          <w:p>
            <w:pPr>
              <w:spacing w:after="40"/>
            </w:pPr>
            <w:r>
              <w:rPr>
                <w:sz w:val="18"/>
              </w:rPr>
            </w:r>
            <w:r>
              <w:rPr>
                <w:sz w:val="18"/>
              </w:rPr>
              <w:t>Belmore triangle</w:t>
            </w:r>
          </w:p>
        </w:tc>
        <w:tc>
          <w:tcPr>
            <w:tcW w:type="dxa" w:w="850"/>
            <w:shd w:val="clear" w:color="auto" w:fill="D3DFEE"/>
          </w:tcPr>
          <w:p>
            <w:pPr>
              <w:spacing w:after="40"/>
            </w:pPr>
            <w:r>
              <w:rPr>
                <w:sz w:val="18"/>
              </w:rPr>
            </w:r>
            <w:r>
              <w:rPr>
                <w:sz w:val="18"/>
              </w:rPr>
              <w:t>✓</w:t>
            </w:r>
          </w:p>
        </w:tc>
        <w:tc>
          <w:tcPr>
            <w:tcW w:type="dxa" w:w="960"/>
            <w:shd w:val="clear" w:color="auto" w:fill="D3DFEE"/>
          </w:tcPr>
          <w:p>
            <w:pPr>
              <w:spacing w:after="40"/>
            </w:pPr>
            <w:r>
              <w:rPr>
                <w:sz w:val="18"/>
              </w:rPr>
            </w:r>
            <w:r>
              <w:rPr>
                <w:sz w:val="18"/>
              </w:rPr>
              <w:t>✓</w:t>
            </w:r>
          </w:p>
        </w:tc>
        <w:tc>
          <w:tcPr>
            <w:tcW w:type="dxa" w:w="1047"/>
            <w:shd w:val="clear" w:color="auto" w:fill="D3DFEE"/>
          </w:tcPr>
          <w:p>
            <w:pPr>
              <w:spacing w:after="40"/>
            </w:pPr>
            <w:r>
              <w:rPr>
                <w:sz w:val="18"/>
              </w:rPr>
            </w:r>
            <w:r>
              <w:rPr>
                <w:sz w:val="18"/>
              </w:rPr>
              <w:t>✓</w:t>
            </w:r>
          </w:p>
        </w:tc>
        <w:tc>
          <w:tcPr>
            <w:tcW w:type="dxa" w:w="1309"/>
            <w:shd w:val="clear" w:color="auto" w:fill="D3DFEE"/>
          </w:tcPr>
          <w:p>
            <w:pPr>
              <w:spacing w:after="40"/>
            </w:pPr>
            <w:r>
              <w:rPr>
                <w:sz w:val="18"/>
              </w:rPr>
            </w:r>
            <w:r>
              <w:rPr>
                <w:sz w:val="18"/>
              </w:rPr>
              <w:t>✓</w:t>
            </w:r>
          </w:p>
        </w:tc>
        <w:tc>
          <w:tcPr>
            <w:tcW w:type="dxa" w:w="850"/>
            <w:shd w:val="clear" w:color="auto" w:fill="D3DFEE"/>
          </w:tcPr>
          <w:p>
            <w:pPr>
              <w:spacing w:after="40"/>
            </w:pPr>
            <w:r>
              <w:rPr>
                <w:sz w:val="18"/>
              </w:rPr>
            </w:r>
            <w:r>
              <w:rPr>
                <w:sz w:val="18"/>
              </w:rPr>
              <w:t>✓</w:t>
            </w:r>
          </w:p>
        </w:tc>
        <w:tc>
          <w:tcPr>
            <w:tcW w:type="dxa" w:w="1361"/>
            <w:shd w:val="clear" w:color="auto" w:fill="D3DFEE"/>
          </w:tcPr>
          <w:p>
            <w:pPr>
              <w:spacing w:after="40"/>
            </w:pPr>
            <w:r>
              <w:rPr>
                <w:sz w:val="18"/>
              </w:rPr>
            </w:r>
            <w:r>
              <w:rPr>
                <w:sz w:val="18"/>
              </w:rPr>
              <w:t>–</w:t>
            </w:r>
          </w:p>
        </w:tc>
      </w:tr>
      <w:tr>
        <w:tc>
          <w:tcPr>
            <w:tcW w:type="dxa" w:w="850"/>
          </w:tcPr>
          <w:p>
            <w:pPr>
              <w:spacing w:after="40"/>
            </w:pPr>
            <w:r>
              <w:rPr>
                <w:b/>
                <w:sz w:val="18"/>
              </w:rPr>
            </w:r>
            <w:r>
              <w:rPr>
                <w:b/>
                <w:sz w:val="18"/>
              </w:rPr>
              <w:t>6</w:t>
            </w:r>
          </w:p>
        </w:tc>
        <w:tc>
          <w:tcPr>
            <w:tcW w:type="dxa" w:w="2182"/>
          </w:tcPr>
          <w:p>
            <w:pPr>
              <w:spacing w:after="40"/>
            </w:pPr>
            <w:r>
              <w:rPr>
                <w:sz w:val="18"/>
              </w:rPr>
            </w:r>
            <w:r>
              <w:rPr>
                <w:sz w:val="18"/>
              </w:rPr>
              <w:t>Lady Game Drive (tunnel)</w:t>
            </w:r>
          </w:p>
        </w:tc>
        <w:tc>
          <w:tcPr>
            <w:tcW w:type="dxa" w:w="850"/>
          </w:tcPr>
          <w:p>
            <w:pPr>
              <w:spacing w:after="40"/>
            </w:pPr>
            <w:r>
              <w:rPr>
                <w:sz w:val="18"/>
              </w:rPr>
            </w:r>
            <w:r>
              <w:rPr>
                <w:sz w:val="18"/>
              </w:rPr>
              <w:t>–</w:t>
            </w:r>
          </w:p>
        </w:tc>
        <w:tc>
          <w:tcPr>
            <w:tcW w:type="dxa" w:w="960"/>
          </w:tcPr>
          <w:p>
            <w:pPr>
              <w:spacing w:after="40"/>
            </w:pPr>
            <w:r>
              <w:rPr>
                <w:sz w:val="18"/>
              </w:rPr>
            </w:r>
            <w:r>
              <w:rPr>
                <w:sz w:val="18"/>
              </w:rPr>
              <w:t>✓ ×2</w:t>
            </w:r>
          </w:p>
        </w:tc>
        <w:tc>
          <w:tcPr>
            <w:tcW w:type="dxa" w:w="1047"/>
          </w:tcPr>
          <w:p>
            <w:pPr>
              <w:spacing w:after="40"/>
            </w:pPr>
            <w:r>
              <w:rPr>
                <w:sz w:val="18"/>
              </w:rPr>
            </w:r>
            <w:r>
              <w:rPr>
                <w:sz w:val="18"/>
              </w:rPr>
              <w:t>✓ ×2</w:t>
            </w:r>
          </w:p>
        </w:tc>
        <w:tc>
          <w:tcPr>
            <w:tcW w:type="dxa" w:w="1309"/>
          </w:tcPr>
          <w:p>
            <w:pPr>
              <w:spacing w:after="40"/>
            </w:pPr>
            <w:r>
              <w:rPr>
                <w:sz w:val="18"/>
              </w:rPr>
            </w:r>
            <w:r>
              <w:rPr>
                <w:sz w:val="18"/>
              </w:rPr>
              <w:t>–</w:t>
            </w:r>
          </w:p>
        </w:tc>
        <w:tc>
          <w:tcPr>
            <w:tcW w:type="dxa" w:w="850"/>
          </w:tcPr>
          <w:p>
            <w:pPr>
              <w:spacing w:after="40"/>
            </w:pPr>
            <w:r>
              <w:rPr>
                <w:sz w:val="18"/>
              </w:rPr>
            </w:r>
            <w:r>
              <w:rPr>
                <w:sz w:val="18"/>
              </w:rPr>
              <w:t>–</w:t>
            </w:r>
          </w:p>
        </w:tc>
        <w:tc>
          <w:tcPr>
            <w:tcW w:type="dxa" w:w="1361"/>
          </w:tcPr>
          <w:p>
            <w:pPr>
              <w:spacing w:after="40"/>
            </w:pPr>
            <w:r>
              <w:rPr>
                <w:sz w:val="18"/>
              </w:rPr>
            </w:r>
            <w:r>
              <w:rPr>
                <w:sz w:val="18"/>
              </w:rPr>
              <w:t>–</w:t>
            </w:r>
          </w:p>
        </w:tc>
      </w:tr>
      <w:tr>
        <w:tc>
          <w:tcPr>
            <w:tcW w:type="dxa" w:w="850"/>
            <w:shd w:val="clear" w:color="auto" w:fill="D3DFEE"/>
          </w:tcPr>
          <w:p>
            <w:pPr>
              <w:spacing w:after="40"/>
            </w:pPr>
            <w:r>
              <w:rPr>
                <w:b/>
                <w:sz w:val="18"/>
              </w:rPr>
            </w:r>
            <w:r>
              <w:rPr>
                <w:b/>
                <w:sz w:val="18"/>
              </w:rPr>
              <w:t>7</w:t>
            </w:r>
          </w:p>
        </w:tc>
        <w:tc>
          <w:tcPr>
            <w:tcW w:type="dxa" w:w="2182"/>
            <w:shd w:val="clear" w:color="auto" w:fill="D3DFEE"/>
          </w:tcPr>
          <w:p>
            <w:pPr>
              <w:spacing w:after="40"/>
            </w:pPr>
            <w:r>
              <w:rPr>
                <w:sz w:val="18"/>
              </w:rPr>
            </w:r>
            <w:r>
              <w:rPr>
                <w:sz w:val="18"/>
              </w:rPr>
              <w:t>Windsor Road SSC</w:t>
            </w:r>
          </w:p>
        </w:tc>
        <w:tc>
          <w:tcPr>
            <w:tcW w:type="dxa" w:w="850"/>
            <w:shd w:val="clear" w:color="auto" w:fill="D3DFEE"/>
          </w:tcPr>
          <w:p>
            <w:pPr>
              <w:spacing w:after="40"/>
            </w:pPr>
            <w:r>
              <w:rPr>
                <w:sz w:val="18"/>
              </w:rPr>
            </w:r>
            <w:r>
              <w:rPr>
                <w:sz w:val="18"/>
              </w:rPr>
              <w:t>–</w:t>
            </w:r>
          </w:p>
        </w:tc>
        <w:tc>
          <w:tcPr>
            <w:tcW w:type="dxa" w:w="960"/>
            <w:shd w:val="clear" w:color="auto" w:fill="D3DFEE"/>
          </w:tcPr>
          <w:p>
            <w:pPr>
              <w:spacing w:after="40"/>
            </w:pPr>
            <w:r>
              <w:rPr>
                <w:sz w:val="18"/>
              </w:rPr>
            </w:r>
            <w:r>
              <w:rPr>
                <w:sz w:val="18"/>
              </w:rPr>
              <w:t>–</w:t>
            </w:r>
          </w:p>
        </w:tc>
        <w:tc>
          <w:tcPr>
            <w:tcW w:type="dxa" w:w="1047"/>
            <w:shd w:val="clear" w:color="auto" w:fill="D3DFEE"/>
          </w:tcPr>
          <w:p>
            <w:pPr>
              <w:spacing w:after="40"/>
            </w:pPr>
            <w:r>
              <w:rPr>
                <w:sz w:val="18"/>
              </w:rPr>
            </w:r>
            <w:r>
              <w:rPr>
                <w:sz w:val="18"/>
              </w:rPr>
              <w:t>–</w:t>
            </w:r>
          </w:p>
        </w:tc>
        <w:tc>
          <w:tcPr>
            <w:tcW w:type="dxa" w:w="1309"/>
            <w:shd w:val="clear" w:color="auto" w:fill="D3DFEE"/>
          </w:tcPr>
          <w:p>
            <w:pPr>
              <w:spacing w:after="40"/>
            </w:pPr>
            <w:r>
              <w:rPr>
                <w:sz w:val="18"/>
              </w:rPr>
            </w:r>
            <w:r>
              <w:rPr>
                <w:sz w:val="18"/>
              </w:rPr>
              <w:t>✓</w:t>
            </w:r>
          </w:p>
        </w:tc>
        <w:tc>
          <w:tcPr>
            <w:tcW w:type="dxa" w:w="850"/>
            <w:shd w:val="clear" w:color="auto" w:fill="D3DFEE"/>
          </w:tcPr>
          <w:p>
            <w:pPr>
              <w:spacing w:after="40"/>
            </w:pPr>
            <w:r>
              <w:rPr>
                <w:sz w:val="18"/>
              </w:rPr>
            </w:r>
            <w:r>
              <w:rPr>
                <w:sz w:val="18"/>
              </w:rPr>
              <w:t>✓</w:t>
            </w:r>
          </w:p>
        </w:tc>
        <w:tc>
          <w:tcPr>
            <w:tcW w:type="dxa" w:w="1361"/>
            <w:shd w:val="clear" w:color="auto" w:fill="D3DFEE"/>
          </w:tcPr>
          <w:p>
            <w:pPr>
              <w:spacing w:after="40"/>
            </w:pPr>
            <w:r>
              <w:rPr>
                <w:sz w:val="18"/>
              </w:rPr>
            </w:r>
            <w:r>
              <w:rPr>
                <w:sz w:val="18"/>
              </w:rPr>
              <w:t>–</w:t>
            </w:r>
          </w:p>
        </w:tc>
      </w:tr>
    </w:tbl>
    <w:p/>
    <w:p>
      <w:r>
        <w:t xml:space="preserve">Location 6 is two independent units — up tunnel and down tunnel — each with its own logger. The platform therefore handles </w:t>
      </w:r>
      <w:r>
        <w:rPr>
          <w:b/>
        </w:rPr>
        <w:t>eight loggers across seven locations</w:t>
      </w:r>
      <w:r>
        <w:t>, presenting Location 6 as one place with two monitoring points.</w:t>
      </w:r>
    </w:p>
    <w:p>
      <w:pPr>
        <w:pStyle w:val="Heading2"/>
      </w:pPr>
      <w:r>
        <w:t>3. Data rate — and why it drives the architecture</w:t>
      </w:r>
    </w:p>
    <w:p>
      <w:r>
        <w:t xml:space="preserve">The datalogger will send </w:t>
      </w:r>
      <w:r>
        <w:rPr>
          <w:b/>
        </w:rPr>
        <w:t>either every second or every minute</w:t>
      </w:r>
      <w:r>
        <w:t xml:space="preserve">, and for pump operation </w:t>
      </w:r>
      <w:r>
        <w:rPr>
          <w:b/>
        </w:rPr>
        <w:t>one second is critical</w:t>
      </w:r>
      <w:r>
        <w:t>. We design for one second throughout.</w:t>
      </w:r>
    </w:p>
    <w:tbl>
      <w:tblPr>
        <w:tblStyle w:val="TableGrid"/>
        <w:tblW w:type="auto" w:w="0"/>
        <w:tblLayout w:type="fixed"/>
        <w:tblLook w:firstColumn="1" w:firstRow="1" w:lastColumn="0" w:lastRow="0" w:noHBand="0" w:noVBand="1" w:val="04A0"/>
        <w:tblLayout w:type="fixed"/>
        <w:tblBorders>
          <w:top w:val="single" w:sz="8" w:color="4F81BD"/>
          <w:left w:val="single" w:sz="8" w:color="4F81BD"/>
          <w:bottom w:val="single" w:sz="8" w:color="4F81BD"/>
          <w:right w:val="single" w:sz="8" w:color="4F81BD"/>
          <w:insideH w:val="single" w:sz="4" w:color="4F81BD"/>
          <w:insideV w:val="single" w:sz="4" w:color="4F81BD"/>
        </w:tblBorders>
      </w:tblPr>
      <w:tblGrid>
        <w:gridCol w:w="2948"/>
        <w:gridCol w:w="6463"/>
      </w:tblGrid>
      <w:tr>
        <w:tc>
          <w:tcPr>
            <w:tcW w:type="dxa" w:w="2948"/>
            <w:shd w:val="clear" w:color="auto" w:fill="D3DFEE"/>
          </w:tcPr>
          <w:p>
            <w:pPr>
              <w:spacing w:after="40"/>
            </w:pPr>
            <w:r>
              <w:rPr>
                <w:b/>
                <w:sz w:val="20"/>
              </w:rPr>
            </w:r>
            <w:r>
              <w:rPr>
                <w:b/>
                <w:sz w:val="20"/>
              </w:rPr>
              <w:t>Loggers</w:t>
            </w:r>
          </w:p>
        </w:tc>
        <w:tc>
          <w:tcPr>
            <w:tcW w:type="dxa" w:w="6463"/>
            <w:shd w:val="clear" w:color="auto" w:fill="D3DFEE"/>
          </w:tcPr>
          <w:p>
            <w:pPr>
              <w:spacing w:after="40"/>
            </w:pPr>
            <w:r>
              <w:rPr>
                <w:b w:val="0"/>
                <w:sz w:val="20"/>
              </w:rPr>
            </w:r>
            <w:r>
              <w:rPr>
                <w:b w:val="0"/>
                <w:sz w:val="20"/>
              </w:rPr>
              <w:t>8</w:t>
            </w:r>
          </w:p>
        </w:tc>
      </w:tr>
      <w:tr>
        <w:tc>
          <w:tcPr>
            <w:tcW w:type="dxa" w:w="2948"/>
          </w:tcPr>
          <w:p>
            <w:pPr>
              <w:spacing w:after="40"/>
            </w:pPr>
            <w:r>
              <w:rPr>
                <w:b/>
                <w:sz w:val="20"/>
              </w:rPr>
            </w:r>
            <w:r>
              <w:rPr>
                <w:b/>
                <w:sz w:val="20"/>
              </w:rPr>
              <w:t>Readings per second</w:t>
            </w:r>
          </w:p>
        </w:tc>
        <w:tc>
          <w:tcPr>
            <w:tcW w:type="dxa" w:w="6463"/>
          </w:tcPr>
          <w:p>
            <w:pPr>
              <w:spacing w:after="40"/>
            </w:pPr>
            <w:r>
              <w:rPr>
                <w:b w:val="0"/>
                <w:sz w:val="20"/>
              </w:rPr>
            </w:r>
            <w:r>
              <w:rPr>
                <w:b w:val="0"/>
                <w:sz w:val="20"/>
              </w:rPr>
              <w:t>8</w:t>
            </w:r>
          </w:p>
        </w:tc>
      </w:tr>
      <w:tr>
        <w:tc>
          <w:tcPr>
            <w:tcW w:type="dxa" w:w="2948"/>
            <w:shd w:val="clear" w:color="auto" w:fill="D3DFEE"/>
          </w:tcPr>
          <w:p>
            <w:pPr>
              <w:spacing w:after="40"/>
            </w:pPr>
            <w:r>
              <w:rPr>
                <w:b/>
                <w:sz w:val="20"/>
              </w:rPr>
            </w:r>
            <w:r>
              <w:rPr>
                <w:b/>
                <w:sz w:val="20"/>
              </w:rPr>
              <w:t>Per day</w:t>
            </w:r>
          </w:p>
        </w:tc>
        <w:tc>
          <w:tcPr>
            <w:tcW w:type="dxa" w:w="6463"/>
            <w:shd w:val="clear" w:color="auto" w:fill="D3DFEE"/>
          </w:tcPr>
          <w:p>
            <w:pPr>
              <w:spacing w:after="40"/>
            </w:pPr>
            <w:r>
              <w:rPr>
                <w:b w:val="0"/>
                <w:sz w:val="20"/>
              </w:rPr>
            </w:r>
            <w:r>
              <w:rPr>
                <w:b w:val="0"/>
                <w:sz w:val="20"/>
              </w:rPr>
              <w:t>691,200</w:t>
            </w:r>
          </w:p>
        </w:tc>
      </w:tr>
      <w:tr>
        <w:tc>
          <w:tcPr>
            <w:tcW w:type="dxa" w:w="2948"/>
          </w:tcPr>
          <w:p>
            <w:pPr>
              <w:spacing w:after="40"/>
            </w:pPr>
            <w:r>
              <w:rPr>
                <w:b/>
                <w:sz w:val="20"/>
              </w:rPr>
            </w:r>
            <w:r>
              <w:rPr>
                <w:b/>
                <w:sz w:val="20"/>
              </w:rPr>
              <w:t>Per month</w:t>
            </w:r>
          </w:p>
        </w:tc>
        <w:tc>
          <w:tcPr>
            <w:tcW w:type="dxa" w:w="6463"/>
          </w:tcPr>
          <w:p>
            <w:pPr>
              <w:spacing w:after="40"/>
            </w:pPr>
            <w:r>
              <w:rPr>
                <w:b w:val="0"/>
                <w:sz w:val="20"/>
              </w:rPr>
            </w:r>
            <w:r>
              <w:rPr>
                <w:b w:val="0"/>
                <w:sz w:val="20"/>
              </w:rPr>
              <w:t>~21 million</w:t>
            </w:r>
          </w:p>
        </w:tc>
      </w:tr>
      <w:tr>
        <w:tc>
          <w:tcPr>
            <w:tcW w:type="dxa" w:w="2948"/>
            <w:shd w:val="clear" w:color="auto" w:fill="D3DFEE"/>
          </w:tcPr>
          <w:p>
            <w:pPr>
              <w:spacing w:after="40"/>
            </w:pPr>
            <w:r>
              <w:rPr>
                <w:b/>
                <w:sz w:val="20"/>
              </w:rPr>
            </w:r>
            <w:r>
              <w:rPr>
                <w:b/>
                <w:sz w:val="20"/>
              </w:rPr>
              <w:t>Per year</w:t>
            </w:r>
          </w:p>
        </w:tc>
        <w:tc>
          <w:tcPr>
            <w:tcW w:type="dxa" w:w="6463"/>
            <w:shd w:val="clear" w:color="auto" w:fill="D3DFEE"/>
          </w:tcPr>
          <w:p>
            <w:pPr>
              <w:spacing w:after="40"/>
            </w:pPr>
            <w:r>
              <w:rPr>
                <w:b w:val="0"/>
                <w:sz w:val="20"/>
              </w:rPr>
            </w:r>
            <w:r>
              <w:rPr>
                <w:b w:val="0"/>
                <w:sz w:val="20"/>
              </w:rPr>
              <w:t>~250 million</w:t>
            </w:r>
          </w:p>
        </w:tc>
      </w:tr>
    </w:tbl>
    <w:p/>
    <w:p>
      <w:r>
        <w:t>A quarter of a billion readings a year is entirely manageable — but only with a storage and query design chosen for it from day one, not retrofitted. Section 6 sets out exactly how.</w:t>
      </w:r>
    </w:p>
    <w:p>
      <w:pPr>
        <w:pStyle w:val="Heading3"/>
      </w:pPr>
      <w:r>
        <w:t>How much of it we keep is a decision to make together</w:t>
      </w:r>
    </w:p>
    <w:p>
      <w:r>
        <w:t>That yearly figure assumes every 1-second reading is kept indefinitely, which is almost certainly more than is needed and directly drives the hosting cost.</w:t>
      </w:r>
    </w:p>
    <w:p>
      <w:r>
        <w:t xml:space="preserve">We will agree the retention policy with you in </w:t>
      </w:r>
      <w:r>
        <w:rPr>
          <w:b/>
        </w:rPr>
        <w:t>Month 1</w:t>
      </w:r>
      <w:r>
        <w:t>, before any of it is built, because it shapes the storage design. The realistic options:</w:t>
      </w:r>
    </w:p>
    <w:tbl>
      <w:tblPr>
        <w:tblStyle w:val="TableGrid"/>
        <w:tblW w:type="auto" w:w="0"/>
        <w:tblLayout w:type="fixed"/>
        <w:tblLook w:firstColumn="1" w:firstRow="1" w:lastColumn="0" w:lastRow="0" w:noHBand="0" w:noVBand="1" w:val="04A0"/>
        <w:tblLayout w:type="fixed"/>
        <w:tblLayout w:type="fixed"/>
        <w:tblBorders>
          <w:top w:val="single" w:sz="8" w:color="4F81BD"/>
          <w:left w:val="single" w:sz="8" w:color="4F81BD"/>
          <w:bottom w:val="single" w:sz="8" w:color="4F81BD"/>
          <w:right w:val="single" w:sz="8" w:color="4F81BD"/>
          <w:insideH w:val="single" w:sz="4" w:color="4F81BD"/>
          <w:insideV w:val="single" w:sz="4" w:color="4F81BD"/>
        </w:tblBorders>
      </w:tblPr>
      <w:tblGrid>
        <w:gridCol w:w="1344"/>
        <w:gridCol w:w="2241"/>
        <w:gridCol w:w="1681"/>
        <w:gridCol w:w="4145"/>
      </w:tblGrid>
      <w:tr>
        <w:tc>
          <w:tcPr>
            <w:tcW w:type="dxa" w:w="1344"/>
          </w:tcPr>
          <w:p>
            <w:pPr>
              <w:spacing w:after="40"/>
            </w:pPr>
            <w:r>
              <w:rPr>
                <w:b/>
                <w:sz w:val="18"/>
              </w:rPr>
            </w:r>
            <w:r>
              <w:rPr>
                <w:b/>
                <w:sz w:val="18"/>
              </w:rPr>
              <w:t>Option</w:t>
            </w:r>
          </w:p>
        </w:tc>
        <w:tc>
          <w:tcPr>
            <w:tcW w:type="dxa" w:w="2241"/>
          </w:tcPr>
          <w:p>
            <w:pPr>
              <w:spacing w:after="40"/>
            </w:pPr>
            <w:r>
              <w:rPr>
                <w:b/>
                <w:sz w:val="18"/>
              </w:rPr>
            </w:r>
            <w:r>
              <w:rPr>
                <w:b/>
                <w:sz w:val="18"/>
              </w:rPr>
              <w:t>1-second detail kept</w:t>
            </w:r>
          </w:p>
        </w:tc>
        <w:tc>
          <w:tcPr>
            <w:tcW w:type="dxa" w:w="1681"/>
          </w:tcPr>
          <w:p>
            <w:pPr>
              <w:spacing w:after="40"/>
            </w:pPr>
            <w:r>
              <w:rPr>
                <w:b/>
                <w:sz w:val="18"/>
              </w:rPr>
            </w:r>
            <w:r>
              <w:rPr>
                <w:b/>
                <w:sz w:val="18"/>
              </w:rPr>
              <w:t>Aggregates kept</w:t>
            </w:r>
          </w:p>
        </w:tc>
        <w:tc>
          <w:tcPr>
            <w:tcW w:type="dxa" w:w="4145"/>
          </w:tcPr>
          <w:p>
            <w:pPr>
              <w:spacing w:after="40"/>
            </w:pPr>
            <w:r>
              <w:rPr>
                <w:b/>
                <w:sz w:val="18"/>
              </w:rPr>
            </w:r>
            <w:r>
              <w:rPr>
                <w:b/>
                <w:sz w:val="18"/>
              </w:rPr>
              <w:t>Roughly</w:t>
            </w:r>
          </w:p>
        </w:tc>
      </w:tr>
      <w:tr>
        <w:tc>
          <w:tcPr>
            <w:tcW w:type="dxa" w:w="1344"/>
            <w:shd w:val="clear" w:color="auto" w:fill="D3DFEE"/>
          </w:tcPr>
          <w:p>
            <w:pPr>
              <w:spacing w:after="40"/>
            </w:pPr>
            <w:r>
              <w:rPr>
                <w:b/>
                <w:sz w:val="18"/>
              </w:rPr>
            </w:r>
            <w:r>
              <w:rPr>
                <w:b/>
                <w:sz w:val="18"/>
              </w:rPr>
              <w:t>Lean</w:t>
            </w:r>
          </w:p>
        </w:tc>
        <w:tc>
          <w:tcPr>
            <w:tcW w:type="dxa" w:w="2241"/>
            <w:shd w:val="clear" w:color="auto" w:fill="D3DFEE"/>
          </w:tcPr>
          <w:p>
            <w:pPr>
              <w:spacing w:after="40"/>
            </w:pPr>
            <w:r>
              <w:rPr>
                <w:sz w:val="18"/>
              </w:rPr>
            </w:r>
            <w:r>
              <w:rPr>
                <w:sz w:val="18"/>
              </w:rPr>
              <w:t>1 month</w:t>
            </w:r>
          </w:p>
        </w:tc>
        <w:tc>
          <w:tcPr>
            <w:tcW w:type="dxa" w:w="1681"/>
            <w:shd w:val="clear" w:color="auto" w:fill="D3DFEE"/>
          </w:tcPr>
          <w:p>
            <w:pPr>
              <w:spacing w:after="40"/>
            </w:pPr>
            <w:r>
              <w:rPr>
                <w:sz w:val="18"/>
              </w:rPr>
            </w:r>
            <w:r>
              <w:rPr>
                <w:sz w:val="18"/>
              </w:rPr>
              <w:t>forever</w:t>
            </w:r>
          </w:p>
        </w:tc>
        <w:tc>
          <w:tcPr>
            <w:tcW w:type="dxa" w:w="4145"/>
            <w:shd w:val="clear" w:color="auto" w:fill="D3DFEE"/>
          </w:tcPr>
          <w:p>
            <w:pPr>
              <w:spacing w:after="40"/>
            </w:pPr>
            <w:r>
              <w:rPr>
                <w:sz w:val="18"/>
              </w:rPr>
            </w:r>
            <w:r>
              <w:rPr>
                <w:sz w:val="18"/>
              </w:rPr>
              <w:t>smallest and cheapest</w:t>
            </w:r>
          </w:p>
        </w:tc>
      </w:tr>
      <w:tr>
        <w:tc>
          <w:tcPr>
            <w:tcW w:type="dxa" w:w="1344"/>
          </w:tcPr>
          <w:p>
            <w:pPr>
              <w:spacing w:after="40"/>
            </w:pPr>
            <w:r>
              <w:rPr>
                <w:b/>
                <w:sz w:val="18"/>
              </w:rPr>
            </w:r>
            <w:r>
              <w:rPr>
                <w:b/>
                <w:sz w:val="18"/>
              </w:rPr>
              <w:t>Balanced</w:t>
            </w:r>
          </w:p>
        </w:tc>
        <w:tc>
          <w:tcPr>
            <w:tcW w:type="dxa" w:w="2241"/>
          </w:tcPr>
          <w:p>
            <w:pPr>
              <w:spacing w:after="40"/>
            </w:pPr>
            <w:r>
              <w:rPr>
                <w:sz w:val="18"/>
              </w:rPr>
            </w:r>
            <w:r>
              <w:rPr>
                <w:sz w:val="18"/>
              </w:rPr>
              <w:t>3–6 months</w:t>
            </w:r>
          </w:p>
        </w:tc>
        <w:tc>
          <w:tcPr>
            <w:tcW w:type="dxa" w:w="1681"/>
          </w:tcPr>
          <w:p>
            <w:pPr>
              <w:spacing w:after="40"/>
            </w:pPr>
            <w:r>
              <w:rPr>
                <w:sz w:val="18"/>
              </w:rPr>
            </w:r>
            <w:r>
              <w:rPr>
                <w:sz w:val="18"/>
              </w:rPr>
              <w:t>forever</w:t>
            </w:r>
          </w:p>
        </w:tc>
        <w:tc>
          <w:tcPr>
            <w:tcW w:type="dxa" w:w="4145"/>
          </w:tcPr>
          <w:p>
            <w:pPr>
              <w:spacing w:after="40"/>
            </w:pPr>
            <w:r>
              <w:rPr>
                <w:sz w:val="18"/>
              </w:rPr>
            </w:r>
            <w:r>
              <w:rPr>
                <w:sz w:val="18"/>
              </w:rPr>
              <w:t>our usual recommendation</w:t>
            </w:r>
          </w:p>
        </w:tc>
      </w:tr>
      <w:tr>
        <w:tc>
          <w:tcPr>
            <w:tcW w:type="dxa" w:w="1344"/>
            <w:shd w:val="clear" w:color="auto" w:fill="D3DFEE"/>
          </w:tcPr>
          <w:p>
            <w:pPr>
              <w:spacing w:after="40"/>
            </w:pPr>
            <w:r>
              <w:rPr>
                <w:b/>
                <w:sz w:val="18"/>
              </w:rPr>
            </w:r>
            <w:r>
              <w:rPr>
                <w:b/>
                <w:sz w:val="18"/>
              </w:rPr>
              <w:t>Full</w:t>
            </w:r>
          </w:p>
        </w:tc>
        <w:tc>
          <w:tcPr>
            <w:tcW w:type="dxa" w:w="2241"/>
            <w:shd w:val="clear" w:color="auto" w:fill="D3DFEE"/>
          </w:tcPr>
          <w:p>
            <w:pPr>
              <w:spacing w:after="40"/>
            </w:pPr>
            <w:r>
              <w:rPr>
                <w:sz w:val="18"/>
              </w:rPr>
            </w:r>
            <w:r>
              <w:rPr>
                <w:sz w:val="18"/>
              </w:rPr>
              <w:t>12 months+</w:t>
            </w:r>
          </w:p>
        </w:tc>
        <w:tc>
          <w:tcPr>
            <w:tcW w:type="dxa" w:w="1681"/>
            <w:shd w:val="clear" w:color="auto" w:fill="D3DFEE"/>
          </w:tcPr>
          <w:p>
            <w:pPr>
              <w:spacing w:after="40"/>
            </w:pPr>
            <w:r>
              <w:rPr>
                <w:sz w:val="18"/>
              </w:rPr>
            </w:r>
            <w:r>
              <w:rPr>
                <w:sz w:val="18"/>
              </w:rPr>
              <w:t>forever</w:t>
            </w:r>
          </w:p>
        </w:tc>
        <w:tc>
          <w:tcPr>
            <w:tcW w:type="dxa" w:w="4145"/>
            <w:shd w:val="clear" w:color="auto" w:fill="D3DFEE"/>
          </w:tcPr>
          <w:p>
            <w:pPr>
              <w:spacing w:after="40"/>
            </w:pPr>
            <w:r>
              <w:rPr>
                <w:sz w:val="18"/>
              </w:rPr>
            </w:r>
            <w:r>
              <w:rPr>
                <w:sz w:val="18"/>
              </w:rPr>
              <w:t>largest, for detailed incident review</w:t>
            </w:r>
          </w:p>
        </w:tc>
      </w:tr>
    </w:tbl>
    <w:p/>
    <w:p>
      <w:r>
        <w:t xml:space="preserve">In every option the </w:t>
      </w:r>
      <w:r>
        <w:rPr>
          <w:b/>
        </w:rPr>
        <w:t>per-minute, per-hour and per-day aggregates are kept permanently</w:t>
      </w:r>
      <w:r>
        <w:t>, so trends, daily summaries, reporting and year-on-year comparison are unaffected by the choice. What varies is only how far back you can replay second-by-second detail — which matters chiefly for investigating a specific incident.</w:t>
      </w:r>
    </w:p>
    <w:p>
      <w:r>
        <w:t>Our recommendation is to keep full detail for a window comfortably longer than any likely investigation, and aggregates forever. If a shorter window is preferred for cost, the system is designed so the setting can be changed later without redesign or data migration.</w:t>
      </w:r>
    </w:p>
    <w:p>
      <w:pPr>
        <w:pStyle w:val="Heading3"/>
      </w:pPr>
      <w:r>
        <w:t>Where real-time control actually lives</w:t>
      </w:r>
    </w:p>
    <w:p>
      <w:r>
        <w:t xml:space="preserve">The pump start/stop decision runs </w:t>
      </w:r>
      <w:r>
        <w:rPr>
          <w:b/>
        </w:rPr>
        <w:t>on the OMC-048 logger at the station</w:t>
      </w:r>
      <w:r>
        <w:t>, in real time, independent of the network. That is correct and we will not move it: a pump that stops working because a cellular link dropped is not acceptable on a flood site.</w:t>
      </w:r>
    </w:p>
    <w:p>
      <w:r>
        <w:t xml:space="preserve">The central server's job is to </w:t>
      </w:r>
      <w:r>
        <w:rPr>
          <w:b/>
        </w:rPr>
        <w:t>aggregate, alert, display, record and supervise</w:t>
      </w:r>
      <w:r>
        <w:t xml:space="preserve"> — and to accept a manual override from an authorised operator. We will hold the server to the Statement of Requirements' obligation: </w:t>
      </w:r>
      <w:r>
        <w:rPr>
          <w:b/>
        </w:rPr>
        <w:t>weather alerts within 5 minutes, system-fault alerts within 30 minutes</w:t>
      </w:r>
      <w:r>
        <w:t>, measured end to end.</w:t>
      </w:r>
    </w:p>
    <w:p>
      <w:pPr>
        <w:pStyle w:val="Heading2"/>
      </w:pPr>
      <w:r>
        <w:t>4. Ingestion — the part that must never lose data</w:t>
      </w:r>
    </w:p>
    <w:p>
      <w:r>
        <w:t xml:space="preserve">Every reading matters, so the pipeline is built so that a failure anywhere </w:t>
      </w:r>
      <w:r>
        <w:rPr>
          <w:b/>
        </w:rPr>
        <w:t>delays</w:t>
      </w:r>
      <w:r>
        <w:t xml:space="preserve"> data rather than </w:t>
      </w:r>
      <w:r>
        <w:rPr>
          <w:b/>
        </w:rPr>
        <w:t>losing</w:t>
      </w:r>
      <w:r>
        <w:t xml:space="preserve"> it.</w:t>
      </w:r>
    </w:p>
    <w:p>
      <w:pPr>
        <w:spacing w:before="80"/>
        <w:ind w:left="227"/>
      </w:pPr>
      <w:r>
        <w:rPr>
          <w:rFonts w:ascii="Consolas" w:hAnsi="Consolas"/>
          <w:sz w:val="17"/>
        </w:rPr>
        <w:t>Trackside logger</w:t>
        <w:br/>
        <w:t xml:space="preserve">      │  (4G/5G)</w:t>
        <w:br/>
        <w:t xml:space="preserve">      ▼</w:t>
        <w:br/>
        <w:t>SFTP drop  ──  AWS Lightsail, hardened, chroot-isolated per site</w:t>
        <w:br/>
        <w:t xml:space="preserve">      │</w:t>
        <w:br/>
        <w:t xml:space="preserve">      │  ① secure agent: file settles → atomic rename into staging</w:t>
        <w:br/>
        <w:t xml:space="preserve">      ▼</w:t>
        <w:br/>
        <w:t>AWS SQS (FIFO)  ──  the durable buffer.  Dead-letter queue for anything unreadable</w:t>
        <w:br/>
        <w:t xml:space="preserve">      │</w:t>
        <w:br/>
        <w:t xml:space="preserve">      │  ② NestJS workers consume, parse, validate, write</w:t>
        <w:br/>
        <w:t xml:space="preserve">      ▼</w:t>
        <w:br/>
        <w:t>MongoDB (time-series)  +  Redis (hot cache)</w:t>
        <w:br/>
        <w:t xml:space="preserve">      │</w:t>
        <w:br/>
        <w:t xml:space="preserve">      ▼</w:t>
        <w:br/>
        <w:t>Alert engine  →  screen · email · SMS</w:t>
      </w:r>
    </w:p>
    <w:p>
      <w:pPr>
        <w:pStyle w:val="Heading3"/>
      </w:pPr>
      <w:r>
        <w:t>Why SQS sits in the middle</w:t>
      </w:r>
    </w:p>
    <w:p>
      <w:r>
        <w:t>Without a queue, a database hiccup or a deployment means readings arriving in that window are gone. With SQS:</w:t>
      </w:r>
    </w:p>
    <w:p>
      <w:pPr>
        <w:pStyle w:val="ListBullet"/>
      </w:pPr>
      <w:r>
        <w:rPr>
          <w:b/>
        </w:rPr>
        <w:t>Nothing is lost on failure.</w:t>
      </w:r>
      <w:r>
        <w:t xml:space="preserve"> A message stays on the queue until a worker confirms it was written. A crashed worker means the message reappears, not that it vanishes.</w:t>
      </w:r>
    </w:p>
    <w:p>
      <w:pPr>
        <w:pStyle w:val="ListBullet"/>
      </w:pPr>
      <w:r>
        <w:rPr>
          <w:b/>
        </w:rPr>
        <w:t>Bursts are absorbed.</w:t>
      </w:r>
      <w:r>
        <w:t xml:space="preserve"> A logger reconnecting after an outage can deliver hours of buffered readings at once without overwhelming the database.</w:t>
      </w:r>
    </w:p>
    <w:p>
      <w:pPr>
        <w:pStyle w:val="ListBullet"/>
      </w:pPr>
      <w:r>
        <w:rPr>
          <w:b/>
        </w:rPr>
        <w:t>Poison data cannot block the queue.</w:t>
      </w:r>
      <w:r>
        <w:t xml:space="preserve"> Anything unparseable goes to a dead-letter queue and is reported, while everything behind it keeps flowing.</w:t>
      </w:r>
    </w:p>
    <w:p>
      <w:pPr>
        <w:pStyle w:val="ListBullet"/>
      </w:pPr>
      <w:r>
        <w:rPr>
          <w:b/>
        </w:rPr>
        <w:t>Workers scale independently.</w:t>
      </w:r>
      <w:r>
        <w:t xml:space="preserve"> More load means more consumers, with no change to the ingest path.</w:t>
      </w:r>
    </w:p>
    <w:p>
      <w:pPr>
        <w:pStyle w:val="ListBullet"/>
      </w:pPr>
      <w:r>
        <w:rPr>
          <w:b/>
        </w:rPr>
        <w:t>FIFO where order matters</w:t>
      </w:r>
      <w:r>
        <w:t>, so a station's readings are processed in the order they were taken.</w:t>
      </w:r>
    </w:p>
    <w:p>
      <w:pPr>
        <w:pStyle w:val="Heading3"/>
      </w:pPr>
      <w:r>
        <w:t>Guarantees we build in</w:t>
      </w:r>
    </w:p>
    <w:tbl>
      <w:tblPr>
        <w:tblStyle w:val="TableGrid"/>
        <w:tblW w:type="auto" w:w="0"/>
        <w:tblLayout w:type="fixed"/>
        <w:tblLook w:firstColumn="1" w:firstRow="1" w:lastColumn="0" w:lastRow="0" w:noHBand="0" w:noVBand="1" w:val="04A0"/>
        <w:tblLayout w:type="fixed"/>
        <w:tblLayout w:type="fixed"/>
        <w:tblBorders>
          <w:top w:val="single" w:sz="8" w:color="4F81BD"/>
          <w:left w:val="single" w:sz="8" w:color="4F81BD"/>
          <w:bottom w:val="single" w:sz="8" w:color="4F81BD"/>
          <w:right w:val="single" w:sz="8" w:color="4F81BD"/>
          <w:insideH w:val="single" w:sz="4" w:color="4F81BD"/>
          <w:insideV w:val="single" w:sz="4" w:color="4F81BD"/>
        </w:tblBorders>
      </w:tblPr>
      <w:tblGrid>
        <w:gridCol w:w="1553"/>
        <w:gridCol w:w="7858"/>
      </w:tblGrid>
      <w:tr>
        <w:tc>
          <w:tcPr>
            <w:tcW w:type="dxa" w:w="1553"/>
          </w:tcPr>
          <w:p>
            <w:pPr>
              <w:spacing w:after="40"/>
            </w:pPr>
            <w:r>
              <w:rPr>
                <w:b/>
                <w:sz w:val="18"/>
              </w:rPr>
            </w:r>
            <w:r>
              <w:rPr>
                <w:b/>
                <w:sz w:val="18"/>
              </w:rPr>
              <w:t>Guarantee</w:t>
            </w:r>
          </w:p>
        </w:tc>
        <w:tc>
          <w:tcPr>
            <w:tcW w:type="dxa" w:w="7858"/>
          </w:tcPr>
          <w:p>
            <w:pPr>
              <w:spacing w:after="40"/>
            </w:pPr>
            <w:r>
              <w:rPr>
                <w:b/>
                <w:sz w:val="18"/>
              </w:rPr>
            </w:r>
            <w:r>
              <w:rPr>
                <w:b/>
                <w:sz w:val="18"/>
              </w:rPr>
              <w:t>How</w:t>
            </w:r>
          </w:p>
        </w:tc>
      </w:tr>
      <w:tr>
        <w:tc>
          <w:tcPr>
            <w:tcW w:type="dxa" w:w="1553"/>
            <w:shd w:val="clear" w:color="auto" w:fill="D3DFEE"/>
          </w:tcPr>
          <w:p>
            <w:pPr>
              <w:spacing w:after="40"/>
            </w:pPr>
            <w:r>
              <w:rPr>
                <w:b/>
                <w:sz w:val="18"/>
              </w:rPr>
            </w:r>
            <w:r>
              <w:rPr>
                <w:b/>
                <w:sz w:val="18"/>
              </w:rPr>
              <w:t>No duplicates</w:t>
            </w:r>
          </w:p>
        </w:tc>
        <w:tc>
          <w:tcPr>
            <w:tcW w:type="dxa" w:w="7858"/>
            <w:shd w:val="clear" w:color="auto" w:fill="D3DFEE"/>
          </w:tcPr>
          <w:p>
            <w:pPr>
              <w:spacing w:after="40"/>
            </w:pPr>
            <w:r>
              <w:rPr>
                <w:sz w:val="18"/>
              </w:rPr>
            </w:r>
            <w:r>
              <w:rPr>
                <w:sz w:val="18"/>
              </w:rPr>
              <w:t>Every file carries a content hash; a repeat is recognised and skipped</w:t>
            </w:r>
          </w:p>
        </w:tc>
      </w:tr>
      <w:tr>
        <w:tc>
          <w:tcPr>
            <w:tcW w:type="dxa" w:w="1553"/>
          </w:tcPr>
          <w:p>
            <w:pPr>
              <w:spacing w:after="40"/>
            </w:pPr>
            <w:r>
              <w:rPr>
                <w:b/>
                <w:sz w:val="18"/>
              </w:rPr>
            </w:r>
            <w:r>
              <w:rPr>
                <w:b/>
                <w:sz w:val="18"/>
              </w:rPr>
              <w:t>No loss on crash</w:t>
            </w:r>
          </w:p>
        </w:tc>
        <w:tc>
          <w:tcPr>
            <w:tcW w:type="dxa" w:w="7858"/>
          </w:tcPr>
          <w:p>
            <w:pPr>
              <w:spacing w:after="40"/>
            </w:pPr>
            <w:r>
              <w:rPr>
                <w:sz w:val="18"/>
              </w:rPr>
            </w:r>
            <w:r>
              <w:rPr>
                <w:sz w:val="18"/>
              </w:rPr>
              <w:t>Rename-into-staging before sending; the file is only archived once the server confirms</w:t>
            </w:r>
          </w:p>
        </w:tc>
      </w:tr>
      <w:tr>
        <w:tc>
          <w:tcPr>
            <w:tcW w:type="dxa" w:w="1553"/>
            <w:shd w:val="clear" w:color="auto" w:fill="D3DFEE"/>
          </w:tcPr>
          <w:p>
            <w:pPr>
              <w:spacing w:after="40"/>
            </w:pPr>
            <w:r>
              <w:rPr>
                <w:b/>
                <w:sz w:val="18"/>
              </w:rPr>
            </w:r>
            <w:r>
              <w:rPr>
                <w:b/>
                <w:sz w:val="18"/>
              </w:rPr>
              <w:t>No loss on outage</w:t>
            </w:r>
          </w:p>
        </w:tc>
        <w:tc>
          <w:tcPr>
            <w:tcW w:type="dxa" w:w="7858"/>
            <w:shd w:val="clear" w:color="auto" w:fill="D3DFEE"/>
          </w:tcPr>
          <w:p>
            <w:pPr>
              <w:spacing w:after="40"/>
            </w:pPr>
            <w:r>
              <w:rPr>
                <w:sz w:val="18"/>
              </w:rPr>
            </w:r>
            <w:r>
              <w:rPr>
                <w:sz w:val="18"/>
              </w:rPr>
              <w:t>Files accumulate on disk and are replayed automatically on reconnection</w:t>
            </w:r>
          </w:p>
        </w:tc>
      </w:tr>
      <w:tr>
        <w:tc>
          <w:tcPr>
            <w:tcW w:type="dxa" w:w="1553"/>
          </w:tcPr>
          <w:p>
            <w:pPr>
              <w:spacing w:after="40"/>
            </w:pPr>
            <w:r>
              <w:rPr>
                <w:b/>
                <w:sz w:val="18"/>
              </w:rPr>
            </w:r>
            <w:r>
              <w:rPr>
                <w:b/>
                <w:sz w:val="18"/>
              </w:rPr>
              <w:t>Nothing deleted</w:t>
            </w:r>
          </w:p>
        </w:tc>
        <w:tc>
          <w:tcPr>
            <w:tcW w:type="dxa" w:w="7858"/>
          </w:tcPr>
          <w:p>
            <w:pPr>
              <w:spacing w:after="40"/>
            </w:pPr>
            <w:r>
              <w:rPr>
                <w:sz w:val="18"/>
              </w:rPr>
            </w:r>
            <w:r>
              <w:rPr>
                <w:sz w:val="18"/>
              </w:rPr>
              <w:t>Ingested files are archived permanently, never removed</w:t>
            </w:r>
          </w:p>
        </w:tc>
      </w:tr>
      <w:tr>
        <w:tc>
          <w:tcPr>
            <w:tcW w:type="dxa" w:w="1553"/>
            <w:shd w:val="clear" w:color="auto" w:fill="D3DFEE"/>
          </w:tcPr>
          <w:p>
            <w:pPr>
              <w:spacing w:after="40"/>
            </w:pPr>
            <w:r>
              <w:rPr>
                <w:b/>
                <w:sz w:val="18"/>
              </w:rPr>
            </w:r>
            <w:r>
              <w:rPr>
                <w:b/>
                <w:sz w:val="18"/>
              </w:rPr>
              <w:t>Out-of-order safe</w:t>
            </w:r>
          </w:p>
        </w:tc>
        <w:tc>
          <w:tcPr>
            <w:tcW w:type="dxa" w:w="7858"/>
            <w:shd w:val="clear" w:color="auto" w:fill="D3DFEE"/>
          </w:tcPr>
          <w:p>
            <w:pPr>
              <w:spacing w:after="40"/>
            </w:pPr>
            <w:r>
              <w:rPr>
                <w:sz w:val="18"/>
              </w:rPr>
            </w:r>
            <w:r>
              <w:rPr>
                <w:sz w:val="18"/>
              </w:rPr>
              <w:t>Readings are keyed by their own timestamp, not arrival order</w:t>
            </w:r>
          </w:p>
        </w:tc>
      </w:tr>
      <w:tr>
        <w:tc>
          <w:tcPr>
            <w:tcW w:type="dxa" w:w="1553"/>
          </w:tcPr>
          <w:p>
            <w:pPr>
              <w:spacing w:after="40"/>
            </w:pPr>
            <w:r>
              <w:rPr>
                <w:b/>
                <w:sz w:val="18"/>
              </w:rPr>
            </w:r>
            <w:r>
              <w:rPr>
                <w:b/>
                <w:sz w:val="18"/>
              </w:rPr>
              <w:t>Auditable</w:t>
            </w:r>
          </w:p>
        </w:tc>
        <w:tc>
          <w:tcPr>
            <w:tcW w:type="dxa" w:w="7858"/>
          </w:tcPr>
          <w:p>
            <w:pPr>
              <w:spacing w:after="40"/>
            </w:pPr>
            <w:r>
              <w:rPr>
                <w:sz w:val="18"/>
              </w:rPr>
            </w:r>
            <w:r>
              <w:rPr>
                <w:sz w:val="18"/>
              </w:rPr>
              <w:t>Every file's journey is recorded — received, parsed, stored, archived</w:t>
            </w:r>
          </w:p>
        </w:tc>
      </w:tr>
    </w:tbl>
    <w:p/>
    <w:p>
      <w:pPr>
        <w:pStyle w:val="Heading2"/>
      </w:pPr>
      <w:r>
        <w:t>5. Security</w:t>
      </w:r>
    </w:p>
    <w:p>
      <w:r>
        <w:t>Data security is treated as a requirement of the same rank as correctness.</w:t>
      </w:r>
    </w:p>
    <w:p>
      <w:pPr>
        <w:pStyle w:val="Heading3"/>
      </w:pPr>
      <w:r>
        <w:t>In transit</w:t>
      </w:r>
    </w:p>
    <w:p>
      <w:pPr>
        <w:pStyle w:val="ListBullet"/>
      </w:pPr>
      <w:r>
        <w:rPr>
          <w:b/>
        </w:rPr>
        <w:t>SFTP only</w:t>
      </w:r>
      <w:r>
        <w:t xml:space="preserve"> from the trackside box, on hardened OpenSSH with key-based authentication and per-site chroot isolation, so one site can never see another's data.</w:t>
      </w:r>
    </w:p>
    <w:p>
      <w:pPr>
        <w:pStyle w:val="ListBullet"/>
      </w:pPr>
      <w:r>
        <w:rPr>
          <w:b/>
        </w:rPr>
        <w:t>TLS everywhere else</w:t>
      </w:r>
      <w:r>
        <w:t xml:space="preserve"> — logger to server, server to database, browser and mobile to API.</w:t>
      </w:r>
    </w:p>
    <w:p>
      <w:pPr>
        <w:pStyle w:val="ListBullet"/>
      </w:pPr>
      <w:r>
        <w:t xml:space="preserve">The ingest agent holds an </w:t>
      </w:r>
      <w:r>
        <w:rPr>
          <w:b/>
        </w:rPr>
        <w:t>outbound-only credential</w:t>
      </w:r>
      <w:r>
        <w:t xml:space="preserve">. The trackside box exposes </w:t>
      </w:r>
      <w:r>
        <w:rPr>
          <w:b/>
        </w:rPr>
        <w:t>no inbound port</w:t>
      </w:r>
      <w:r>
        <w:t xml:space="preserve"> to us.</w:t>
      </w:r>
    </w:p>
    <w:p>
      <w:pPr>
        <w:pStyle w:val="Heading3"/>
      </w:pPr>
      <w:r>
        <w:t>At rest and in the platform</w:t>
      </w:r>
    </w:p>
    <w:p>
      <w:pPr>
        <w:pStyle w:val="ListBullet"/>
      </w:pPr>
      <w:r>
        <w:rPr>
          <w:b/>
        </w:rPr>
        <w:t>Encryption at rest</w:t>
      </w:r>
      <w:r>
        <w:t xml:space="preserve"> on the database and on backups.</w:t>
      </w:r>
    </w:p>
    <w:p>
      <w:pPr>
        <w:pStyle w:val="ListBullet"/>
      </w:pPr>
      <w:r>
        <w:rPr>
          <w:b/>
        </w:rPr>
        <w:t>Least-privilege credentials</w:t>
      </w:r>
      <w:r>
        <w:t xml:space="preserve"> — the ingest credential can upload readings and nothing else. It cannot read other customers' data, change configuration, or administer anything.</w:t>
      </w:r>
    </w:p>
    <w:p>
      <w:pPr>
        <w:pStyle w:val="ListBullet"/>
      </w:pPr>
      <w:r>
        <w:rPr>
          <w:b/>
        </w:rPr>
        <w:t>Every secret hashed</w:t>
      </w:r>
      <w:r>
        <w:t>, never stored recoverably. Generated passwords are shown once.</w:t>
      </w:r>
    </w:p>
    <w:p>
      <w:pPr>
        <w:pStyle w:val="ListBullet"/>
      </w:pPr>
      <w:r>
        <w:rPr>
          <w:b/>
        </w:rPr>
        <w:t>Role-based access control</w:t>
      </w:r>
      <w:r>
        <w:t xml:space="preserve"> with per-station scoping, so a user sees only what their role and their sites permit.</w:t>
      </w:r>
    </w:p>
    <w:p>
      <w:pPr>
        <w:pStyle w:val="ListBullet"/>
      </w:pPr>
      <w:r>
        <w:rPr>
          <w:b/>
        </w:rPr>
        <w:t>Optional multi-factor authentication</w:t>
      </w:r>
      <w:r>
        <w:t xml:space="preserve"> for portal access.</w:t>
      </w:r>
    </w:p>
    <w:p>
      <w:pPr>
        <w:pStyle w:val="ListBullet"/>
      </w:pPr>
      <w:r>
        <w:rPr>
          <w:b/>
        </w:rPr>
        <w:t>Full audit trail</w:t>
      </w:r>
      <w:r>
        <w:t xml:space="preserve"> — every login, threshold change, acknowledgement and manual pump command recorded against a named person with a timestamp.</w:t>
      </w:r>
    </w:p>
    <w:p>
      <w:pPr>
        <w:pStyle w:val="ListBullet"/>
      </w:pPr>
      <w:r>
        <w:rPr>
          <w:b/>
        </w:rPr>
        <w:t>Automated dependency scanning</w:t>
      </w:r>
      <w:r>
        <w:t xml:space="preserve"> in the build, and a </w:t>
      </w:r>
      <w:r>
        <w:rPr>
          <w:b/>
        </w:rPr>
        <w:t>penetration test</w:t>
      </w:r>
      <w:r>
        <w:t xml:space="preserve"> before go-live.</w:t>
      </w:r>
    </w:p>
    <w:p>
      <w:pPr>
        <w:pStyle w:val="Heading3"/>
      </w:pPr>
      <w:r>
        <w:t>Scripts on the Lightsail box</w:t>
      </w:r>
    </w:p>
    <w:p>
      <w:r>
        <w:t>Everything privileged is a single root-owned script with a single narrow sudo rule. Arguments are validated in three independent layers, so no one check is load-bearing. The agent runs unprivileged, cannot modify its own code, and can execute exactly one command as root — nothing else.</w:t>
      </w:r>
    </w:p>
    <w:p>
      <w:pPr>
        <w:pStyle w:val="Heading2"/>
      </w:pPr>
      <w:r>
        <w:t>6. Performance — millions of records without slowing down</w:t>
      </w:r>
    </w:p>
    <w:p>
      <w:r>
        <w:t>The requirement is that a year of second-by-second history stays fast to query and fast to display. That is a design problem, and these are the decisions.</w:t>
      </w:r>
    </w:p>
    <w:p>
      <w:pPr>
        <w:pStyle w:val="Heading3"/>
      </w:pPr>
      <w:r>
        <w:t>Storage</w:t>
      </w:r>
    </w:p>
    <w:p>
      <w:pPr>
        <w:pStyle w:val="ListBullet"/>
      </w:pPr>
      <w:r>
        <w:rPr>
          <w:b/>
        </w:rPr>
        <w:t>Time-series collections</w:t>
      </w:r>
      <w:r>
        <w:t>, purpose-built for this shape of data — high write rate, append-only, queried by time range.</w:t>
      </w:r>
    </w:p>
    <w:p>
      <w:pPr>
        <w:pStyle w:val="ListBullet"/>
      </w:pPr>
      <w:r>
        <w:rPr>
          <w:b/>
        </w:rPr>
        <w:t>Compound indexes</w:t>
      </w:r>
      <w:r>
        <w:t xml:space="preserve"> matched to the queries that actually run, verified with query plans rather than assumed.</w:t>
      </w:r>
    </w:p>
    <w:p>
      <w:pPr>
        <w:pStyle w:val="ListBullet"/>
      </w:pPr>
      <w:r>
        <w:rPr>
          <w:b/>
        </w:rPr>
        <w:t>Pre-aggregated rollups.</w:t>
      </w:r>
      <w:r>
        <w:t xml:space="preserve"> Every reading is summarised into per-minute, per-hour and per-day records as it arrives. A chart of last month reads ~720 hourly rows, not 21 million raw ones.</w:t>
      </w:r>
    </w:p>
    <w:p>
      <w:pPr>
        <w:pStyle w:val="ListBullet"/>
      </w:pPr>
      <w:r>
        <w:rPr>
          <w:b/>
        </w:rPr>
        <w:t>Tiered retention</w:t>
      </w:r>
      <w:r>
        <w:t xml:space="preserve"> — full 1-second detail for the recent window, aggregates kept for the long term. Nothing needed for reporting is ever discarded.</w:t>
      </w:r>
    </w:p>
    <w:p>
      <w:pPr>
        <w:pStyle w:val="Heading3"/>
      </w:pPr>
      <w:r>
        <w:t>Serving</w:t>
      </w:r>
    </w:p>
    <w:p>
      <w:pPr>
        <w:pStyle w:val="ListBullet"/>
      </w:pPr>
      <w:r>
        <w:rPr>
          <w:b/>
        </w:rPr>
        <w:t>Redis</w:t>
      </w:r>
      <w:r>
        <w:t xml:space="preserve"> for live readings and dashboard state, so the map and station tiles do not touch the database on every refresh.</w:t>
      </w:r>
    </w:p>
    <w:p>
      <w:pPr>
        <w:pStyle w:val="ListBullet"/>
      </w:pPr>
      <w:r>
        <w:rPr>
          <w:b/>
        </w:rPr>
        <w:t>Cursor pagination</w:t>
      </w:r>
      <w:r>
        <w:t xml:space="preserve"> everywhere, so a large result set never loads at once.</w:t>
      </w:r>
    </w:p>
    <w:p>
      <w:pPr>
        <w:pStyle w:val="ListBullet"/>
      </w:pPr>
      <w:r>
        <w:rPr>
          <w:b/>
        </w:rPr>
        <w:t>Streamed CSV export</w:t>
      </w:r>
      <w:r>
        <w:t>, so a 90-day export cannot exhaust server memory.</w:t>
      </w:r>
    </w:p>
    <w:p>
      <w:pPr>
        <w:pStyle w:val="ListBullet"/>
      </w:pPr>
      <w:r>
        <w:rPr>
          <w:b/>
        </w:rPr>
        <w:t>WebSocket push</w:t>
      </w:r>
      <w:r>
        <w:t xml:space="preserve"> for live values — the browser is told when something changes rather than polling for it.</w:t>
      </w:r>
    </w:p>
    <w:p>
      <w:pPr>
        <w:pStyle w:val="Heading3"/>
      </w:pPr>
      <w:r>
        <w:t>In the browser and on the phone</w:t>
      </w:r>
    </w:p>
    <w:p>
      <w:pPr>
        <w:pStyle w:val="ListBullet"/>
      </w:pPr>
      <w:r>
        <w:t>Server-side rendering and code splitting so the first screen is fast on a field connection.</w:t>
      </w:r>
    </w:p>
    <w:p>
      <w:pPr>
        <w:pStyle w:val="ListBullet"/>
      </w:pPr>
      <w:r>
        <w:t xml:space="preserve">Charts render </w:t>
      </w:r>
      <w:r>
        <w:rPr>
          <w:b/>
        </w:rPr>
        <w:t>downsampled</w:t>
      </w:r>
      <w:r>
        <w:t xml:space="preserve"> series matched to the pixels available; the underlying detail is fetched only when zoomed.</w:t>
      </w:r>
    </w:p>
    <w:p>
      <w:pPr>
        <w:pStyle w:val="ListBullet"/>
      </w:pPr>
      <w:r>
        <w:t>Virtualised tables, so a 50,000-row query scrolls smoothly.</w:t>
      </w:r>
    </w:p>
    <w:p>
      <w:pPr>
        <w:pStyle w:val="ListBullet"/>
      </w:pPr>
      <w:r>
        <w:t>A performance budget enforced automatically in the build, so a regression fails the pipeline rather than reaching production.</w:t>
      </w:r>
    </w:p>
    <w:p>
      <w:pPr>
        <w:pStyle w:val="Heading2"/>
      </w:pPr>
      <w:r>
        <w:t>7. The alert engine</w:t>
      </w:r>
    </w:p>
    <w:p>
      <w:r>
        <w:t>The heart of the system, and the part with the least tolerance for error.</w:t>
      </w:r>
    </w:p>
    <w:p>
      <w:pPr>
        <w:pStyle w:val="Heading3"/>
      </w:pPr>
      <w:r>
        <w:t>Rainfall — vigilance logic</w:t>
      </w:r>
    </w:p>
    <w:p>
      <w:r>
        <w:t xml:space="preserve">For each threshold — </w:t>
      </w:r>
      <w:r>
        <w:rPr>
          <w:b/>
        </w:rPr>
        <w:t>≥25 mm/hr</w:t>
      </w:r>
      <w:r>
        <w:t xml:space="preserve">, </w:t>
      </w:r>
      <w:r>
        <w:rPr>
          <w:b/>
        </w:rPr>
        <w:t>≥45 mm/3 h</w:t>
      </w:r>
      <w:r>
        <w:t xml:space="preserve">, </w:t>
      </w:r>
      <w:r>
        <w:rPr>
          <w:b/>
        </w:rPr>
        <w:t>≥120 mm/3 days</w:t>
      </w:r>
      <w:r>
        <w:t xml:space="preserve"> — the engine maintains a live rolling total and compares it continuously.</w:t>
      </w:r>
    </w:p>
    <w:p>
      <w:r>
        <w:t xml:space="preserve">When a threshold is crossed it raises the alert immediately with the exact MTS wording. When rainfall falls back below the line it does </w:t>
      </w:r>
      <w:r>
        <w:rPr>
          <w:b/>
        </w:rPr>
        <w:t>not</w:t>
      </w:r>
      <w:r>
        <w:t xml:space="preserve"> stand down: it starts a </w:t>
      </w:r>
      <w:r>
        <w:rPr>
          <w:b/>
        </w:rPr>
        <w:t>vigilance countdown</w:t>
      </w:r>
      <w:r>
        <w:t xml:space="preserve"> — </w:t>
      </w:r>
      <w:r>
        <w:rPr>
          <w:b/>
        </w:rPr>
        <w:t>6 h / 12 h / 48 h</w:t>
      </w:r>
      <w:r>
        <w:t xml:space="preserve"> respectively — and holds the alert for the whole period. Further qualifying rain </w:t>
      </w:r>
      <w:r>
        <w:rPr>
          <w:b/>
        </w:rPr>
        <w:t>restarts</w:t>
      </w:r>
      <w:r>
        <w:t xml:space="preserve"> the countdown. When the clock finally expires it issues an automatic </w:t>
      </w:r>
      <w:r>
        <w:rPr>
          <w:b/>
        </w:rPr>
        <w:t>all-clear</w:t>
      </w:r>
      <w:r>
        <w:t>.</w:t>
      </w:r>
    </w:p>
    <w:p>
      <w:r>
        <w:t>Every value — thresholds, windows, countdown durations, wording — is a configuration item MTS can change without a software release.</w:t>
      </w:r>
    </w:p>
    <w:p>
      <w:pPr>
        <w:pStyle w:val="Heading3"/>
      </w:pPr>
      <w:r>
        <w:t>Flood, temperature and wind</w:t>
      </w:r>
    </w:p>
    <w:tbl>
      <w:tblPr>
        <w:tblStyle w:val="TableGrid"/>
        <w:tblW w:type="auto" w:w="0"/>
        <w:tblLayout w:type="fixed"/>
        <w:tblLook w:firstColumn="1" w:firstRow="1" w:lastColumn="0" w:lastRow="0" w:noHBand="0" w:noVBand="1" w:val="04A0"/>
        <w:tblLayout w:type="fixed"/>
        <w:tblLayout w:type="fixed"/>
        <w:tblBorders>
          <w:top w:val="single" w:sz="8" w:color="4F81BD"/>
          <w:left w:val="single" w:sz="8" w:color="4F81BD"/>
          <w:bottom w:val="single" w:sz="8" w:color="4F81BD"/>
          <w:right w:val="single" w:sz="8" w:color="4F81BD"/>
          <w:insideH w:val="single" w:sz="4" w:color="4F81BD"/>
          <w:insideV w:val="single" w:sz="4" w:color="4F81BD"/>
        </w:tblBorders>
      </w:tblPr>
      <w:tblGrid>
        <w:gridCol w:w="871"/>
        <w:gridCol w:w="8540"/>
      </w:tblGrid>
      <w:tr>
        <w:tc>
          <w:tcPr>
            <w:tcW w:type="dxa" w:w="871"/>
          </w:tcPr>
          <w:p>
            <w:pPr>
              <w:spacing w:after="40"/>
            </w:pPr>
            <w:r>
              <w:rPr>
                <w:b/>
                <w:sz w:val="18"/>
              </w:rPr>
            </w:r>
            <w:r>
              <w:rPr>
                <w:b/>
                <w:sz w:val="18"/>
              </w:rPr>
              <w:t>Parameter</w:t>
            </w:r>
          </w:p>
        </w:tc>
        <w:tc>
          <w:tcPr>
            <w:tcW w:type="dxa" w:w="8540"/>
          </w:tcPr>
          <w:p>
            <w:pPr>
              <w:spacing w:after="40"/>
            </w:pPr>
            <w:r>
              <w:rPr>
                <w:b/>
                <w:sz w:val="18"/>
              </w:rPr>
            </w:r>
            <w:r>
              <w:rPr>
                <w:b/>
                <w:sz w:val="18"/>
              </w:rPr>
              <w:t>Logic</w:t>
            </w:r>
          </w:p>
        </w:tc>
      </w:tr>
      <w:tr>
        <w:tc>
          <w:tcPr>
            <w:tcW w:type="dxa" w:w="871"/>
            <w:shd w:val="clear" w:color="auto" w:fill="D3DFEE"/>
          </w:tcPr>
          <w:p>
            <w:pPr>
              <w:spacing w:after="40"/>
            </w:pPr>
            <w:r>
              <w:rPr>
                <w:b/>
                <w:sz w:val="18"/>
              </w:rPr>
            </w:r>
            <w:r>
              <w:rPr>
                <w:b/>
                <w:sz w:val="18"/>
              </w:rPr>
              <w:t>Flood</w:t>
            </w:r>
          </w:p>
        </w:tc>
        <w:tc>
          <w:tcPr>
            <w:tcW w:type="dxa" w:w="8540"/>
            <w:shd w:val="clear" w:color="auto" w:fill="D3DFEE"/>
          </w:tcPr>
          <w:p>
            <w:pPr>
              <w:spacing w:after="40"/>
            </w:pPr>
            <w:r>
              <w:rPr>
                <w:sz w:val="18"/>
              </w:rPr>
            </w:r>
            <w:r>
              <w:rPr>
                <w:sz w:val="18"/>
              </w:rPr>
              <w:t>Standing water (PTZ verification prompt) → water above rail foot (block the line) → trending down (staged reinstatement 25 → 60 kph → unrestricted)</w:t>
            </w:r>
          </w:p>
        </w:tc>
      </w:tr>
      <w:tr>
        <w:tc>
          <w:tcPr>
            <w:tcW w:type="dxa" w:w="871"/>
          </w:tcPr>
          <w:p>
            <w:pPr>
              <w:spacing w:after="40"/>
            </w:pPr>
            <w:r>
              <w:rPr>
                <w:b/>
                <w:sz w:val="18"/>
              </w:rPr>
            </w:r>
            <w:r>
              <w:rPr>
                <w:b/>
                <w:sz w:val="18"/>
              </w:rPr>
              <w:t>Temperature</w:t>
            </w:r>
          </w:p>
        </w:tc>
        <w:tc>
          <w:tcPr>
            <w:tcW w:type="dxa" w:w="8540"/>
          </w:tcPr>
          <w:p>
            <w:pPr>
              <w:spacing w:after="40"/>
            </w:pPr>
            <w:r>
              <w:rPr>
                <w:sz w:val="18"/>
              </w:rPr>
            </w:r>
            <w:r>
              <w:rPr>
                <w:sz w:val="18"/>
              </w:rPr>
              <w:t>≥38 °C and ≥45 °C rising, sustained &gt;5 min; falling &lt;45 °C / &lt;38 °C sustained &gt;10 min; drives the 60/40 kph TSR and heat-patrol wording</w:t>
            </w:r>
          </w:p>
        </w:tc>
      </w:tr>
      <w:tr>
        <w:tc>
          <w:tcPr>
            <w:tcW w:type="dxa" w:w="871"/>
            <w:shd w:val="clear" w:color="auto" w:fill="D3DFEE"/>
          </w:tcPr>
          <w:p>
            <w:pPr>
              <w:spacing w:after="40"/>
            </w:pPr>
            <w:r>
              <w:rPr>
                <w:b/>
                <w:sz w:val="18"/>
              </w:rPr>
            </w:r>
            <w:r>
              <w:rPr>
                <w:b/>
                <w:sz w:val="18"/>
              </w:rPr>
              <w:t>Wind</w:t>
            </w:r>
          </w:p>
        </w:tc>
        <w:tc>
          <w:tcPr>
            <w:tcW w:type="dxa" w:w="8540"/>
            <w:shd w:val="clear" w:color="auto" w:fill="D3DFEE"/>
          </w:tcPr>
          <w:p>
            <w:pPr>
              <w:spacing w:after="40"/>
            </w:pPr>
            <w:r>
              <w:rPr>
                <w:sz w:val="18"/>
              </w:rPr>
            </w:r>
            <w:r>
              <w:rPr>
                <w:sz w:val="18"/>
              </w:rPr>
              <w:t>≥75 / ≥85 kph TSR wording at the listed kilometrages; ≥120 kph block-line on all external track</w:t>
            </w:r>
          </w:p>
        </w:tc>
      </w:tr>
      <w:tr>
        <w:tc>
          <w:tcPr>
            <w:tcW w:type="dxa" w:w="871"/>
          </w:tcPr>
          <w:p>
            <w:pPr>
              <w:spacing w:after="40"/>
            </w:pPr>
            <w:r>
              <w:rPr>
                <w:b/>
                <w:sz w:val="18"/>
              </w:rPr>
            </w:r>
            <w:r>
              <w:rPr>
                <w:b/>
                <w:sz w:val="18"/>
              </w:rPr>
              <w:t>Pumps</w:t>
            </w:r>
          </w:p>
        </w:tc>
        <w:tc>
          <w:tcPr>
            <w:tcW w:type="dxa" w:w="8540"/>
          </w:tcPr>
          <w:p>
            <w:pPr>
              <w:spacing w:after="40"/>
            </w:pPr>
            <w:r>
              <w:rPr>
                <w:sz w:val="18"/>
              </w:rPr>
            </w:r>
            <w:r>
              <w:rPr>
                <w:sz w:val="18"/>
              </w:rPr>
              <w:t>Start, stop, fail, no-flow, high-high level, sensor discrepancy — all raised immediately</w:t>
            </w:r>
          </w:p>
        </w:tc>
      </w:tr>
      <w:tr>
        <w:tc>
          <w:tcPr>
            <w:tcW w:type="dxa" w:w="871"/>
            <w:shd w:val="clear" w:color="auto" w:fill="D3DFEE"/>
          </w:tcPr>
          <w:p>
            <w:pPr>
              <w:spacing w:after="40"/>
            </w:pPr>
            <w:r>
              <w:rPr>
                <w:b/>
                <w:sz w:val="18"/>
              </w:rPr>
            </w:r>
            <w:r>
              <w:rPr>
                <w:b/>
                <w:sz w:val="18"/>
              </w:rPr>
              <w:t>System</w:t>
            </w:r>
          </w:p>
        </w:tc>
        <w:tc>
          <w:tcPr>
            <w:tcW w:type="dxa" w:w="8540"/>
            <w:shd w:val="clear" w:color="auto" w:fill="D3DFEE"/>
          </w:tcPr>
          <w:p>
            <w:pPr>
              <w:spacing w:after="40"/>
            </w:pPr>
            <w:r>
              <w:rPr>
                <w:sz w:val="18"/>
              </w:rPr>
            </w:r>
            <w:r>
              <w:rPr>
                <w:sz w:val="18"/>
              </w:rPr>
              <w:t>Sensor offline, missing data, low battery, communications loss — leading indicators, not just failures</w:t>
            </w:r>
          </w:p>
        </w:tc>
      </w:tr>
    </w:tbl>
    <w:p/>
    <w:p>
      <w:pPr>
        <w:pStyle w:val="Heading3"/>
      </w:pPr>
      <w:r>
        <w:t>Redundancy and fallback</w:t>
      </w:r>
    </w:p>
    <w:p>
      <w:r>
        <w:t xml:space="preserve">On sensor failure the engine automatically generates alerts from the </w:t>
      </w:r>
      <w:r>
        <w:rPr>
          <w:b/>
        </w:rPr>
        <w:t>designated alternate source</w:t>
      </w:r>
      <w:r>
        <w:t xml:space="preserve"> and </w:t>
      </w:r>
      <w:r>
        <w:rPr>
          <w:b/>
        </w:rPr>
        <w:t>rewords</w:t>
      </w:r>
      <w:r>
        <w:t xml:space="preserve"> the alert to state which additional sections it now covers. A fault alert is issued first, telling MTS that alerting has moved to the fallback — so nobody is unaware that they are running degraded.</w:t>
      </w:r>
    </w:p>
    <w:p>
      <w:pPr>
        <w:pStyle w:val="Heading3"/>
      </w:pPr>
      <w:r>
        <w:t>Delivery</w:t>
      </w:r>
    </w:p>
    <w:p>
      <w:r>
        <w:rPr>
          <w:b/>
        </w:rPr>
        <w:t>Screen, email and SMS.</w:t>
      </w:r>
      <w:r>
        <w:t xml:space="preserve"> Each alert carries date, time, </w:t>
      </w:r>
      <w:r>
        <w:rPr>
          <w:b/>
        </w:rPr>
        <w:t>track (up/down)</w:t>
      </w:r>
      <w:r>
        <w:t xml:space="preserve">, </w:t>
      </w:r>
      <w:r>
        <w:rPr>
          <w:b/>
        </w:rPr>
        <w:t>rail (up/down)</w:t>
      </w:r>
      <w:r>
        <w:t xml:space="preserve">, </w:t>
      </w:r>
      <w:r>
        <w:rPr>
          <w:b/>
        </w:rPr>
        <w:t>kilometrage</w:t>
      </w:r>
      <w:r>
        <w:t xml:space="preserve">, and a </w:t>
      </w:r>
      <w:r>
        <w:rPr>
          <w:b/>
        </w:rPr>
        <w:t>direct hyperlink to the event</w:t>
      </w:r>
      <w:r>
        <w:t xml:space="preserve">. For standing-water conditions it carries a </w:t>
      </w:r>
      <w:r>
        <w:rPr>
          <w:b/>
        </w:rPr>
        <w:t>one-click PTZ camera link</w:t>
      </w:r>
      <w:r>
        <w:t xml:space="preserve"> — on screen, in the email, and as a short URL in the SMS.</w:t>
      </w:r>
    </w:p>
    <w:p>
      <w:r>
        <w:t xml:space="preserve">SMS goes through a provider with an Australian delivery guarantee, with a second provider configured as failover and delivery receipts recorded, so the 5-minute obligation can be </w:t>
      </w:r>
      <w:r>
        <w:rPr>
          <w:b/>
        </w:rPr>
        <w:t>evidenced</w:t>
      </w:r>
      <w:r>
        <w:t>, not just claimed.</w:t>
      </w:r>
    </w:p>
    <w:p>
      <w:pPr>
        <w:pStyle w:val="Heading2"/>
      </w:pPr>
      <w:r>
        <w:t>8. The web portal</w:t>
      </w:r>
    </w:p>
    <w:p>
      <w:r>
        <w:t>One responsive application — phone, tablet, laptop — with no separate mobile site to maintain.</w:t>
      </w:r>
    </w:p>
    <w:tbl>
      <w:tblPr>
        <w:tblStyle w:val="TableGrid"/>
        <w:tblW w:type="auto" w:w="0"/>
        <w:tblLayout w:type="fixed"/>
        <w:tblLook w:firstColumn="1" w:firstRow="1" w:lastColumn="0" w:lastRow="0" w:noHBand="0" w:noVBand="1" w:val="04A0"/>
        <w:tblLayout w:type="fixed"/>
        <w:tblLayout w:type="fixed"/>
        <w:tblBorders>
          <w:top w:val="single" w:sz="8" w:color="4F81BD"/>
          <w:left w:val="single" w:sz="8" w:color="4F81BD"/>
          <w:bottom w:val="single" w:sz="8" w:color="4F81BD"/>
          <w:right w:val="single" w:sz="8" w:color="4F81BD"/>
          <w:insideH w:val="single" w:sz="4" w:color="4F81BD"/>
          <w:insideV w:val="single" w:sz="4" w:color="4F81BD"/>
        </w:tblBorders>
      </w:tblPr>
      <w:tblGrid>
        <w:gridCol w:w="1176"/>
        <w:gridCol w:w="8235"/>
      </w:tblGrid>
      <w:tr>
        <w:tc>
          <w:tcPr>
            <w:tcW w:type="dxa" w:w="1176"/>
          </w:tcPr>
          <w:p>
            <w:pPr>
              <w:spacing w:after="40"/>
            </w:pPr>
            <w:r>
              <w:rPr>
                <w:b/>
                <w:sz w:val="18"/>
              </w:rPr>
            </w:r>
            <w:r>
              <w:rPr>
                <w:b/>
                <w:sz w:val="18"/>
              </w:rPr>
              <w:t>Screen</w:t>
            </w:r>
          </w:p>
        </w:tc>
        <w:tc>
          <w:tcPr>
            <w:tcW w:type="dxa" w:w="8235"/>
          </w:tcPr>
          <w:p>
            <w:pPr>
              <w:spacing w:after="40"/>
            </w:pPr>
            <w:r>
              <w:rPr>
                <w:b/>
                <w:sz w:val="18"/>
              </w:rPr>
            </w:r>
            <w:r>
              <w:rPr>
                <w:b/>
                <w:sz w:val="18"/>
              </w:rPr>
              <w:t>Contents</w:t>
            </w:r>
          </w:p>
        </w:tc>
      </w:tr>
      <w:tr>
        <w:tc>
          <w:tcPr>
            <w:tcW w:type="dxa" w:w="1176"/>
            <w:shd w:val="clear" w:color="auto" w:fill="D3DFEE"/>
          </w:tcPr>
          <w:p>
            <w:pPr>
              <w:spacing w:after="40"/>
            </w:pPr>
            <w:r>
              <w:rPr>
                <w:b/>
                <w:sz w:val="18"/>
              </w:rPr>
            </w:r>
            <w:r>
              <w:rPr>
                <w:b/>
                <w:sz w:val="18"/>
              </w:rPr>
              <w:t>Corridor map</w:t>
            </w:r>
          </w:p>
        </w:tc>
        <w:tc>
          <w:tcPr>
            <w:tcW w:type="dxa" w:w="8235"/>
            <w:shd w:val="clear" w:color="auto" w:fill="D3DFEE"/>
          </w:tcPr>
          <w:p>
            <w:pPr>
              <w:spacing w:after="40"/>
            </w:pPr>
            <w:r>
              <w:rPr>
                <w:sz w:val="18"/>
              </w:rPr>
            </w:r>
            <w:r>
              <w:rPr>
                <w:sz w:val="18"/>
              </w:rPr>
              <w:t>Every station on a map, live readings shown against their thresholds, colour-coded status, system-health summary and a station-status table. Click a site for its detail — the top-level view MTS asked for</w:t>
            </w:r>
          </w:p>
        </w:tc>
      </w:tr>
      <w:tr>
        <w:tc>
          <w:tcPr>
            <w:tcW w:type="dxa" w:w="1176"/>
          </w:tcPr>
          <w:p>
            <w:pPr>
              <w:spacing w:after="40"/>
            </w:pPr>
            <w:r>
              <w:rPr>
                <w:b/>
                <w:sz w:val="18"/>
              </w:rPr>
            </w:r>
            <w:r>
              <w:rPr>
                <w:b/>
                <w:sz w:val="18"/>
              </w:rPr>
              <w:t>Station detail</w:t>
            </w:r>
          </w:p>
        </w:tc>
        <w:tc>
          <w:tcPr>
            <w:tcW w:type="dxa" w:w="8235"/>
          </w:tcPr>
          <w:p>
            <w:pPr>
              <w:spacing w:after="40"/>
            </w:pPr>
            <w:r>
              <w:rPr>
                <w:sz w:val="18"/>
              </w:rPr>
            </w:r>
            <w:r>
              <w:rPr>
                <w:sz w:val="18"/>
              </w:rPr>
              <w:t>All sensors for that location, live and historical, with thresholds drawn on the charts</w:t>
            </w:r>
          </w:p>
        </w:tc>
      </w:tr>
      <w:tr>
        <w:tc>
          <w:tcPr>
            <w:tcW w:type="dxa" w:w="1176"/>
            <w:shd w:val="clear" w:color="auto" w:fill="D3DFEE"/>
          </w:tcPr>
          <w:p>
            <w:pPr>
              <w:spacing w:after="40"/>
            </w:pPr>
            <w:r>
              <w:rPr>
                <w:b/>
                <w:sz w:val="18"/>
              </w:rPr>
            </w:r>
            <w:r>
              <w:rPr>
                <w:b/>
                <w:sz w:val="18"/>
              </w:rPr>
              <w:t>Trends</w:t>
            </w:r>
          </w:p>
        </w:tc>
        <w:tc>
          <w:tcPr>
            <w:tcW w:type="dxa" w:w="8235"/>
            <w:shd w:val="clear" w:color="auto" w:fill="D3DFEE"/>
          </w:tcPr>
          <w:p>
            <w:pPr>
              <w:spacing w:after="40"/>
            </w:pPr>
            <w:r>
              <w:rPr>
                <w:sz w:val="18"/>
              </w:rPr>
            </w:r>
            <w:r>
              <w:rPr>
                <w:sz w:val="18"/>
              </w:rPr>
              <w:t>Time-series for wind (mean and gust), rainfall intensity, temperature, humidity and level, with threshold lines and flexible date ranges</w:t>
            </w:r>
          </w:p>
        </w:tc>
      </w:tr>
      <w:tr>
        <w:tc>
          <w:tcPr>
            <w:tcW w:type="dxa" w:w="1176"/>
          </w:tcPr>
          <w:p>
            <w:pPr>
              <w:spacing w:after="40"/>
            </w:pPr>
            <w:r>
              <w:rPr>
                <w:b/>
                <w:sz w:val="18"/>
              </w:rPr>
            </w:r>
            <w:r>
              <w:rPr>
                <w:b/>
                <w:sz w:val="18"/>
              </w:rPr>
              <w:t>Flood event</w:t>
            </w:r>
          </w:p>
        </w:tc>
        <w:tc>
          <w:tcPr>
            <w:tcW w:type="dxa" w:w="8235"/>
          </w:tcPr>
          <w:p>
            <w:pPr>
              <w:spacing w:after="40"/>
            </w:pPr>
            <w:r>
              <w:rPr>
                <w:sz w:val="18"/>
              </w:rPr>
            </w:r>
            <w:r>
              <w:rPr>
                <w:sz w:val="18"/>
              </w:rPr>
              <w:t>Water-level series for adjacent locations, pump auto-start markers, pump status, affected-vicinity inset, timestamped event log</w:t>
            </w:r>
          </w:p>
        </w:tc>
      </w:tr>
      <w:tr>
        <w:tc>
          <w:tcPr>
            <w:tcW w:type="dxa" w:w="1176"/>
            <w:shd w:val="clear" w:color="auto" w:fill="D3DFEE"/>
          </w:tcPr>
          <w:p>
            <w:pPr>
              <w:spacing w:after="40"/>
            </w:pPr>
            <w:r>
              <w:rPr>
                <w:b/>
                <w:sz w:val="18"/>
              </w:rPr>
            </w:r>
            <w:r>
              <w:rPr>
                <w:b/>
                <w:sz w:val="18"/>
              </w:rPr>
              <w:t>Marrickville pump station</w:t>
            </w:r>
          </w:p>
        </w:tc>
        <w:tc>
          <w:tcPr>
            <w:tcW w:type="dxa" w:w="8235"/>
            <w:shd w:val="clear" w:color="auto" w:fill="D3DFEE"/>
          </w:tcPr>
          <w:p>
            <w:pPr>
              <w:spacing w:after="40"/>
            </w:pPr>
            <w:r>
              <w:rPr>
                <w:sz w:val="18"/>
              </w:rPr>
            </w:r>
            <w:r>
              <w:rPr>
                <w:sz w:val="18"/>
              </w:rPr>
              <w:t xml:space="preserve">Live sensors, level trend against pump-start and high-high lines, duty/standby status and condition, </w:t>
            </w:r>
            <w:r>
              <w:rPr>
                <w:b/>
                <w:sz w:val="18"/>
              </w:rPr>
              <w:t>AUTO/MANUAL toggle</w:t>
            </w:r>
            <w:r>
              <w:rPr>
                <w:sz w:val="18"/>
              </w:rPr>
              <w:t xml:space="preserve">, </w:t>
            </w:r>
            <w:r>
              <w:rPr>
                <w:b/>
                <w:sz w:val="18"/>
              </w:rPr>
              <w:t>supervised START/STOP</w:t>
            </w:r>
            <w:r>
              <w:rPr>
                <w:sz w:val="18"/>
              </w:rPr>
              <w:t xml:space="preserve"> with confirmation</w:t>
            </w:r>
          </w:p>
        </w:tc>
      </w:tr>
      <w:tr>
        <w:tc>
          <w:tcPr>
            <w:tcW w:type="dxa" w:w="1176"/>
          </w:tcPr>
          <w:p>
            <w:pPr>
              <w:spacing w:after="40"/>
            </w:pPr>
            <w:r>
              <w:rPr>
                <w:b/>
                <w:sz w:val="18"/>
              </w:rPr>
            </w:r>
            <w:r>
              <w:rPr>
                <w:b/>
                <w:sz w:val="18"/>
              </w:rPr>
              <w:t>System health</w:t>
            </w:r>
          </w:p>
        </w:tc>
        <w:tc>
          <w:tcPr>
            <w:tcW w:type="dxa" w:w="8235"/>
          </w:tcPr>
          <w:p>
            <w:pPr>
              <w:spacing w:after="40"/>
            </w:pPr>
            <w:r>
              <w:rPr>
                <w:sz w:val="18"/>
              </w:rPr>
            </w:r>
            <w:r>
              <w:rPr>
                <w:sz w:val="18"/>
              </w:rPr>
              <w:t>Refreshed at ≤10 minutes: inoperable, unresponsive, missing sensor or pump data, low battery and other leading indicators</w:t>
            </w:r>
          </w:p>
        </w:tc>
      </w:tr>
      <w:tr>
        <w:tc>
          <w:tcPr>
            <w:tcW w:type="dxa" w:w="1176"/>
            <w:shd w:val="clear" w:color="auto" w:fill="D3DFEE"/>
          </w:tcPr>
          <w:p>
            <w:pPr>
              <w:spacing w:after="40"/>
            </w:pPr>
            <w:r>
              <w:rPr>
                <w:b/>
                <w:sz w:val="18"/>
              </w:rPr>
            </w:r>
            <w:r>
              <w:rPr>
                <w:b/>
                <w:sz w:val="18"/>
              </w:rPr>
              <w:t>Alerts &amp; notifications</w:t>
            </w:r>
          </w:p>
        </w:tc>
        <w:tc>
          <w:tcPr>
            <w:tcW w:type="dxa" w:w="8235"/>
            <w:shd w:val="clear" w:color="auto" w:fill="D3DFEE"/>
          </w:tcPr>
          <w:p>
            <w:pPr>
              <w:spacing w:after="40"/>
            </w:pPr>
            <w:r>
              <w:rPr>
                <w:sz w:val="18"/>
              </w:rPr>
            </w:r>
            <w:r>
              <w:rPr>
                <w:sz w:val="18"/>
              </w:rPr>
              <w:t>Full searchable history, filter by severity / acknowledgement / location / date, unacknowledged badge, per-event acknowledge, CSV export</w:t>
            </w:r>
          </w:p>
        </w:tc>
      </w:tr>
      <w:tr>
        <w:tc>
          <w:tcPr>
            <w:tcW w:type="dxa" w:w="1176"/>
          </w:tcPr>
          <w:p>
            <w:pPr>
              <w:spacing w:after="40"/>
            </w:pPr>
            <w:r>
              <w:rPr>
                <w:b/>
                <w:sz w:val="18"/>
              </w:rPr>
            </w:r>
            <w:r>
              <w:rPr>
                <w:b/>
                <w:sz w:val="18"/>
              </w:rPr>
              <w:t>Historical query</w:t>
            </w:r>
          </w:p>
        </w:tc>
        <w:tc>
          <w:tcPr>
            <w:tcW w:type="dxa" w:w="8235"/>
          </w:tcPr>
          <w:p>
            <w:pPr>
              <w:spacing w:after="40"/>
            </w:pPr>
            <w:r>
              <w:rPr>
                <w:sz w:val="18"/>
              </w:rPr>
            </w:r>
            <w:r>
              <w:rPr>
                <w:sz w:val="18"/>
              </w:rPr>
              <w:t>Point-and-click by location, sensor and date range with optional averaging — no technical knowledge, no SQL. Paged sortable results, one-click CSV export</w:t>
            </w:r>
          </w:p>
        </w:tc>
      </w:tr>
      <w:tr>
        <w:tc>
          <w:tcPr>
            <w:tcW w:type="dxa" w:w="1176"/>
            <w:shd w:val="clear" w:color="auto" w:fill="D3DFEE"/>
          </w:tcPr>
          <w:p>
            <w:pPr>
              <w:spacing w:after="40"/>
            </w:pPr>
            <w:r>
              <w:rPr>
                <w:b/>
                <w:sz w:val="18"/>
              </w:rPr>
            </w:r>
            <w:r>
              <w:rPr>
                <w:b/>
                <w:sz w:val="18"/>
              </w:rPr>
              <w:t>Administration</w:t>
            </w:r>
          </w:p>
        </w:tc>
        <w:tc>
          <w:tcPr>
            <w:tcW w:type="dxa" w:w="8235"/>
            <w:shd w:val="clear" w:color="auto" w:fill="D3DFEE"/>
          </w:tcPr>
          <w:p>
            <w:pPr>
              <w:spacing w:after="40"/>
            </w:pPr>
            <w:r>
              <w:rPr>
                <w:sz w:val="18"/>
              </w:rPr>
            </w:r>
            <w:r>
              <w:rPr>
                <w:sz w:val="18"/>
              </w:rPr>
              <w:t>Users, roles, station scoping, thresholds, alert wording, recipients</w:t>
            </w:r>
          </w:p>
        </w:tc>
      </w:tr>
    </w:tbl>
    <w:p/>
    <w:p>
      <w:pPr>
        <w:pStyle w:val="Heading3"/>
      </w:pPr>
      <w:r>
        <w:t>Users and roles</w:t>
      </w:r>
    </w:p>
    <w:p>
      <w:r>
        <w:t>Twenty or more named logins, each individually authenticated. Six standard roles, tailorable, with a user able to hold more than one:</w:t>
      </w:r>
    </w:p>
    <w:p>
      <w:r>
        <w:rPr>
          <w:b/>
        </w:rPr>
        <w:t>Administrator · Operator · Pump Controller · Maintainer/Technician · Analyst/Reporting · Viewer</w:t>
      </w:r>
    </w:p>
    <w:p>
      <w:r>
        <w:t>Each user's access is scoped to specific stations or areas. MTS administers all of this themselves — adding, editing, suspending and removing users — with no dependency on us for day-to-day account changes.</w:t>
      </w:r>
    </w:p>
    <w:p>
      <w:pPr>
        <w:pStyle w:val="Heading2"/>
      </w:pPr>
      <w:r>
        <w:t>9. The mobile application</w:t>
      </w:r>
    </w:p>
    <w:p>
      <w:r>
        <w:t xml:space="preserve">A native application for </w:t>
      </w:r>
      <w:r>
        <w:rPr>
          <w:b/>
        </w:rPr>
        <w:t>iOS and Android</w:t>
      </w:r>
      <w:r>
        <w:t xml:space="preserve">, built in </w:t>
      </w:r>
      <w:r>
        <w:rPr>
          <w:b/>
        </w:rPr>
        <w:t>Flutter</w:t>
      </w:r>
      <w:r>
        <w:t xml:space="preserve"> from one codebase.</w:t>
      </w:r>
    </w:p>
    <w:p>
      <w:r>
        <w:t xml:space="preserve">We propose a </w:t>
      </w:r>
      <w:r>
        <w:rPr>
          <w:b/>
        </w:rPr>
        <w:t>native app rather than a web wrapper</w:t>
      </w:r>
      <w:r>
        <w:t>. A wrapper cannot deliver push notifications reliably, cannot alert when the app is closed, and cannot work offline — and on a safety-critical alerting system those are the properties that matter most. The cost difference is modest; the capability difference is not.</w:t>
      </w:r>
    </w:p>
    <w:tbl>
      <w:tblPr>
        <w:tblStyle w:val="TableGrid"/>
        <w:tblW w:type="auto" w:w="0"/>
        <w:tblLayout w:type="fixed"/>
        <w:tblLook w:firstColumn="1" w:firstRow="1" w:lastColumn="0" w:lastRow="0" w:noHBand="0" w:noVBand="1" w:val="04A0"/>
        <w:tblLayout w:type="fixed"/>
        <w:tblLayout w:type="fixed"/>
        <w:tblBorders>
          <w:top w:val="single" w:sz="8" w:color="4F81BD"/>
          <w:left w:val="single" w:sz="8" w:color="4F81BD"/>
          <w:bottom w:val="single" w:sz="8" w:color="4F81BD"/>
          <w:right w:val="single" w:sz="8" w:color="4F81BD"/>
          <w:insideH w:val="single" w:sz="4" w:color="4F81BD"/>
          <w:insideV w:val="single" w:sz="4" w:color="4F81BD"/>
        </w:tblBorders>
      </w:tblPr>
      <w:tblGrid>
        <w:gridCol w:w="2017"/>
        <w:gridCol w:w="7394"/>
      </w:tblGrid>
      <w:tr>
        <w:tc>
          <w:tcPr>
            <w:tcW w:type="dxa" w:w="2017"/>
          </w:tcPr>
          <w:p>
            <w:pPr>
              <w:spacing w:after="40"/>
            </w:pPr>
            <w:r>
              <w:rPr>
                <w:b/>
                <w:sz w:val="18"/>
              </w:rPr>
            </w:r>
            <w:r>
              <w:rPr>
                <w:b/>
                <w:sz w:val="18"/>
              </w:rPr>
              <w:t>Capability</w:t>
            </w:r>
          </w:p>
        </w:tc>
        <w:tc>
          <w:tcPr>
            <w:tcW w:type="dxa" w:w="7394"/>
          </w:tcPr>
          <w:p>
            <w:pPr>
              <w:spacing w:after="40"/>
            </w:pPr>
            <w:r>
              <w:rPr>
                <w:b/>
                <w:sz w:val="18"/>
              </w:rPr>
            </w:r>
          </w:p>
        </w:tc>
      </w:tr>
      <w:tr>
        <w:tc>
          <w:tcPr>
            <w:tcW w:type="dxa" w:w="2017"/>
            <w:shd w:val="clear" w:color="auto" w:fill="D3DFEE"/>
          </w:tcPr>
          <w:p>
            <w:pPr>
              <w:spacing w:after="40"/>
            </w:pPr>
            <w:r>
              <w:rPr>
                <w:b/>
                <w:sz w:val="18"/>
              </w:rPr>
            </w:r>
            <w:r>
              <w:rPr>
                <w:b/>
                <w:sz w:val="18"/>
              </w:rPr>
              <w:t>Push notifications</w:t>
            </w:r>
          </w:p>
        </w:tc>
        <w:tc>
          <w:tcPr>
            <w:tcW w:type="dxa" w:w="7394"/>
            <w:shd w:val="clear" w:color="auto" w:fill="D3DFEE"/>
          </w:tcPr>
          <w:p>
            <w:pPr>
              <w:spacing w:after="40"/>
            </w:pPr>
            <w:r>
              <w:rPr>
                <w:sz w:val="18"/>
              </w:rPr>
            </w:r>
            <w:r>
              <w:rPr>
                <w:sz w:val="18"/>
              </w:rPr>
              <w:t>Alerts arrive on the phone within seconds, even with the app closed or the phone locked</w:t>
            </w:r>
          </w:p>
        </w:tc>
      </w:tr>
      <w:tr>
        <w:tc>
          <w:tcPr>
            <w:tcW w:type="dxa" w:w="2017"/>
          </w:tcPr>
          <w:p>
            <w:pPr>
              <w:spacing w:after="40"/>
            </w:pPr>
            <w:r>
              <w:rPr>
                <w:b/>
                <w:sz w:val="18"/>
              </w:rPr>
            </w:r>
            <w:r>
              <w:rPr>
                <w:b/>
                <w:sz w:val="18"/>
              </w:rPr>
              <w:t>Map and station views</w:t>
            </w:r>
          </w:p>
        </w:tc>
        <w:tc>
          <w:tcPr>
            <w:tcW w:type="dxa" w:w="7394"/>
          </w:tcPr>
          <w:p>
            <w:pPr>
              <w:spacing w:after="40"/>
            </w:pPr>
            <w:r>
              <w:rPr>
                <w:sz w:val="18"/>
              </w:rPr>
            </w:r>
            <w:r>
              <w:rPr>
                <w:sz w:val="18"/>
              </w:rPr>
              <w:t>The same corridor map and per-site detail, laid out for a phone</w:t>
            </w:r>
          </w:p>
        </w:tc>
      </w:tr>
      <w:tr>
        <w:tc>
          <w:tcPr>
            <w:tcW w:type="dxa" w:w="2017"/>
            <w:shd w:val="clear" w:color="auto" w:fill="D3DFEE"/>
          </w:tcPr>
          <w:p>
            <w:pPr>
              <w:spacing w:after="40"/>
            </w:pPr>
            <w:r>
              <w:rPr>
                <w:b/>
                <w:sz w:val="18"/>
              </w:rPr>
            </w:r>
            <w:r>
              <w:rPr>
                <w:b/>
                <w:sz w:val="18"/>
              </w:rPr>
              <w:t>Live readings and trends</w:t>
            </w:r>
          </w:p>
        </w:tc>
        <w:tc>
          <w:tcPr>
            <w:tcW w:type="dxa" w:w="7394"/>
            <w:shd w:val="clear" w:color="auto" w:fill="D3DFEE"/>
          </w:tcPr>
          <w:p>
            <w:pPr>
              <w:spacing w:after="40"/>
            </w:pPr>
            <w:r>
              <w:rPr>
                <w:sz w:val="18"/>
              </w:rPr>
            </w:r>
            <w:r>
              <w:rPr>
                <w:sz w:val="18"/>
              </w:rPr>
              <w:t>Touch-friendly charts</w:t>
            </w:r>
          </w:p>
        </w:tc>
      </w:tr>
      <w:tr>
        <w:tc>
          <w:tcPr>
            <w:tcW w:type="dxa" w:w="2017"/>
          </w:tcPr>
          <w:p>
            <w:pPr>
              <w:spacing w:after="40"/>
            </w:pPr>
            <w:r>
              <w:rPr>
                <w:b/>
                <w:sz w:val="18"/>
              </w:rPr>
            </w:r>
            <w:r>
              <w:rPr>
                <w:b/>
                <w:sz w:val="18"/>
              </w:rPr>
              <w:t>Acknowledge alerts</w:t>
            </w:r>
          </w:p>
        </w:tc>
        <w:tc>
          <w:tcPr>
            <w:tcW w:type="dxa" w:w="7394"/>
          </w:tcPr>
          <w:p>
            <w:pPr>
              <w:spacing w:after="40"/>
            </w:pPr>
            <w:r>
              <w:rPr>
                <w:sz w:val="18"/>
              </w:rPr>
            </w:r>
            <w:r>
              <w:rPr>
                <w:sz w:val="18"/>
              </w:rPr>
              <w:t>From the phone, recorded against the named user</w:t>
            </w:r>
          </w:p>
        </w:tc>
      </w:tr>
      <w:tr>
        <w:tc>
          <w:tcPr>
            <w:tcW w:type="dxa" w:w="2017"/>
            <w:shd w:val="clear" w:color="auto" w:fill="D3DFEE"/>
          </w:tcPr>
          <w:p>
            <w:pPr>
              <w:spacing w:after="40"/>
            </w:pPr>
            <w:r>
              <w:rPr>
                <w:b/>
                <w:sz w:val="18"/>
              </w:rPr>
            </w:r>
            <w:r>
              <w:rPr>
                <w:b/>
                <w:sz w:val="18"/>
              </w:rPr>
              <w:t>Supervised pump control</w:t>
            </w:r>
          </w:p>
        </w:tc>
        <w:tc>
          <w:tcPr>
            <w:tcW w:type="dxa" w:w="7394"/>
            <w:shd w:val="clear" w:color="auto" w:fill="D3DFEE"/>
          </w:tcPr>
          <w:p>
            <w:pPr>
              <w:spacing w:after="40"/>
            </w:pPr>
            <w:r>
              <w:rPr>
                <w:sz w:val="18"/>
              </w:rPr>
            </w:r>
            <w:r>
              <w:rPr>
                <w:sz w:val="18"/>
              </w:rPr>
              <w:t>For authorised roles only, with confirmation — so on-call staff can act without returning to a desk</w:t>
            </w:r>
          </w:p>
        </w:tc>
      </w:tr>
      <w:tr>
        <w:tc>
          <w:tcPr>
            <w:tcW w:type="dxa" w:w="2017"/>
          </w:tcPr>
          <w:p>
            <w:pPr>
              <w:spacing w:after="40"/>
            </w:pPr>
            <w:r>
              <w:rPr>
                <w:b/>
                <w:sz w:val="18"/>
              </w:rPr>
            </w:r>
            <w:r>
              <w:rPr>
                <w:b/>
                <w:sz w:val="18"/>
              </w:rPr>
              <w:t>Offline tolerance</w:t>
            </w:r>
          </w:p>
        </w:tc>
        <w:tc>
          <w:tcPr>
            <w:tcW w:type="dxa" w:w="7394"/>
          </w:tcPr>
          <w:p>
            <w:pPr>
              <w:spacing w:after="40"/>
            </w:pPr>
            <w:r>
              <w:rPr>
                <w:sz w:val="18"/>
              </w:rPr>
            </w:r>
            <w:r>
              <w:rPr>
                <w:sz w:val="18"/>
              </w:rPr>
              <w:t>Last-known readings remain visible on a poor connection; actions queue and send on reconnect</w:t>
            </w:r>
          </w:p>
        </w:tc>
      </w:tr>
      <w:tr>
        <w:tc>
          <w:tcPr>
            <w:tcW w:type="dxa" w:w="2017"/>
            <w:shd w:val="clear" w:color="auto" w:fill="D3DFEE"/>
          </w:tcPr>
          <w:p>
            <w:pPr>
              <w:spacing w:after="40"/>
            </w:pPr>
            <w:r>
              <w:rPr>
                <w:b/>
                <w:sz w:val="18"/>
              </w:rPr>
            </w:r>
            <w:r>
              <w:rPr>
                <w:b/>
                <w:sz w:val="18"/>
              </w:rPr>
              <w:t>Biometric unlock</w:t>
            </w:r>
          </w:p>
        </w:tc>
        <w:tc>
          <w:tcPr>
            <w:tcW w:type="dxa" w:w="7394"/>
            <w:shd w:val="clear" w:color="auto" w:fill="D3DFEE"/>
          </w:tcPr>
          <w:p>
            <w:pPr>
              <w:spacing w:after="40"/>
            </w:pPr>
            <w:r>
              <w:rPr>
                <w:sz w:val="18"/>
              </w:rPr>
            </w:r>
            <w:r>
              <w:rPr>
                <w:sz w:val="18"/>
              </w:rPr>
              <w:t>Face/fingerprint, with MFA where enabled</w:t>
            </w:r>
          </w:p>
        </w:tc>
      </w:tr>
    </w:tbl>
    <w:p/>
    <w:p>
      <w:r>
        <w:br w:type="page"/>
      </w:r>
    </w:p>
    <w:p>
      <w:pPr>
        <w:pStyle w:val="Heading2"/>
      </w:pPr>
      <w:r>
        <w:t>10. Month-by-month plan</w:t>
      </w:r>
    </w:p>
    <w:p>
      <w:r>
        <w:t xml:space="preserve">Ten months from kickoff. Each month ends with something demonstrable, and the first working end-to-end path exists in </w:t>
      </w:r>
      <w:r>
        <w:rPr>
          <w:b/>
        </w:rPr>
        <w:t>Month 2</w:t>
      </w:r>
      <w:r>
        <w:t xml:space="preserve"> rather than at the end.</w:t>
      </w:r>
    </w:p>
    <w:p>
      <w:pPr>
        <w:pStyle w:val="Heading3"/>
      </w:pPr>
      <w:r>
        <w:t>Month 1 — Architecture, decisions, and secure ingest</w:t>
      </w:r>
    </w:p>
    <w:p>
      <w:r>
        <w:t xml:space="preserve">Month 1 is deliberately weighted toward </w:t>
      </w:r>
      <w:r>
        <w:rPr>
          <w:b/>
        </w:rPr>
        <w:t>asking questions and writing the answers down</w:t>
      </w:r>
      <w:r>
        <w:t>. Most of what goes wrong in a system like this is decided in the first fortnight and discovered in the last — a retention rule chosen carelessly, an alert path nobody agreed on, a data format assumed rather than seen.</w:t>
      </w:r>
    </w:p>
    <w:p>
      <w:r>
        <w:t>So we start with a structured architecture review: we bring the open questions, work through them with your team, and record each decision with its reasoning and its consequences. That record becomes the reference for the following nine months, and it is what lets us build once rather than twice.</w:t>
      </w:r>
    </w:p>
    <w:p>
      <w:r>
        <w:t>Topics we will close out together:</w:t>
      </w:r>
    </w:p>
    <w:p>
      <w:pPr>
        <w:pStyle w:val="ListBullet"/>
      </w:pPr>
      <w:r>
        <w:rPr>
          <w:b/>
        </w:rPr>
        <w:t>Data</w:t>
      </w:r>
      <w:r>
        <w:t>: exact logger output format, transmission method, transmit interval, and what a "complete" message looks like.</w:t>
      </w:r>
    </w:p>
    <w:p>
      <w:pPr>
        <w:pStyle w:val="ListBullet"/>
      </w:pPr>
      <w:r>
        <w:rPr>
          <w:b/>
        </w:rPr>
        <w:t>Retention</w:t>
      </w:r>
      <w:r>
        <w:t>: how long 1-second detail is kept, what is aggregated, and what must survive to contract end (see §3).</w:t>
      </w:r>
    </w:p>
    <w:p>
      <w:pPr>
        <w:pStyle w:val="ListBullet"/>
      </w:pPr>
      <w:r>
        <w:rPr>
          <w:b/>
        </w:rPr>
        <w:t>Alerting</w:t>
      </w:r>
      <w:r>
        <w:t>: every threshold, dwell timer, vigilance period and the exact wording — including the values currently marked "pending confirmation".</w:t>
      </w:r>
    </w:p>
    <w:p>
      <w:pPr>
        <w:pStyle w:val="ListBullet"/>
      </w:pPr>
      <w:r>
        <w:rPr>
          <w:b/>
        </w:rPr>
        <w:t>Failure behaviour</w:t>
      </w:r>
      <w:r>
        <w:t>: what the system should do when a sensor, a link, the database or the cloud region is unavailable, and what it must never do.</w:t>
      </w:r>
    </w:p>
    <w:p>
      <w:pPr>
        <w:pStyle w:val="ListBullet"/>
      </w:pPr>
      <w:r>
        <w:rPr>
          <w:b/>
        </w:rPr>
        <w:t>Security and residency</w:t>
      </w:r>
      <w:r>
        <w:t>: AWS region, data residency, any MTS cyber standard to be assessed against, and MFA policy.</w:t>
      </w:r>
    </w:p>
    <w:p>
      <w:pPr>
        <w:pStyle w:val="ListBullet"/>
      </w:pPr>
      <w:r>
        <w:rPr>
          <w:b/>
        </w:rPr>
        <w:t>Roles</w:t>
      </w:r>
      <w:r>
        <w:t>: who may see what, who may acknowledge, and who may operate a pump.</w:t>
      </w:r>
    </w:p>
    <w:p>
      <w:pPr>
        <w:pStyle w:val="ListBullet"/>
      </w:pPr>
      <w:r>
        <w:rPr>
          <w:b/>
        </w:rPr>
        <w:t>Integration</w:t>
      </w:r>
      <w:r>
        <w:t>: PTZ camera access, SMS provider, and the pump panel interface.</w:t>
      </w:r>
    </w:p>
    <w:tbl>
      <w:tblPr>
        <w:tblStyle w:val="TableGrid"/>
        <w:tblW w:type="auto" w:w="0"/>
        <w:tblLayout w:type="fixed"/>
        <w:tblLook w:firstColumn="1" w:firstRow="1" w:lastColumn="0" w:lastRow="0" w:noHBand="0" w:noVBand="1" w:val="04A0"/>
        <w:tblLayout w:type="fixed"/>
        <w:tblLayout w:type="fixed"/>
        <w:tblBorders>
          <w:top w:val="single" w:sz="8" w:color="4F81BD"/>
          <w:left w:val="single" w:sz="8" w:color="4F81BD"/>
          <w:bottom w:val="single" w:sz="8" w:color="4F81BD"/>
          <w:right w:val="single" w:sz="8" w:color="4F81BD"/>
          <w:insideH w:val="single" w:sz="4" w:color="4F81BD"/>
          <w:insideV w:val="single" w:sz="4" w:color="4F81BD"/>
        </w:tblBorders>
      </w:tblPr>
      <w:tblGrid>
        <w:gridCol w:w="850"/>
        <w:gridCol w:w="8561"/>
      </w:tblGrid>
      <w:tr>
        <w:tc>
          <w:tcPr>
            <w:tcW w:type="dxa" w:w="850"/>
          </w:tcPr>
          <w:p>
            <w:pPr>
              <w:spacing w:after="40"/>
            </w:pPr>
            <w:r>
              <w:rPr>
                <w:b/>
                <w:sz w:val="18"/>
              </w:rPr>
            </w:r>
            <w:r>
              <w:rPr>
                <w:b/>
                <w:sz w:val="18"/>
              </w:rPr>
              <w:t>Week</w:t>
            </w:r>
          </w:p>
        </w:tc>
        <w:tc>
          <w:tcPr>
            <w:tcW w:type="dxa" w:w="8561"/>
          </w:tcPr>
          <w:p>
            <w:pPr>
              <w:spacing w:after="40"/>
            </w:pPr>
            <w:r>
              <w:rPr>
                <w:b/>
                <w:sz w:val="18"/>
              </w:rPr>
            </w:r>
            <w:r>
              <w:rPr>
                <w:b/>
                <w:sz w:val="18"/>
              </w:rPr>
              <w:t>Deliverable</w:t>
            </w:r>
          </w:p>
        </w:tc>
      </w:tr>
      <w:tr>
        <w:tc>
          <w:tcPr>
            <w:tcW w:type="dxa" w:w="850"/>
            <w:shd w:val="clear" w:color="auto" w:fill="D3DFEE"/>
          </w:tcPr>
          <w:p>
            <w:pPr>
              <w:spacing w:after="40"/>
            </w:pPr>
            <w:r>
              <w:rPr>
                <w:b/>
                <w:sz w:val="18"/>
              </w:rPr>
            </w:r>
            <w:r>
              <w:rPr>
                <w:b/>
                <w:sz w:val="18"/>
              </w:rPr>
              <w:t>1</w:t>
            </w:r>
          </w:p>
        </w:tc>
        <w:tc>
          <w:tcPr>
            <w:tcW w:type="dxa" w:w="8561"/>
            <w:shd w:val="clear" w:color="auto" w:fill="D3DFEE"/>
          </w:tcPr>
          <w:p>
            <w:pPr>
              <w:spacing w:after="40"/>
            </w:pPr>
            <w:r>
              <w:rPr>
                <w:sz w:val="18"/>
              </w:rPr>
            </w:r>
            <w:r>
              <w:rPr>
                <w:sz w:val="18"/>
              </w:rPr>
              <w:t xml:space="preserve">Kickoff; </w:t>
            </w:r>
            <w:r>
              <w:rPr>
                <w:b/>
                <w:sz w:val="18"/>
              </w:rPr>
              <w:t>architecture workshop — open questions raised and answered</w:t>
            </w:r>
            <w:r>
              <w:rPr>
                <w:sz w:val="18"/>
              </w:rPr>
              <w:t>; decisions recorded with rationale; AWS accounts, environments, CI/CD; security baseline</w:t>
            </w:r>
          </w:p>
        </w:tc>
      </w:tr>
      <w:tr>
        <w:tc>
          <w:tcPr>
            <w:tcW w:type="dxa" w:w="850"/>
          </w:tcPr>
          <w:p>
            <w:pPr>
              <w:spacing w:after="40"/>
            </w:pPr>
            <w:r>
              <w:rPr>
                <w:b/>
                <w:sz w:val="18"/>
              </w:rPr>
            </w:r>
            <w:r>
              <w:rPr>
                <w:b/>
                <w:sz w:val="18"/>
              </w:rPr>
              <w:t>2</w:t>
            </w:r>
          </w:p>
        </w:tc>
        <w:tc>
          <w:tcPr>
            <w:tcW w:type="dxa" w:w="8561"/>
          </w:tcPr>
          <w:p>
            <w:pPr>
              <w:spacing w:after="40"/>
            </w:pPr>
            <w:r>
              <w:rPr>
                <w:sz w:val="18"/>
              </w:rPr>
            </w:r>
            <w:r>
              <w:rPr>
                <w:sz w:val="18"/>
              </w:rPr>
              <w:t>Lightsail SFTP box hardened: per-site chroot, key-only auth, no inbound port for the agent</w:t>
            </w:r>
          </w:p>
        </w:tc>
      </w:tr>
      <w:tr>
        <w:tc>
          <w:tcPr>
            <w:tcW w:type="dxa" w:w="850"/>
            <w:shd w:val="clear" w:color="auto" w:fill="D3DFEE"/>
          </w:tcPr>
          <w:p>
            <w:pPr>
              <w:spacing w:after="40"/>
            </w:pPr>
            <w:r>
              <w:rPr>
                <w:b/>
                <w:sz w:val="18"/>
              </w:rPr>
            </w:r>
            <w:r>
              <w:rPr>
                <w:b/>
                <w:sz w:val="18"/>
              </w:rPr>
              <w:t>3</w:t>
            </w:r>
          </w:p>
        </w:tc>
        <w:tc>
          <w:tcPr>
            <w:tcW w:type="dxa" w:w="8561"/>
            <w:shd w:val="clear" w:color="auto" w:fill="D3DFEE"/>
          </w:tcPr>
          <w:p>
            <w:pPr>
              <w:spacing w:after="40"/>
            </w:pPr>
            <w:r>
              <w:rPr>
                <w:sz w:val="18"/>
              </w:rPr>
            </w:r>
            <w:r>
              <w:rPr>
                <w:sz w:val="18"/>
              </w:rPr>
              <w:t>Ingest agent: stability gates, atomic staging, retry with backoff, permanent archive</w:t>
            </w:r>
          </w:p>
        </w:tc>
      </w:tr>
      <w:tr>
        <w:tc>
          <w:tcPr>
            <w:tcW w:type="dxa" w:w="850"/>
          </w:tcPr>
          <w:p>
            <w:pPr>
              <w:spacing w:after="40"/>
            </w:pPr>
            <w:r>
              <w:rPr>
                <w:b/>
                <w:sz w:val="18"/>
              </w:rPr>
            </w:r>
            <w:r>
              <w:rPr>
                <w:b/>
                <w:sz w:val="18"/>
              </w:rPr>
              <w:t>4</w:t>
            </w:r>
          </w:p>
        </w:tc>
        <w:tc>
          <w:tcPr>
            <w:tcW w:type="dxa" w:w="8561"/>
          </w:tcPr>
          <w:p>
            <w:pPr>
              <w:spacing w:after="40"/>
            </w:pPr>
            <w:r>
              <w:rPr>
                <w:sz w:val="18"/>
              </w:rPr>
            </w:r>
            <w:r>
              <w:rPr>
                <w:sz w:val="18"/>
              </w:rPr>
              <w:t>SQS queues and dead-letter queues provisioned; agent publishing; end-to-end message flow proven</w:t>
            </w:r>
          </w:p>
        </w:tc>
      </w:tr>
    </w:tbl>
    <w:p/>
    <w:p>
      <w:pPr>
        <w:pStyle w:val="Heading3"/>
      </w:pPr>
      <w:r>
        <w:t>Month 2 — Ingestion at 1 Hz, storage, and no data loss</w:t>
      </w:r>
    </w:p>
    <w:tbl>
      <w:tblPr>
        <w:tblStyle w:val="TableGrid"/>
        <w:tblW w:type="auto" w:w="0"/>
        <w:tblLayout w:type="fixed"/>
        <w:tblLook w:firstColumn="1" w:firstRow="1" w:lastColumn="0" w:lastRow="0" w:noHBand="0" w:noVBand="1" w:val="04A0"/>
        <w:tblLayout w:type="fixed"/>
        <w:tblLayout w:type="fixed"/>
        <w:tblBorders>
          <w:top w:val="single" w:sz="8" w:color="4F81BD"/>
          <w:left w:val="single" w:sz="8" w:color="4F81BD"/>
          <w:bottom w:val="single" w:sz="8" w:color="4F81BD"/>
          <w:right w:val="single" w:sz="8" w:color="4F81BD"/>
          <w:insideH w:val="single" w:sz="4" w:color="4F81BD"/>
          <w:insideV w:val="single" w:sz="4" w:color="4F81BD"/>
        </w:tblBorders>
      </w:tblPr>
      <w:tblGrid>
        <w:gridCol w:w="850"/>
        <w:gridCol w:w="8561"/>
      </w:tblGrid>
      <w:tr>
        <w:tc>
          <w:tcPr>
            <w:tcW w:type="dxa" w:w="850"/>
          </w:tcPr>
          <w:p>
            <w:pPr>
              <w:spacing w:after="40"/>
            </w:pPr>
            <w:r>
              <w:rPr>
                <w:b/>
                <w:sz w:val="18"/>
              </w:rPr>
            </w:r>
            <w:r>
              <w:rPr>
                <w:b/>
                <w:sz w:val="18"/>
              </w:rPr>
              <w:t>Week</w:t>
            </w:r>
          </w:p>
        </w:tc>
        <w:tc>
          <w:tcPr>
            <w:tcW w:type="dxa" w:w="8561"/>
          </w:tcPr>
          <w:p>
            <w:pPr>
              <w:spacing w:after="40"/>
            </w:pPr>
            <w:r>
              <w:rPr>
                <w:b/>
                <w:sz w:val="18"/>
              </w:rPr>
            </w:r>
            <w:r>
              <w:rPr>
                <w:b/>
                <w:sz w:val="18"/>
              </w:rPr>
              <w:t>Deliverable</w:t>
            </w:r>
          </w:p>
        </w:tc>
      </w:tr>
      <w:tr>
        <w:tc>
          <w:tcPr>
            <w:tcW w:type="dxa" w:w="850"/>
            <w:shd w:val="clear" w:color="auto" w:fill="D3DFEE"/>
          </w:tcPr>
          <w:p>
            <w:pPr>
              <w:spacing w:after="40"/>
            </w:pPr>
            <w:r>
              <w:rPr>
                <w:b/>
                <w:sz w:val="18"/>
              </w:rPr>
            </w:r>
            <w:r>
              <w:rPr>
                <w:b/>
                <w:sz w:val="18"/>
              </w:rPr>
              <w:t>1</w:t>
            </w:r>
          </w:p>
        </w:tc>
        <w:tc>
          <w:tcPr>
            <w:tcW w:type="dxa" w:w="8561"/>
            <w:shd w:val="clear" w:color="auto" w:fill="D3DFEE"/>
          </w:tcPr>
          <w:p>
            <w:pPr>
              <w:spacing w:after="40"/>
            </w:pPr>
            <w:r>
              <w:rPr>
                <w:sz w:val="18"/>
              </w:rPr>
            </w:r>
            <w:r>
              <w:rPr>
                <w:sz w:val="18"/>
              </w:rPr>
              <w:t>NestJS workers consuming SQS; parser for the logger's format; validation and plausibility checks</w:t>
            </w:r>
          </w:p>
        </w:tc>
      </w:tr>
      <w:tr>
        <w:tc>
          <w:tcPr>
            <w:tcW w:type="dxa" w:w="850"/>
          </w:tcPr>
          <w:p>
            <w:pPr>
              <w:spacing w:after="40"/>
            </w:pPr>
            <w:r>
              <w:rPr>
                <w:b/>
                <w:sz w:val="18"/>
              </w:rPr>
            </w:r>
            <w:r>
              <w:rPr>
                <w:b/>
                <w:sz w:val="18"/>
              </w:rPr>
              <w:t>2</w:t>
            </w:r>
          </w:p>
        </w:tc>
        <w:tc>
          <w:tcPr>
            <w:tcW w:type="dxa" w:w="8561"/>
          </w:tcPr>
          <w:p>
            <w:pPr>
              <w:spacing w:after="40"/>
            </w:pPr>
            <w:r>
              <w:rPr>
                <w:sz w:val="18"/>
              </w:rPr>
            </w:r>
            <w:r>
              <w:rPr>
                <w:sz w:val="18"/>
              </w:rPr>
              <w:t>Time-series schema, indexes and retention; write path benchmarked at full 1-second rate</w:t>
            </w:r>
          </w:p>
        </w:tc>
      </w:tr>
      <w:tr>
        <w:tc>
          <w:tcPr>
            <w:tcW w:type="dxa" w:w="850"/>
            <w:shd w:val="clear" w:color="auto" w:fill="D3DFEE"/>
          </w:tcPr>
          <w:p>
            <w:pPr>
              <w:spacing w:after="40"/>
            </w:pPr>
            <w:r>
              <w:rPr>
                <w:b/>
                <w:sz w:val="18"/>
              </w:rPr>
            </w:r>
            <w:r>
              <w:rPr>
                <w:b/>
                <w:sz w:val="18"/>
              </w:rPr>
              <w:t>3</w:t>
            </w:r>
          </w:p>
        </w:tc>
        <w:tc>
          <w:tcPr>
            <w:tcW w:type="dxa" w:w="8561"/>
            <w:shd w:val="clear" w:color="auto" w:fill="D3DFEE"/>
          </w:tcPr>
          <w:p>
            <w:pPr>
              <w:spacing w:after="40"/>
            </w:pPr>
            <w:r>
              <w:rPr>
                <w:sz w:val="18"/>
              </w:rPr>
            </w:r>
            <w:r>
              <w:rPr>
                <w:sz w:val="18"/>
              </w:rPr>
              <w:t>Idempotency (content hashing), out-of-order handling, replay of a backlog after an outage</w:t>
            </w:r>
          </w:p>
        </w:tc>
      </w:tr>
      <w:tr>
        <w:tc>
          <w:tcPr>
            <w:tcW w:type="dxa" w:w="850"/>
          </w:tcPr>
          <w:p>
            <w:pPr>
              <w:spacing w:after="40"/>
            </w:pPr>
            <w:r>
              <w:rPr>
                <w:b/>
                <w:sz w:val="18"/>
              </w:rPr>
            </w:r>
            <w:r>
              <w:rPr>
                <w:b/>
                <w:sz w:val="18"/>
              </w:rPr>
              <w:t>4</w:t>
            </w:r>
          </w:p>
        </w:tc>
        <w:tc>
          <w:tcPr>
            <w:tcW w:type="dxa" w:w="8561"/>
          </w:tcPr>
          <w:p>
            <w:pPr>
              <w:spacing w:after="40"/>
            </w:pPr>
            <w:r>
              <w:rPr>
                <w:sz w:val="18"/>
              </w:rPr>
            </w:r>
            <w:r>
              <w:rPr>
                <w:b/>
                <w:sz w:val="18"/>
              </w:rPr>
              <w:t>Failure drills:</w:t>
            </w:r>
            <w:r>
              <w:rPr>
                <w:sz w:val="18"/>
              </w:rPr>
              <w:t xml:space="preserve"> kill a worker mid-write, take the database offline, disconnect the box — prove nothing is lost. First readings visible end to end</w:t>
            </w:r>
          </w:p>
        </w:tc>
      </w:tr>
    </w:tbl>
    <w:p/>
    <w:p>
      <w:pPr>
        <w:pStyle w:val="Heading3"/>
      </w:pPr>
      <w:r>
        <w:t>Month 3 — All sensors, provenance and backfill</w:t>
      </w:r>
    </w:p>
    <w:tbl>
      <w:tblPr>
        <w:tblStyle w:val="TableGrid"/>
        <w:tblW w:type="auto" w:w="0"/>
        <w:tblLayout w:type="fixed"/>
        <w:tblLook w:firstColumn="1" w:firstRow="1" w:lastColumn="0" w:lastRow="0" w:noHBand="0" w:noVBand="1" w:val="04A0"/>
        <w:tblLayout w:type="fixed"/>
        <w:tblLayout w:type="fixed"/>
        <w:tblBorders>
          <w:top w:val="single" w:sz="8" w:color="4F81BD"/>
          <w:left w:val="single" w:sz="8" w:color="4F81BD"/>
          <w:bottom w:val="single" w:sz="8" w:color="4F81BD"/>
          <w:right w:val="single" w:sz="8" w:color="4F81BD"/>
          <w:insideH w:val="single" w:sz="4" w:color="4F81BD"/>
          <w:insideV w:val="single" w:sz="4" w:color="4F81BD"/>
        </w:tblBorders>
      </w:tblPr>
      <w:tblGrid>
        <w:gridCol w:w="850"/>
        <w:gridCol w:w="8561"/>
      </w:tblGrid>
      <w:tr>
        <w:tc>
          <w:tcPr>
            <w:tcW w:type="dxa" w:w="850"/>
          </w:tcPr>
          <w:p>
            <w:pPr>
              <w:spacing w:after="40"/>
            </w:pPr>
            <w:r>
              <w:rPr>
                <w:b/>
                <w:sz w:val="18"/>
              </w:rPr>
            </w:r>
            <w:r>
              <w:rPr>
                <w:b/>
                <w:sz w:val="18"/>
              </w:rPr>
              <w:t>Week</w:t>
            </w:r>
          </w:p>
        </w:tc>
        <w:tc>
          <w:tcPr>
            <w:tcW w:type="dxa" w:w="8561"/>
          </w:tcPr>
          <w:p>
            <w:pPr>
              <w:spacing w:after="40"/>
            </w:pPr>
            <w:r>
              <w:rPr>
                <w:b/>
                <w:sz w:val="18"/>
              </w:rPr>
            </w:r>
            <w:r>
              <w:rPr>
                <w:b/>
                <w:sz w:val="18"/>
              </w:rPr>
              <w:t>Deliverable</w:t>
            </w:r>
          </w:p>
        </w:tc>
      </w:tr>
      <w:tr>
        <w:tc>
          <w:tcPr>
            <w:tcW w:type="dxa" w:w="850"/>
            <w:shd w:val="clear" w:color="auto" w:fill="D3DFEE"/>
          </w:tcPr>
          <w:p>
            <w:pPr>
              <w:spacing w:after="40"/>
            </w:pPr>
            <w:r>
              <w:rPr>
                <w:b/>
                <w:sz w:val="18"/>
              </w:rPr>
            </w:r>
            <w:r>
              <w:rPr>
                <w:b/>
                <w:sz w:val="18"/>
              </w:rPr>
              <w:t>1</w:t>
            </w:r>
          </w:p>
        </w:tc>
        <w:tc>
          <w:tcPr>
            <w:tcW w:type="dxa" w:w="8561"/>
            <w:shd w:val="clear" w:color="auto" w:fill="D3DFEE"/>
          </w:tcPr>
          <w:p>
            <w:pPr>
              <w:spacing w:after="40"/>
            </w:pPr>
            <w:r>
              <w:rPr>
                <w:sz w:val="18"/>
              </w:rPr>
            </w:r>
            <w:r>
              <w:rPr>
                <w:sz w:val="18"/>
              </w:rPr>
              <w:t>Rain, level, float, temperature, humidity, wind, battery/solar telemetry all parsed and stored</w:t>
            </w:r>
          </w:p>
        </w:tc>
      </w:tr>
      <w:tr>
        <w:tc>
          <w:tcPr>
            <w:tcW w:type="dxa" w:w="850"/>
          </w:tcPr>
          <w:p>
            <w:pPr>
              <w:spacing w:after="40"/>
            </w:pPr>
            <w:r>
              <w:rPr>
                <w:b/>
                <w:sz w:val="18"/>
              </w:rPr>
            </w:r>
            <w:r>
              <w:rPr>
                <w:b/>
                <w:sz w:val="18"/>
              </w:rPr>
              <w:t>2</w:t>
            </w:r>
          </w:p>
        </w:tc>
        <w:tc>
          <w:tcPr>
            <w:tcW w:type="dxa" w:w="8561"/>
          </w:tcPr>
          <w:p>
            <w:pPr>
              <w:spacing w:after="40"/>
            </w:pPr>
            <w:r>
              <w:rPr>
                <w:sz w:val="18"/>
              </w:rPr>
            </w:r>
            <w:r>
              <w:rPr>
                <w:sz w:val="18"/>
              </w:rPr>
              <w:t>Per-station sensor configuration; unit handling; calibration offsets</w:t>
            </w:r>
          </w:p>
        </w:tc>
      </w:tr>
      <w:tr>
        <w:tc>
          <w:tcPr>
            <w:tcW w:type="dxa" w:w="850"/>
            <w:shd w:val="clear" w:color="auto" w:fill="D3DFEE"/>
          </w:tcPr>
          <w:p>
            <w:pPr>
              <w:spacing w:after="40"/>
            </w:pPr>
            <w:r>
              <w:rPr>
                <w:b/>
                <w:sz w:val="18"/>
              </w:rPr>
            </w:r>
            <w:r>
              <w:rPr>
                <w:b/>
                <w:sz w:val="18"/>
              </w:rPr>
              <w:t>3</w:t>
            </w:r>
          </w:p>
        </w:tc>
        <w:tc>
          <w:tcPr>
            <w:tcW w:type="dxa" w:w="8561"/>
            <w:shd w:val="clear" w:color="auto" w:fill="D3DFEE"/>
          </w:tcPr>
          <w:p>
            <w:pPr>
              <w:spacing w:after="40"/>
            </w:pPr>
            <w:r>
              <w:rPr>
                <w:sz w:val="18"/>
              </w:rPr>
            </w:r>
            <w:r>
              <w:rPr>
                <w:sz w:val="18"/>
              </w:rPr>
              <w:t>Rolling aggregates (minute/hour/day) computed as data arrives</w:t>
            </w:r>
          </w:p>
        </w:tc>
      </w:tr>
      <w:tr>
        <w:tc>
          <w:tcPr>
            <w:tcW w:type="dxa" w:w="850"/>
          </w:tcPr>
          <w:p>
            <w:pPr>
              <w:spacing w:after="40"/>
            </w:pPr>
            <w:r>
              <w:rPr>
                <w:b/>
                <w:sz w:val="18"/>
              </w:rPr>
            </w:r>
            <w:r>
              <w:rPr>
                <w:b/>
                <w:sz w:val="18"/>
              </w:rPr>
              <w:t>4</w:t>
            </w:r>
          </w:p>
        </w:tc>
        <w:tc>
          <w:tcPr>
            <w:tcW w:type="dxa" w:w="8561"/>
          </w:tcPr>
          <w:p>
            <w:pPr>
              <w:spacing w:after="40"/>
            </w:pPr>
            <w:r>
              <w:rPr>
                <w:sz w:val="18"/>
              </w:rPr>
            </w:r>
            <w:r>
              <w:rPr>
                <w:sz w:val="18"/>
              </w:rPr>
              <w:t>Historical backfill tooling; data-quality reporting; gap detection</w:t>
            </w:r>
          </w:p>
        </w:tc>
      </w:tr>
    </w:tbl>
    <w:p/>
    <w:p>
      <w:pPr>
        <w:pStyle w:val="Heading3"/>
      </w:pPr>
      <w:r>
        <w:t>Month 4 — Alert engine core</w:t>
      </w:r>
    </w:p>
    <w:tbl>
      <w:tblPr>
        <w:tblStyle w:val="TableGrid"/>
        <w:tblW w:type="auto" w:w="0"/>
        <w:tblLayout w:type="fixed"/>
        <w:tblLook w:firstColumn="1" w:firstRow="1" w:lastColumn="0" w:lastRow="0" w:noHBand="0" w:noVBand="1" w:val="04A0"/>
        <w:tblLayout w:type="fixed"/>
        <w:tblLayout w:type="fixed"/>
        <w:tblBorders>
          <w:top w:val="single" w:sz="8" w:color="4F81BD"/>
          <w:left w:val="single" w:sz="8" w:color="4F81BD"/>
          <w:bottom w:val="single" w:sz="8" w:color="4F81BD"/>
          <w:right w:val="single" w:sz="8" w:color="4F81BD"/>
          <w:insideH w:val="single" w:sz="4" w:color="4F81BD"/>
          <w:insideV w:val="single" w:sz="4" w:color="4F81BD"/>
        </w:tblBorders>
      </w:tblPr>
      <w:tblGrid>
        <w:gridCol w:w="850"/>
        <w:gridCol w:w="8561"/>
      </w:tblGrid>
      <w:tr>
        <w:tc>
          <w:tcPr>
            <w:tcW w:type="dxa" w:w="850"/>
          </w:tcPr>
          <w:p>
            <w:pPr>
              <w:spacing w:after="40"/>
            </w:pPr>
            <w:r>
              <w:rPr>
                <w:b/>
                <w:sz w:val="18"/>
              </w:rPr>
            </w:r>
            <w:r>
              <w:rPr>
                <w:b/>
                <w:sz w:val="18"/>
              </w:rPr>
              <w:t>Week</w:t>
            </w:r>
          </w:p>
        </w:tc>
        <w:tc>
          <w:tcPr>
            <w:tcW w:type="dxa" w:w="8561"/>
          </w:tcPr>
          <w:p>
            <w:pPr>
              <w:spacing w:after="40"/>
            </w:pPr>
            <w:r>
              <w:rPr>
                <w:b/>
                <w:sz w:val="18"/>
              </w:rPr>
            </w:r>
            <w:r>
              <w:rPr>
                <w:b/>
                <w:sz w:val="18"/>
              </w:rPr>
              <w:t>Deliverable</w:t>
            </w:r>
          </w:p>
        </w:tc>
      </w:tr>
      <w:tr>
        <w:tc>
          <w:tcPr>
            <w:tcW w:type="dxa" w:w="850"/>
            <w:shd w:val="clear" w:color="auto" w:fill="D3DFEE"/>
          </w:tcPr>
          <w:p>
            <w:pPr>
              <w:spacing w:after="40"/>
            </w:pPr>
            <w:r>
              <w:rPr>
                <w:b/>
                <w:sz w:val="18"/>
              </w:rPr>
            </w:r>
            <w:r>
              <w:rPr>
                <w:b/>
                <w:sz w:val="18"/>
              </w:rPr>
              <w:t>1</w:t>
            </w:r>
          </w:p>
        </w:tc>
        <w:tc>
          <w:tcPr>
            <w:tcW w:type="dxa" w:w="8561"/>
            <w:shd w:val="clear" w:color="auto" w:fill="D3DFEE"/>
          </w:tcPr>
          <w:p>
            <w:pPr>
              <w:spacing w:after="40"/>
            </w:pPr>
            <w:r>
              <w:rPr>
                <w:sz w:val="18"/>
              </w:rPr>
            </w:r>
            <w:r>
              <w:rPr>
                <w:sz w:val="18"/>
              </w:rPr>
              <w:t>Configurable threshold table — every value a setting, not code</w:t>
            </w:r>
          </w:p>
        </w:tc>
      </w:tr>
      <w:tr>
        <w:tc>
          <w:tcPr>
            <w:tcW w:type="dxa" w:w="850"/>
          </w:tcPr>
          <w:p>
            <w:pPr>
              <w:spacing w:after="40"/>
            </w:pPr>
            <w:r>
              <w:rPr>
                <w:b/>
                <w:sz w:val="18"/>
              </w:rPr>
            </w:r>
            <w:r>
              <w:rPr>
                <w:b/>
                <w:sz w:val="18"/>
              </w:rPr>
              <w:t>2</w:t>
            </w:r>
          </w:p>
        </w:tc>
        <w:tc>
          <w:tcPr>
            <w:tcW w:type="dxa" w:w="8561"/>
          </w:tcPr>
          <w:p>
            <w:pPr>
              <w:spacing w:after="40"/>
            </w:pPr>
            <w:r>
              <w:rPr>
                <w:sz w:val="18"/>
              </w:rPr>
            </w:r>
            <w:r>
              <w:rPr>
                <w:sz w:val="18"/>
              </w:rPr>
              <w:t>Wind and temperature logic including dwell timers and rising/falling hysteresis</w:t>
            </w:r>
          </w:p>
        </w:tc>
      </w:tr>
      <w:tr>
        <w:tc>
          <w:tcPr>
            <w:tcW w:type="dxa" w:w="850"/>
            <w:shd w:val="clear" w:color="auto" w:fill="D3DFEE"/>
          </w:tcPr>
          <w:p>
            <w:pPr>
              <w:spacing w:after="40"/>
            </w:pPr>
            <w:r>
              <w:rPr>
                <w:b/>
                <w:sz w:val="18"/>
              </w:rPr>
            </w:r>
            <w:r>
              <w:rPr>
                <w:b/>
                <w:sz w:val="18"/>
              </w:rPr>
              <w:t>3</w:t>
            </w:r>
          </w:p>
        </w:tc>
        <w:tc>
          <w:tcPr>
            <w:tcW w:type="dxa" w:w="8561"/>
            <w:shd w:val="clear" w:color="auto" w:fill="D3DFEE"/>
          </w:tcPr>
          <w:p>
            <w:pPr>
              <w:spacing w:after="40"/>
            </w:pPr>
            <w:r>
              <w:rPr>
                <w:sz w:val="18"/>
              </w:rPr>
            </w:r>
            <w:r>
              <w:rPr>
                <w:sz w:val="18"/>
              </w:rPr>
              <w:t>System-fault detection: sensor offline, missing data, low battery, comms loss</w:t>
            </w:r>
          </w:p>
        </w:tc>
      </w:tr>
      <w:tr>
        <w:tc>
          <w:tcPr>
            <w:tcW w:type="dxa" w:w="850"/>
          </w:tcPr>
          <w:p>
            <w:pPr>
              <w:spacing w:after="40"/>
            </w:pPr>
            <w:r>
              <w:rPr>
                <w:b/>
                <w:sz w:val="18"/>
              </w:rPr>
            </w:r>
            <w:r>
              <w:rPr>
                <w:b/>
                <w:sz w:val="18"/>
              </w:rPr>
              <w:t>4</w:t>
            </w:r>
          </w:p>
        </w:tc>
        <w:tc>
          <w:tcPr>
            <w:tcW w:type="dxa" w:w="8561"/>
          </w:tcPr>
          <w:p>
            <w:pPr>
              <w:spacing w:after="40"/>
            </w:pPr>
            <w:r>
              <w:rPr>
                <w:sz w:val="18"/>
              </w:rPr>
            </w:r>
            <w:r>
              <w:rPr>
                <w:sz w:val="18"/>
              </w:rPr>
              <w:t>Alert lifecycle — raise, acknowledge, clear, audit — with full history</w:t>
            </w:r>
          </w:p>
        </w:tc>
      </w:tr>
    </w:tbl>
    <w:p/>
    <w:p>
      <w:pPr>
        <w:pStyle w:val="Heading3"/>
      </w:pPr>
      <w:r>
        <w:t>Month 5 — Rainfall vigilance and flood logic</w:t>
      </w:r>
    </w:p>
    <w:tbl>
      <w:tblPr>
        <w:tblStyle w:val="TableGrid"/>
        <w:tblW w:type="auto" w:w="0"/>
        <w:tblLayout w:type="fixed"/>
        <w:tblLook w:firstColumn="1" w:firstRow="1" w:lastColumn="0" w:lastRow="0" w:noHBand="0" w:noVBand="1" w:val="04A0"/>
        <w:tblLayout w:type="fixed"/>
        <w:tblLayout w:type="fixed"/>
        <w:tblBorders>
          <w:top w:val="single" w:sz="8" w:color="4F81BD"/>
          <w:left w:val="single" w:sz="8" w:color="4F81BD"/>
          <w:bottom w:val="single" w:sz="8" w:color="4F81BD"/>
          <w:right w:val="single" w:sz="8" w:color="4F81BD"/>
          <w:insideH w:val="single" w:sz="4" w:color="4F81BD"/>
          <w:insideV w:val="single" w:sz="4" w:color="4F81BD"/>
        </w:tblBorders>
      </w:tblPr>
      <w:tblGrid>
        <w:gridCol w:w="850"/>
        <w:gridCol w:w="8561"/>
      </w:tblGrid>
      <w:tr>
        <w:tc>
          <w:tcPr>
            <w:tcW w:type="dxa" w:w="850"/>
          </w:tcPr>
          <w:p>
            <w:pPr>
              <w:spacing w:after="40"/>
            </w:pPr>
            <w:r>
              <w:rPr>
                <w:b/>
                <w:sz w:val="18"/>
              </w:rPr>
            </w:r>
            <w:r>
              <w:rPr>
                <w:b/>
                <w:sz w:val="18"/>
              </w:rPr>
              <w:t>Week</w:t>
            </w:r>
          </w:p>
        </w:tc>
        <w:tc>
          <w:tcPr>
            <w:tcW w:type="dxa" w:w="8561"/>
          </w:tcPr>
          <w:p>
            <w:pPr>
              <w:spacing w:after="40"/>
            </w:pPr>
            <w:r>
              <w:rPr>
                <w:b/>
                <w:sz w:val="18"/>
              </w:rPr>
            </w:r>
            <w:r>
              <w:rPr>
                <w:b/>
                <w:sz w:val="18"/>
              </w:rPr>
              <w:t>Deliverable</w:t>
            </w:r>
          </w:p>
        </w:tc>
      </w:tr>
      <w:tr>
        <w:tc>
          <w:tcPr>
            <w:tcW w:type="dxa" w:w="850"/>
            <w:shd w:val="clear" w:color="auto" w:fill="D3DFEE"/>
          </w:tcPr>
          <w:p>
            <w:pPr>
              <w:spacing w:after="40"/>
            </w:pPr>
            <w:r>
              <w:rPr>
                <w:b/>
                <w:sz w:val="18"/>
              </w:rPr>
            </w:r>
            <w:r>
              <w:rPr>
                <w:b/>
                <w:sz w:val="18"/>
              </w:rPr>
              <w:t>1</w:t>
            </w:r>
          </w:p>
        </w:tc>
        <w:tc>
          <w:tcPr>
            <w:tcW w:type="dxa" w:w="8561"/>
            <w:shd w:val="clear" w:color="auto" w:fill="D3DFEE"/>
          </w:tcPr>
          <w:p>
            <w:pPr>
              <w:spacing w:after="40"/>
            </w:pPr>
            <w:r>
              <w:rPr>
                <w:sz w:val="18"/>
              </w:rPr>
            </w:r>
            <w:r>
              <w:rPr>
                <w:sz w:val="18"/>
              </w:rPr>
              <w:t>Rolling 1 h / 3 h / 3-day accumulation, continuously maintained</w:t>
            </w:r>
          </w:p>
        </w:tc>
      </w:tr>
      <w:tr>
        <w:tc>
          <w:tcPr>
            <w:tcW w:type="dxa" w:w="850"/>
          </w:tcPr>
          <w:p>
            <w:pPr>
              <w:spacing w:after="40"/>
            </w:pPr>
            <w:r>
              <w:rPr>
                <w:b/>
                <w:sz w:val="18"/>
              </w:rPr>
            </w:r>
            <w:r>
              <w:rPr>
                <w:b/>
                <w:sz w:val="18"/>
              </w:rPr>
              <w:t>2</w:t>
            </w:r>
          </w:p>
        </w:tc>
        <w:tc>
          <w:tcPr>
            <w:tcW w:type="dxa" w:w="8561"/>
          </w:tcPr>
          <w:p>
            <w:pPr>
              <w:spacing w:after="40"/>
            </w:pPr>
            <w:r>
              <w:rPr>
                <w:sz w:val="18"/>
              </w:rPr>
            </w:r>
            <w:r>
              <w:rPr>
                <w:sz w:val="18"/>
              </w:rPr>
              <w:t>Vigilance timers (6/12/48 h) with restart-on-new-rain and automatic all-clear, surviving restarts</w:t>
            </w:r>
          </w:p>
        </w:tc>
      </w:tr>
      <w:tr>
        <w:tc>
          <w:tcPr>
            <w:tcW w:type="dxa" w:w="850"/>
            <w:shd w:val="clear" w:color="auto" w:fill="D3DFEE"/>
          </w:tcPr>
          <w:p>
            <w:pPr>
              <w:spacing w:after="40"/>
            </w:pPr>
            <w:r>
              <w:rPr>
                <w:b/>
                <w:sz w:val="18"/>
              </w:rPr>
            </w:r>
            <w:r>
              <w:rPr>
                <w:b/>
                <w:sz w:val="18"/>
              </w:rPr>
              <w:t>3</w:t>
            </w:r>
          </w:p>
        </w:tc>
        <w:tc>
          <w:tcPr>
            <w:tcW w:type="dxa" w:w="8561"/>
            <w:shd w:val="clear" w:color="auto" w:fill="D3DFEE"/>
          </w:tcPr>
          <w:p>
            <w:pPr>
              <w:spacing w:after="40"/>
            </w:pPr>
            <w:r>
              <w:rPr>
                <w:sz w:val="18"/>
              </w:rPr>
            </w:r>
            <w:r>
              <w:rPr>
                <w:sz w:val="18"/>
              </w:rPr>
              <w:t>Flood state machine: standing water → above rail foot → trending down, with staged reinstatement</w:t>
            </w:r>
          </w:p>
        </w:tc>
      </w:tr>
      <w:tr>
        <w:tc>
          <w:tcPr>
            <w:tcW w:type="dxa" w:w="850"/>
          </w:tcPr>
          <w:p>
            <w:pPr>
              <w:spacing w:after="40"/>
            </w:pPr>
            <w:r>
              <w:rPr>
                <w:b/>
                <w:sz w:val="18"/>
              </w:rPr>
            </w:r>
            <w:r>
              <w:rPr>
                <w:b/>
                <w:sz w:val="18"/>
              </w:rPr>
              <w:t>4</w:t>
            </w:r>
          </w:p>
        </w:tc>
        <w:tc>
          <w:tcPr>
            <w:tcW w:type="dxa" w:w="8561"/>
          </w:tcPr>
          <w:p>
            <w:pPr>
              <w:spacing w:after="40"/>
            </w:pPr>
            <w:r>
              <w:rPr>
                <w:sz w:val="18"/>
              </w:rPr>
            </w:r>
            <w:r>
              <w:rPr>
                <w:sz w:val="18"/>
              </w:rPr>
              <w:t>Redundancy fallback with automatic alert re-wording, and the fault alert that announces it</w:t>
            </w:r>
          </w:p>
        </w:tc>
      </w:tr>
    </w:tbl>
    <w:p/>
    <w:p>
      <w:pPr>
        <w:pStyle w:val="Heading3"/>
      </w:pPr>
      <w:r>
        <w:t>Month 6 — Alert delivery</w:t>
      </w:r>
    </w:p>
    <w:tbl>
      <w:tblPr>
        <w:tblStyle w:val="TableGrid"/>
        <w:tblW w:type="auto" w:w="0"/>
        <w:tblLayout w:type="fixed"/>
        <w:tblLook w:firstColumn="1" w:firstRow="1" w:lastColumn="0" w:lastRow="0" w:noHBand="0" w:noVBand="1" w:val="04A0"/>
        <w:tblLayout w:type="fixed"/>
        <w:tblLayout w:type="fixed"/>
        <w:tblBorders>
          <w:top w:val="single" w:sz="8" w:color="4F81BD"/>
          <w:left w:val="single" w:sz="8" w:color="4F81BD"/>
          <w:bottom w:val="single" w:sz="8" w:color="4F81BD"/>
          <w:right w:val="single" w:sz="8" w:color="4F81BD"/>
          <w:insideH w:val="single" w:sz="4" w:color="4F81BD"/>
          <w:insideV w:val="single" w:sz="4" w:color="4F81BD"/>
        </w:tblBorders>
      </w:tblPr>
      <w:tblGrid>
        <w:gridCol w:w="850"/>
        <w:gridCol w:w="8561"/>
      </w:tblGrid>
      <w:tr>
        <w:tc>
          <w:tcPr>
            <w:tcW w:type="dxa" w:w="850"/>
          </w:tcPr>
          <w:p>
            <w:pPr>
              <w:spacing w:after="40"/>
            </w:pPr>
            <w:r>
              <w:rPr>
                <w:b/>
                <w:sz w:val="18"/>
              </w:rPr>
            </w:r>
            <w:r>
              <w:rPr>
                <w:b/>
                <w:sz w:val="18"/>
              </w:rPr>
              <w:t>Week</w:t>
            </w:r>
          </w:p>
        </w:tc>
        <w:tc>
          <w:tcPr>
            <w:tcW w:type="dxa" w:w="8561"/>
          </w:tcPr>
          <w:p>
            <w:pPr>
              <w:spacing w:after="40"/>
            </w:pPr>
            <w:r>
              <w:rPr>
                <w:b/>
                <w:sz w:val="18"/>
              </w:rPr>
            </w:r>
            <w:r>
              <w:rPr>
                <w:b/>
                <w:sz w:val="18"/>
              </w:rPr>
              <w:t>Deliverable</w:t>
            </w:r>
          </w:p>
        </w:tc>
      </w:tr>
      <w:tr>
        <w:tc>
          <w:tcPr>
            <w:tcW w:type="dxa" w:w="850"/>
            <w:shd w:val="clear" w:color="auto" w:fill="D3DFEE"/>
          </w:tcPr>
          <w:p>
            <w:pPr>
              <w:spacing w:after="40"/>
            </w:pPr>
            <w:r>
              <w:rPr>
                <w:b/>
                <w:sz w:val="18"/>
              </w:rPr>
            </w:r>
            <w:r>
              <w:rPr>
                <w:b/>
                <w:sz w:val="18"/>
              </w:rPr>
              <w:t>1</w:t>
            </w:r>
          </w:p>
        </w:tc>
        <w:tc>
          <w:tcPr>
            <w:tcW w:type="dxa" w:w="8561"/>
            <w:shd w:val="clear" w:color="auto" w:fill="D3DFEE"/>
          </w:tcPr>
          <w:p>
            <w:pPr>
              <w:spacing w:after="40"/>
            </w:pPr>
            <w:r>
              <w:rPr>
                <w:sz w:val="18"/>
              </w:rPr>
            </w:r>
            <w:r>
              <w:rPr>
                <w:sz w:val="18"/>
              </w:rPr>
              <w:t>On-screen alerting over WebSocket, with pop-ups and the unacknowledged badge</w:t>
            </w:r>
          </w:p>
        </w:tc>
      </w:tr>
      <w:tr>
        <w:tc>
          <w:tcPr>
            <w:tcW w:type="dxa" w:w="850"/>
          </w:tcPr>
          <w:p>
            <w:pPr>
              <w:spacing w:after="40"/>
            </w:pPr>
            <w:r>
              <w:rPr>
                <w:b/>
                <w:sz w:val="18"/>
              </w:rPr>
            </w:r>
            <w:r>
              <w:rPr>
                <w:b/>
                <w:sz w:val="18"/>
              </w:rPr>
              <w:t>2</w:t>
            </w:r>
          </w:p>
        </w:tc>
        <w:tc>
          <w:tcPr>
            <w:tcW w:type="dxa" w:w="8561"/>
          </w:tcPr>
          <w:p>
            <w:pPr>
              <w:spacing w:after="40"/>
            </w:pPr>
            <w:r>
              <w:rPr>
                <w:sz w:val="18"/>
              </w:rPr>
            </w:r>
            <w:r>
              <w:rPr>
                <w:sz w:val="18"/>
              </w:rPr>
              <w:t>Email channel with full alert content and deep links</w:t>
            </w:r>
          </w:p>
        </w:tc>
      </w:tr>
      <w:tr>
        <w:tc>
          <w:tcPr>
            <w:tcW w:type="dxa" w:w="850"/>
            <w:shd w:val="clear" w:color="auto" w:fill="D3DFEE"/>
          </w:tcPr>
          <w:p>
            <w:pPr>
              <w:spacing w:after="40"/>
            </w:pPr>
            <w:r>
              <w:rPr>
                <w:b/>
                <w:sz w:val="18"/>
              </w:rPr>
            </w:r>
            <w:r>
              <w:rPr>
                <w:b/>
                <w:sz w:val="18"/>
              </w:rPr>
              <w:t>3</w:t>
            </w:r>
          </w:p>
        </w:tc>
        <w:tc>
          <w:tcPr>
            <w:tcW w:type="dxa" w:w="8561"/>
            <w:shd w:val="clear" w:color="auto" w:fill="D3DFEE"/>
          </w:tcPr>
          <w:p>
            <w:pPr>
              <w:spacing w:after="40"/>
            </w:pPr>
            <w:r>
              <w:rPr>
                <w:sz w:val="18"/>
              </w:rPr>
            </w:r>
            <w:r>
              <w:rPr>
                <w:b/>
                <w:sz w:val="18"/>
              </w:rPr>
              <w:t>SMS</w:t>
            </w:r>
            <w:r>
              <w:rPr>
                <w:sz w:val="18"/>
              </w:rPr>
              <w:t xml:space="preserve"> with primary and failover providers, delivery receipts, and evidence of the 5-minute obligation</w:t>
            </w:r>
          </w:p>
        </w:tc>
      </w:tr>
      <w:tr>
        <w:tc>
          <w:tcPr>
            <w:tcW w:type="dxa" w:w="850"/>
          </w:tcPr>
          <w:p>
            <w:pPr>
              <w:spacing w:after="40"/>
            </w:pPr>
            <w:r>
              <w:rPr>
                <w:b/>
                <w:sz w:val="18"/>
              </w:rPr>
            </w:r>
            <w:r>
              <w:rPr>
                <w:b/>
                <w:sz w:val="18"/>
              </w:rPr>
              <w:t>4</w:t>
            </w:r>
          </w:p>
        </w:tc>
        <w:tc>
          <w:tcPr>
            <w:tcW w:type="dxa" w:w="8561"/>
          </w:tcPr>
          <w:p>
            <w:pPr>
              <w:spacing w:after="40"/>
            </w:pPr>
            <w:r>
              <w:rPr>
                <w:sz w:val="18"/>
              </w:rPr>
            </w:r>
            <w:r>
              <w:rPr>
                <w:sz w:val="18"/>
              </w:rPr>
              <w:t>PTZ camera links on screen, in email and by SMS; end-to-end timing measured and reported</w:t>
            </w:r>
          </w:p>
        </w:tc>
      </w:tr>
    </w:tbl>
    <w:p/>
    <w:p>
      <w:pPr>
        <w:pStyle w:val="Heading3"/>
      </w:pPr>
      <w:r>
        <w:t>Month 7 — Portal: map, trends, history</w:t>
      </w:r>
    </w:p>
    <w:tbl>
      <w:tblPr>
        <w:tblStyle w:val="TableGrid"/>
        <w:tblW w:type="auto" w:w="0"/>
        <w:tblLayout w:type="fixed"/>
        <w:tblLook w:firstColumn="1" w:firstRow="1" w:lastColumn="0" w:lastRow="0" w:noHBand="0" w:noVBand="1" w:val="04A0"/>
        <w:tblLayout w:type="fixed"/>
        <w:tblLayout w:type="fixed"/>
        <w:tblBorders>
          <w:top w:val="single" w:sz="8" w:color="4F81BD"/>
          <w:left w:val="single" w:sz="8" w:color="4F81BD"/>
          <w:bottom w:val="single" w:sz="8" w:color="4F81BD"/>
          <w:right w:val="single" w:sz="8" w:color="4F81BD"/>
          <w:insideH w:val="single" w:sz="4" w:color="4F81BD"/>
          <w:insideV w:val="single" w:sz="4" w:color="4F81BD"/>
        </w:tblBorders>
      </w:tblPr>
      <w:tblGrid>
        <w:gridCol w:w="850"/>
        <w:gridCol w:w="8561"/>
      </w:tblGrid>
      <w:tr>
        <w:tc>
          <w:tcPr>
            <w:tcW w:type="dxa" w:w="850"/>
          </w:tcPr>
          <w:p>
            <w:pPr>
              <w:spacing w:after="40"/>
            </w:pPr>
            <w:r>
              <w:rPr>
                <w:b/>
                <w:sz w:val="18"/>
              </w:rPr>
            </w:r>
            <w:r>
              <w:rPr>
                <w:b/>
                <w:sz w:val="18"/>
              </w:rPr>
              <w:t>Week</w:t>
            </w:r>
          </w:p>
        </w:tc>
        <w:tc>
          <w:tcPr>
            <w:tcW w:type="dxa" w:w="8561"/>
          </w:tcPr>
          <w:p>
            <w:pPr>
              <w:spacing w:after="40"/>
            </w:pPr>
            <w:r>
              <w:rPr>
                <w:b/>
                <w:sz w:val="18"/>
              </w:rPr>
            </w:r>
            <w:r>
              <w:rPr>
                <w:b/>
                <w:sz w:val="18"/>
              </w:rPr>
              <w:t>Deliverable</w:t>
            </w:r>
          </w:p>
        </w:tc>
      </w:tr>
      <w:tr>
        <w:tc>
          <w:tcPr>
            <w:tcW w:type="dxa" w:w="850"/>
            <w:shd w:val="clear" w:color="auto" w:fill="D3DFEE"/>
          </w:tcPr>
          <w:p>
            <w:pPr>
              <w:spacing w:after="40"/>
            </w:pPr>
            <w:r>
              <w:rPr>
                <w:b/>
                <w:sz w:val="18"/>
              </w:rPr>
            </w:r>
            <w:r>
              <w:rPr>
                <w:b/>
                <w:sz w:val="18"/>
              </w:rPr>
              <w:t>1</w:t>
            </w:r>
          </w:p>
        </w:tc>
        <w:tc>
          <w:tcPr>
            <w:tcW w:type="dxa" w:w="8561"/>
            <w:shd w:val="clear" w:color="auto" w:fill="D3DFEE"/>
          </w:tcPr>
          <w:p>
            <w:pPr>
              <w:spacing w:after="40"/>
            </w:pPr>
            <w:r>
              <w:rPr>
                <w:sz w:val="18"/>
              </w:rPr>
            </w:r>
            <w:r>
              <w:rPr>
                <w:sz w:val="18"/>
              </w:rPr>
              <w:t>Application shell, authentication, RBAC, station scoping, MFA</w:t>
            </w:r>
          </w:p>
        </w:tc>
      </w:tr>
      <w:tr>
        <w:tc>
          <w:tcPr>
            <w:tcW w:type="dxa" w:w="850"/>
          </w:tcPr>
          <w:p>
            <w:pPr>
              <w:spacing w:after="40"/>
            </w:pPr>
            <w:r>
              <w:rPr>
                <w:b/>
                <w:sz w:val="18"/>
              </w:rPr>
            </w:r>
            <w:r>
              <w:rPr>
                <w:b/>
                <w:sz w:val="18"/>
              </w:rPr>
              <w:t>2</w:t>
            </w:r>
          </w:p>
        </w:tc>
        <w:tc>
          <w:tcPr>
            <w:tcW w:type="dxa" w:w="8561"/>
          </w:tcPr>
          <w:p>
            <w:pPr>
              <w:spacing w:after="40"/>
            </w:pPr>
            <w:r>
              <w:rPr>
                <w:sz w:val="18"/>
              </w:rPr>
            </w:r>
            <w:r>
              <w:rPr>
                <w:b/>
                <w:sz w:val="18"/>
              </w:rPr>
              <w:t>Corridor map</w:t>
            </w:r>
            <w:r>
              <w:rPr>
                <w:sz w:val="18"/>
              </w:rPr>
              <w:t xml:space="preserve"> with live status, click-through to station detail</w:t>
            </w:r>
          </w:p>
        </w:tc>
      </w:tr>
      <w:tr>
        <w:tc>
          <w:tcPr>
            <w:tcW w:type="dxa" w:w="850"/>
            <w:shd w:val="clear" w:color="auto" w:fill="D3DFEE"/>
          </w:tcPr>
          <w:p>
            <w:pPr>
              <w:spacing w:after="40"/>
            </w:pPr>
            <w:r>
              <w:rPr>
                <w:b/>
                <w:sz w:val="18"/>
              </w:rPr>
            </w:r>
            <w:r>
              <w:rPr>
                <w:b/>
                <w:sz w:val="18"/>
              </w:rPr>
              <w:t>3</w:t>
            </w:r>
          </w:p>
        </w:tc>
        <w:tc>
          <w:tcPr>
            <w:tcW w:type="dxa" w:w="8561"/>
            <w:shd w:val="clear" w:color="auto" w:fill="D3DFEE"/>
          </w:tcPr>
          <w:p>
            <w:pPr>
              <w:spacing w:after="40"/>
            </w:pPr>
            <w:r>
              <w:rPr>
                <w:sz w:val="18"/>
              </w:rPr>
            </w:r>
            <w:r>
              <w:rPr>
                <w:sz w:val="18"/>
              </w:rPr>
              <w:t>Trends and station screens with thresholds drawn; chart performance work</w:t>
            </w:r>
          </w:p>
        </w:tc>
      </w:tr>
      <w:tr>
        <w:tc>
          <w:tcPr>
            <w:tcW w:type="dxa" w:w="850"/>
          </w:tcPr>
          <w:p>
            <w:pPr>
              <w:spacing w:after="40"/>
            </w:pPr>
            <w:r>
              <w:rPr>
                <w:b/>
                <w:sz w:val="18"/>
              </w:rPr>
            </w:r>
            <w:r>
              <w:rPr>
                <w:b/>
                <w:sz w:val="18"/>
              </w:rPr>
              <w:t>4</w:t>
            </w:r>
          </w:p>
        </w:tc>
        <w:tc>
          <w:tcPr>
            <w:tcW w:type="dxa" w:w="8561"/>
          </w:tcPr>
          <w:p>
            <w:pPr>
              <w:spacing w:after="40"/>
            </w:pPr>
            <w:r>
              <w:rPr>
                <w:sz w:val="18"/>
              </w:rPr>
            </w:r>
            <w:r>
              <w:rPr>
                <w:sz w:val="18"/>
              </w:rPr>
              <w:t>Historical query engine, paged results, one-click CSV export</w:t>
            </w:r>
          </w:p>
        </w:tc>
      </w:tr>
    </w:tbl>
    <w:p/>
    <w:p>
      <w:pPr>
        <w:pStyle w:val="Heading3"/>
      </w:pPr>
      <w:r>
        <w:t>Month 8 — Portal: operations</w:t>
      </w:r>
    </w:p>
    <w:tbl>
      <w:tblPr>
        <w:tblStyle w:val="TableGrid"/>
        <w:tblW w:type="auto" w:w="0"/>
        <w:tblLayout w:type="fixed"/>
        <w:tblLook w:firstColumn="1" w:firstRow="1" w:lastColumn="0" w:lastRow="0" w:noHBand="0" w:noVBand="1" w:val="04A0"/>
        <w:tblLayout w:type="fixed"/>
        <w:tblLayout w:type="fixed"/>
        <w:tblBorders>
          <w:top w:val="single" w:sz="8" w:color="4F81BD"/>
          <w:left w:val="single" w:sz="8" w:color="4F81BD"/>
          <w:bottom w:val="single" w:sz="8" w:color="4F81BD"/>
          <w:right w:val="single" w:sz="8" w:color="4F81BD"/>
          <w:insideH w:val="single" w:sz="4" w:color="4F81BD"/>
          <w:insideV w:val="single" w:sz="4" w:color="4F81BD"/>
        </w:tblBorders>
      </w:tblPr>
      <w:tblGrid>
        <w:gridCol w:w="850"/>
        <w:gridCol w:w="8561"/>
      </w:tblGrid>
      <w:tr>
        <w:tc>
          <w:tcPr>
            <w:tcW w:type="dxa" w:w="850"/>
          </w:tcPr>
          <w:p>
            <w:pPr>
              <w:spacing w:after="40"/>
            </w:pPr>
            <w:r>
              <w:rPr>
                <w:b/>
                <w:sz w:val="18"/>
              </w:rPr>
            </w:r>
            <w:r>
              <w:rPr>
                <w:b/>
                <w:sz w:val="18"/>
              </w:rPr>
              <w:t>Week</w:t>
            </w:r>
          </w:p>
        </w:tc>
        <w:tc>
          <w:tcPr>
            <w:tcW w:type="dxa" w:w="8561"/>
          </w:tcPr>
          <w:p>
            <w:pPr>
              <w:spacing w:after="40"/>
            </w:pPr>
            <w:r>
              <w:rPr>
                <w:b/>
                <w:sz w:val="18"/>
              </w:rPr>
            </w:r>
            <w:r>
              <w:rPr>
                <w:b/>
                <w:sz w:val="18"/>
              </w:rPr>
              <w:t>Deliverable</w:t>
            </w:r>
          </w:p>
        </w:tc>
      </w:tr>
      <w:tr>
        <w:tc>
          <w:tcPr>
            <w:tcW w:type="dxa" w:w="850"/>
            <w:shd w:val="clear" w:color="auto" w:fill="D3DFEE"/>
          </w:tcPr>
          <w:p>
            <w:pPr>
              <w:spacing w:after="40"/>
            </w:pPr>
            <w:r>
              <w:rPr>
                <w:b/>
                <w:sz w:val="18"/>
              </w:rPr>
            </w:r>
            <w:r>
              <w:rPr>
                <w:b/>
                <w:sz w:val="18"/>
              </w:rPr>
              <w:t>1</w:t>
            </w:r>
          </w:p>
        </w:tc>
        <w:tc>
          <w:tcPr>
            <w:tcW w:type="dxa" w:w="8561"/>
            <w:shd w:val="clear" w:color="auto" w:fill="D3DFEE"/>
          </w:tcPr>
          <w:p>
            <w:pPr>
              <w:spacing w:after="40"/>
            </w:pPr>
            <w:r>
              <w:rPr>
                <w:sz w:val="18"/>
              </w:rPr>
            </w:r>
            <w:r>
              <w:rPr>
                <w:b/>
                <w:sz w:val="18"/>
              </w:rPr>
              <w:t>Marrickville pump screen</w:t>
            </w:r>
            <w:r>
              <w:rPr>
                <w:sz w:val="18"/>
              </w:rPr>
              <w:t xml:space="preserve"> — live sensors, level trend, pump status and condition</w:t>
            </w:r>
          </w:p>
        </w:tc>
      </w:tr>
      <w:tr>
        <w:tc>
          <w:tcPr>
            <w:tcW w:type="dxa" w:w="850"/>
          </w:tcPr>
          <w:p>
            <w:pPr>
              <w:spacing w:after="40"/>
            </w:pPr>
            <w:r>
              <w:rPr>
                <w:b/>
                <w:sz w:val="18"/>
              </w:rPr>
            </w:r>
            <w:r>
              <w:rPr>
                <w:b/>
                <w:sz w:val="18"/>
              </w:rPr>
              <w:t>2</w:t>
            </w:r>
          </w:p>
        </w:tc>
        <w:tc>
          <w:tcPr>
            <w:tcW w:type="dxa" w:w="8561"/>
          </w:tcPr>
          <w:p>
            <w:pPr>
              <w:spacing w:after="40"/>
            </w:pPr>
            <w:r>
              <w:rPr>
                <w:sz w:val="18"/>
              </w:rPr>
            </w:r>
            <w:r>
              <w:rPr>
                <w:b/>
                <w:sz w:val="18"/>
              </w:rPr>
              <w:t>AUTO/MANUAL toggle and supervised START/STOP</w:t>
            </w:r>
            <w:r>
              <w:rPr>
                <w:sz w:val="18"/>
              </w:rPr>
              <w:t>, confirmation, role-gated, fully audited</w:t>
            </w:r>
          </w:p>
        </w:tc>
      </w:tr>
      <w:tr>
        <w:tc>
          <w:tcPr>
            <w:tcW w:type="dxa" w:w="850"/>
            <w:shd w:val="clear" w:color="auto" w:fill="D3DFEE"/>
          </w:tcPr>
          <w:p>
            <w:pPr>
              <w:spacing w:after="40"/>
            </w:pPr>
            <w:r>
              <w:rPr>
                <w:b/>
                <w:sz w:val="18"/>
              </w:rPr>
            </w:r>
            <w:r>
              <w:rPr>
                <w:b/>
                <w:sz w:val="18"/>
              </w:rPr>
              <w:t>3</w:t>
            </w:r>
          </w:p>
        </w:tc>
        <w:tc>
          <w:tcPr>
            <w:tcW w:type="dxa" w:w="8561"/>
            <w:shd w:val="clear" w:color="auto" w:fill="D3DFEE"/>
          </w:tcPr>
          <w:p>
            <w:pPr>
              <w:spacing w:after="40"/>
            </w:pPr>
            <w:r>
              <w:rPr>
                <w:sz w:val="18"/>
              </w:rPr>
            </w:r>
            <w:r>
              <w:rPr>
                <w:sz w:val="18"/>
              </w:rPr>
              <w:t>Flood-event screen with pump markers and the event log</w:t>
            </w:r>
          </w:p>
        </w:tc>
      </w:tr>
      <w:tr>
        <w:tc>
          <w:tcPr>
            <w:tcW w:type="dxa" w:w="850"/>
          </w:tcPr>
          <w:p>
            <w:pPr>
              <w:spacing w:after="40"/>
            </w:pPr>
            <w:r>
              <w:rPr>
                <w:b/>
                <w:sz w:val="18"/>
              </w:rPr>
            </w:r>
            <w:r>
              <w:rPr>
                <w:b/>
                <w:sz w:val="18"/>
              </w:rPr>
              <w:t>4</w:t>
            </w:r>
          </w:p>
        </w:tc>
        <w:tc>
          <w:tcPr>
            <w:tcW w:type="dxa" w:w="8561"/>
          </w:tcPr>
          <w:p>
            <w:pPr>
              <w:spacing w:after="40"/>
            </w:pPr>
            <w:r>
              <w:rPr>
                <w:sz w:val="18"/>
              </w:rPr>
            </w:r>
            <w:r>
              <w:rPr>
                <w:sz w:val="18"/>
              </w:rPr>
              <w:t>System-health dashboard (≤10-minute refresh); administration screens for users, roles, thresholds and recipients</w:t>
            </w:r>
          </w:p>
        </w:tc>
      </w:tr>
    </w:tbl>
    <w:p/>
    <w:p>
      <w:pPr>
        <w:pStyle w:val="Heading3"/>
      </w:pPr>
      <w:r>
        <w:t>Month 9 — Mobile application</w:t>
      </w:r>
    </w:p>
    <w:tbl>
      <w:tblPr>
        <w:tblStyle w:val="TableGrid"/>
        <w:tblW w:type="auto" w:w="0"/>
        <w:tblLayout w:type="fixed"/>
        <w:tblLook w:firstColumn="1" w:firstRow="1" w:lastColumn="0" w:lastRow="0" w:noHBand="0" w:noVBand="1" w:val="04A0"/>
        <w:tblLayout w:type="fixed"/>
        <w:tblLayout w:type="fixed"/>
        <w:tblBorders>
          <w:top w:val="single" w:sz="8" w:color="4F81BD"/>
          <w:left w:val="single" w:sz="8" w:color="4F81BD"/>
          <w:bottom w:val="single" w:sz="8" w:color="4F81BD"/>
          <w:right w:val="single" w:sz="8" w:color="4F81BD"/>
          <w:insideH w:val="single" w:sz="4" w:color="4F81BD"/>
          <w:insideV w:val="single" w:sz="4" w:color="4F81BD"/>
        </w:tblBorders>
      </w:tblPr>
      <w:tblGrid>
        <w:gridCol w:w="850"/>
        <w:gridCol w:w="8561"/>
      </w:tblGrid>
      <w:tr>
        <w:tc>
          <w:tcPr>
            <w:tcW w:type="dxa" w:w="850"/>
          </w:tcPr>
          <w:p>
            <w:pPr>
              <w:spacing w:after="40"/>
            </w:pPr>
            <w:r>
              <w:rPr>
                <w:b/>
                <w:sz w:val="18"/>
              </w:rPr>
            </w:r>
            <w:r>
              <w:rPr>
                <w:b/>
                <w:sz w:val="18"/>
              </w:rPr>
              <w:t>Week</w:t>
            </w:r>
          </w:p>
        </w:tc>
        <w:tc>
          <w:tcPr>
            <w:tcW w:type="dxa" w:w="8561"/>
          </w:tcPr>
          <w:p>
            <w:pPr>
              <w:spacing w:after="40"/>
            </w:pPr>
            <w:r>
              <w:rPr>
                <w:b/>
                <w:sz w:val="18"/>
              </w:rPr>
            </w:r>
            <w:r>
              <w:rPr>
                <w:b/>
                <w:sz w:val="18"/>
              </w:rPr>
              <w:t>Deliverable</w:t>
            </w:r>
          </w:p>
        </w:tc>
      </w:tr>
      <w:tr>
        <w:tc>
          <w:tcPr>
            <w:tcW w:type="dxa" w:w="850"/>
            <w:shd w:val="clear" w:color="auto" w:fill="D3DFEE"/>
          </w:tcPr>
          <w:p>
            <w:pPr>
              <w:spacing w:after="40"/>
            </w:pPr>
            <w:r>
              <w:rPr>
                <w:b/>
                <w:sz w:val="18"/>
              </w:rPr>
            </w:r>
            <w:r>
              <w:rPr>
                <w:b/>
                <w:sz w:val="18"/>
              </w:rPr>
              <w:t>1</w:t>
            </w:r>
          </w:p>
        </w:tc>
        <w:tc>
          <w:tcPr>
            <w:tcW w:type="dxa" w:w="8561"/>
            <w:shd w:val="clear" w:color="auto" w:fill="D3DFEE"/>
          </w:tcPr>
          <w:p>
            <w:pPr>
              <w:spacing w:after="40"/>
            </w:pPr>
            <w:r>
              <w:rPr>
                <w:sz w:val="18"/>
              </w:rPr>
            </w:r>
            <w:r>
              <w:rPr>
                <w:sz w:val="18"/>
              </w:rPr>
              <w:t>Flutter foundation, authentication, biometric unlock, secure token storage</w:t>
            </w:r>
          </w:p>
        </w:tc>
      </w:tr>
      <w:tr>
        <w:tc>
          <w:tcPr>
            <w:tcW w:type="dxa" w:w="850"/>
          </w:tcPr>
          <w:p>
            <w:pPr>
              <w:spacing w:after="40"/>
            </w:pPr>
            <w:r>
              <w:rPr>
                <w:b/>
                <w:sz w:val="18"/>
              </w:rPr>
            </w:r>
            <w:r>
              <w:rPr>
                <w:b/>
                <w:sz w:val="18"/>
              </w:rPr>
              <w:t>2</w:t>
            </w:r>
          </w:p>
        </w:tc>
        <w:tc>
          <w:tcPr>
            <w:tcW w:type="dxa" w:w="8561"/>
          </w:tcPr>
          <w:p>
            <w:pPr>
              <w:spacing w:after="40"/>
            </w:pPr>
            <w:r>
              <w:rPr>
                <w:sz w:val="18"/>
              </w:rPr>
            </w:r>
            <w:r>
              <w:rPr>
                <w:sz w:val="18"/>
              </w:rPr>
              <w:t>Map, station detail, live readings and trends on the phone</w:t>
            </w:r>
          </w:p>
        </w:tc>
      </w:tr>
      <w:tr>
        <w:tc>
          <w:tcPr>
            <w:tcW w:type="dxa" w:w="850"/>
            <w:shd w:val="clear" w:color="auto" w:fill="D3DFEE"/>
          </w:tcPr>
          <w:p>
            <w:pPr>
              <w:spacing w:after="40"/>
            </w:pPr>
            <w:r>
              <w:rPr>
                <w:b/>
                <w:sz w:val="18"/>
              </w:rPr>
            </w:r>
            <w:r>
              <w:rPr>
                <w:b/>
                <w:sz w:val="18"/>
              </w:rPr>
              <w:t>3</w:t>
            </w:r>
          </w:p>
        </w:tc>
        <w:tc>
          <w:tcPr>
            <w:tcW w:type="dxa" w:w="8561"/>
            <w:shd w:val="clear" w:color="auto" w:fill="D3DFEE"/>
          </w:tcPr>
          <w:p>
            <w:pPr>
              <w:spacing w:after="40"/>
            </w:pPr>
            <w:r>
              <w:rPr>
                <w:sz w:val="18"/>
              </w:rPr>
            </w:r>
            <w:r>
              <w:rPr>
                <w:b/>
                <w:sz w:val="18"/>
              </w:rPr>
              <w:t>Push notifications</w:t>
            </w:r>
            <w:r>
              <w:rPr>
                <w:sz w:val="18"/>
              </w:rPr>
              <w:t>, alert acknowledgement, offline tolerance</w:t>
            </w:r>
          </w:p>
        </w:tc>
      </w:tr>
      <w:tr>
        <w:tc>
          <w:tcPr>
            <w:tcW w:type="dxa" w:w="850"/>
          </w:tcPr>
          <w:p>
            <w:pPr>
              <w:spacing w:after="40"/>
            </w:pPr>
            <w:r>
              <w:rPr>
                <w:b/>
                <w:sz w:val="18"/>
              </w:rPr>
            </w:r>
            <w:r>
              <w:rPr>
                <w:b/>
                <w:sz w:val="18"/>
              </w:rPr>
              <w:t>4</w:t>
            </w:r>
          </w:p>
        </w:tc>
        <w:tc>
          <w:tcPr>
            <w:tcW w:type="dxa" w:w="8561"/>
          </w:tcPr>
          <w:p>
            <w:pPr>
              <w:spacing w:after="40"/>
            </w:pPr>
            <w:r>
              <w:rPr>
                <w:sz w:val="18"/>
              </w:rPr>
            </w:r>
            <w:r>
              <w:rPr>
                <w:sz w:val="18"/>
              </w:rPr>
              <w:t>Supervised pump control for authorised roles; TestFlight and Play Console beta builds</w:t>
            </w:r>
          </w:p>
        </w:tc>
      </w:tr>
    </w:tbl>
    <w:p/>
    <w:p>
      <w:pPr>
        <w:pStyle w:val="Heading3"/>
      </w:pPr>
      <w:r>
        <w:t>Month 10 — Hardening, performance and handover</w:t>
      </w:r>
    </w:p>
    <w:tbl>
      <w:tblPr>
        <w:tblStyle w:val="TableGrid"/>
        <w:tblW w:type="auto" w:w="0"/>
        <w:tblLayout w:type="fixed"/>
        <w:tblLook w:firstColumn="1" w:firstRow="1" w:lastColumn="0" w:lastRow="0" w:noHBand="0" w:noVBand="1" w:val="04A0"/>
        <w:tblLayout w:type="fixed"/>
        <w:tblLayout w:type="fixed"/>
        <w:tblBorders>
          <w:top w:val="single" w:sz="8" w:color="4F81BD"/>
          <w:left w:val="single" w:sz="8" w:color="4F81BD"/>
          <w:bottom w:val="single" w:sz="8" w:color="4F81BD"/>
          <w:right w:val="single" w:sz="8" w:color="4F81BD"/>
          <w:insideH w:val="single" w:sz="4" w:color="4F81BD"/>
          <w:insideV w:val="single" w:sz="4" w:color="4F81BD"/>
        </w:tblBorders>
      </w:tblPr>
      <w:tblGrid>
        <w:gridCol w:w="850"/>
        <w:gridCol w:w="8561"/>
      </w:tblGrid>
      <w:tr>
        <w:tc>
          <w:tcPr>
            <w:tcW w:type="dxa" w:w="850"/>
          </w:tcPr>
          <w:p>
            <w:pPr>
              <w:spacing w:after="40"/>
            </w:pPr>
            <w:r>
              <w:rPr>
                <w:b/>
                <w:sz w:val="18"/>
              </w:rPr>
            </w:r>
            <w:r>
              <w:rPr>
                <w:b/>
                <w:sz w:val="18"/>
              </w:rPr>
              <w:t>Week</w:t>
            </w:r>
          </w:p>
        </w:tc>
        <w:tc>
          <w:tcPr>
            <w:tcW w:type="dxa" w:w="8561"/>
          </w:tcPr>
          <w:p>
            <w:pPr>
              <w:spacing w:after="40"/>
            </w:pPr>
            <w:r>
              <w:rPr>
                <w:b/>
                <w:sz w:val="18"/>
              </w:rPr>
            </w:r>
            <w:r>
              <w:rPr>
                <w:b/>
                <w:sz w:val="18"/>
              </w:rPr>
              <w:t>Deliverable</w:t>
            </w:r>
          </w:p>
        </w:tc>
      </w:tr>
      <w:tr>
        <w:tc>
          <w:tcPr>
            <w:tcW w:type="dxa" w:w="850"/>
            <w:shd w:val="clear" w:color="auto" w:fill="D3DFEE"/>
          </w:tcPr>
          <w:p>
            <w:pPr>
              <w:spacing w:after="40"/>
            </w:pPr>
            <w:r>
              <w:rPr>
                <w:b/>
                <w:sz w:val="18"/>
              </w:rPr>
            </w:r>
            <w:r>
              <w:rPr>
                <w:b/>
                <w:sz w:val="18"/>
              </w:rPr>
              <w:t>1</w:t>
            </w:r>
          </w:p>
        </w:tc>
        <w:tc>
          <w:tcPr>
            <w:tcW w:type="dxa" w:w="8561"/>
            <w:shd w:val="clear" w:color="auto" w:fill="D3DFEE"/>
          </w:tcPr>
          <w:p>
            <w:pPr>
              <w:spacing w:after="40"/>
            </w:pPr>
            <w:r>
              <w:rPr>
                <w:sz w:val="18"/>
              </w:rPr>
            </w:r>
            <w:r>
              <w:rPr>
                <w:b/>
                <w:sz w:val="18"/>
              </w:rPr>
              <w:t>Load test at full rate</w:t>
            </w:r>
            <w:r>
              <w:rPr>
                <w:sz w:val="18"/>
              </w:rPr>
              <w:t xml:space="preserve"> — sustained 1 Hz across all eight loggers, plus burst replay of a multi-day backlog</w:t>
            </w:r>
          </w:p>
        </w:tc>
      </w:tr>
      <w:tr>
        <w:tc>
          <w:tcPr>
            <w:tcW w:type="dxa" w:w="850"/>
          </w:tcPr>
          <w:p>
            <w:pPr>
              <w:spacing w:after="40"/>
            </w:pPr>
            <w:r>
              <w:rPr>
                <w:b/>
                <w:sz w:val="18"/>
              </w:rPr>
            </w:r>
            <w:r>
              <w:rPr>
                <w:b/>
                <w:sz w:val="18"/>
              </w:rPr>
              <w:t>2</w:t>
            </w:r>
          </w:p>
        </w:tc>
        <w:tc>
          <w:tcPr>
            <w:tcW w:type="dxa" w:w="8561"/>
          </w:tcPr>
          <w:p>
            <w:pPr>
              <w:spacing w:after="40"/>
            </w:pPr>
            <w:r>
              <w:rPr>
                <w:sz w:val="18"/>
              </w:rPr>
            </w:r>
            <w:r>
              <w:rPr>
                <w:b/>
                <w:sz w:val="18"/>
              </w:rPr>
              <w:t>Security review and penetration test</w:t>
            </w:r>
            <w:r>
              <w:rPr>
                <w:sz w:val="18"/>
              </w:rPr>
              <w:t>; dependency audit; remediation</w:t>
            </w:r>
          </w:p>
        </w:tc>
      </w:tr>
      <w:tr>
        <w:tc>
          <w:tcPr>
            <w:tcW w:type="dxa" w:w="850"/>
            <w:shd w:val="clear" w:color="auto" w:fill="D3DFEE"/>
          </w:tcPr>
          <w:p>
            <w:pPr>
              <w:spacing w:after="40"/>
            </w:pPr>
            <w:r>
              <w:rPr>
                <w:b/>
                <w:sz w:val="18"/>
              </w:rPr>
            </w:r>
            <w:r>
              <w:rPr>
                <w:b/>
                <w:sz w:val="18"/>
              </w:rPr>
              <w:t>3</w:t>
            </w:r>
          </w:p>
        </w:tc>
        <w:tc>
          <w:tcPr>
            <w:tcW w:type="dxa" w:w="8561"/>
            <w:shd w:val="clear" w:color="auto" w:fill="D3DFEE"/>
          </w:tcPr>
          <w:p>
            <w:pPr>
              <w:spacing w:after="40"/>
            </w:pPr>
            <w:r>
              <w:rPr>
                <w:sz w:val="18"/>
              </w:rPr>
            </w:r>
            <w:r>
              <w:rPr>
                <w:sz w:val="18"/>
              </w:rPr>
              <w:t xml:space="preserve">High availability, backup and </w:t>
            </w:r>
            <w:r>
              <w:rPr>
                <w:b/>
                <w:sz w:val="18"/>
              </w:rPr>
              <w:t>restore rehearsal</w:t>
            </w:r>
            <w:r>
              <w:rPr>
                <w:sz w:val="18"/>
              </w:rPr>
              <w:t xml:space="preserve"> (a backup is not a backup until it has been restored); failover drill</w:t>
            </w:r>
          </w:p>
        </w:tc>
      </w:tr>
      <w:tr>
        <w:tc>
          <w:tcPr>
            <w:tcW w:type="dxa" w:w="850"/>
          </w:tcPr>
          <w:p>
            <w:pPr>
              <w:spacing w:after="40"/>
            </w:pPr>
            <w:r>
              <w:rPr>
                <w:b/>
                <w:sz w:val="18"/>
              </w:rPr>
            </w:r>
            <w:r>
              <w:rPr>
                <w:b/>
                <w:sz w:val="18"/>
              </w:rPr>
              <w:t>4</w:t>
            </w:r>
          </w:p>
        </w:tc>
        <w:tc>
          <w:tcPr>
            <w:tcW w:type="dxa" w:w="8561"/>
          </w:tcPr>
          <w:p>
            <w:pPr>
              <w:spacing w:after="40"/>
            </w:pPr>
            <w:r>
              <w:rPr>
                <w:sz w:val="18"/>
              </w:rPr>
            </w:r>
            <w:r>
              <w:rPr>
                <w:sz w:val="18"/>
              </w:rPr>
              <w:t>Documentation, runbooks, operator and maintainer training, SAT support, handover</w:t>
            </w:r>
          </w:p>
        </w:tc>
      </w:tr>
    </w:tbl>
    <w:p/>
    <w:p>
      <w:pPr>
        <w:pStyle w:val="Heading2"/>
      </w:pPr>
      <w:r>
        <w:t>11. Requirement traceability</w:t>
      </w:r>
    </w:p>
    <w:p>
      <w:r>
        <w:t>Every item in the Statement of Requirements, mapped to the month that delivers it. Nothing is left unassigned.</w:t>
      </w:r>
    </w:p>
    <w:tbl>
      <w:tblPr>
        <w:tblStyle w:val="TableGrid"/>
        <w:tblW w:type="auto" w:w="0"/>
        <w:tblLayout w:type="fixed"/>
        <w:tblLook w:firstColumn="1" w:firstRow="1" w:lastColumn="0" w:lastRow="0" w:noHBand="0" w:noVBand="1" w:val="04A0"/>
        <w:tblLayout w:type="fixed"/>
        <w:tblLayout w:type="fixed"/>
        <w:tblBorders>
          <w:top w:val="single" w:sz="8" w:color="4F81BD"/>
          <w:left w:val="single" w:sz="8" w:color="4F81BD"/>
          <w:bottom w:val="single" w:sz="8" w:color="4F81BD"/>
          <w:right w:val="single" w:sz="8" w:color="4F81BD"/>
          <w:insideH w:val="single" w:sz="4" w:color="4F81BD"/>
          <w:insideV w:val="single" w:sz="4" w:color="4F81BD"/>
        </w:tblBorders>
      </w:tblPr>
      <w:tblGrid>
        <w:gridCol w:w="7885"/>
        <w:gridCol w:w="1526"/>
      </w:tblGrid>
      <w:tr>
        <w:tc>
          <w:tcPr>
            <w:tcW w:type="dxa" w:w="7885"/>
          </w:tcPr>
          <w:p>
            <w:pPr>
              <w:spacing w:after="40"/>
            </w:pPr>
            <w:r>
              <w:rPr>
                <w:b/>
                <w:sz w:val="18"/>
              </w:rPr>
            </w:r>
            <w:r>
              <w:rPr>
                <w:b/>
                <w:sz w:val="18"/>
              </w:rPr>
              <w:t>Requirement</w:t>
            </w:r>
          </w:p>
        </w:tc>
        <w:tc>
          <w:tcPr>
            <w:tcW w:type="dxa" w:w="1526"/>
          </w:tcPr>
          <w:p>
            <w:pPr>
              <w:spacing w:after="40"/>
            </w:pPr>
            <w:r>
              <w:rPr>
                <w:b/>
                <w:sz w:val="18"/>
              </w:rPr>
            </w:r>
            <w:r>
              <w:rPr>
                <w:b/>
                <w:sz w:val="18"/>
              </w:rPr>
              <w:t>Delivered in</w:t>
            </w:r>
          </w:p>
        </w:tc>
      </w:tr>
      <w:tr>
        <w:tc>
          <w:tcPr>
            <w:tcW w:type="dxa" w:w="7885"/>
            <w:shd w:val="clear" w:color="auto" w:fill="D3DFEE"/>
          </w:tcPr>
          <w:p>
            <w:pPr>
              <w:spacing w:after="40"/>
            </w:pPr>
            <w:r>
              <w:rPr>
                <w:b/>
                <w:sz w:val="18"/>
              </w:rPr>
            </w:r>
            <w:r>
              <w:rPr>
                <w:b/>
                <w:sz w:val="18"/>
              </w:rPr>
              <w:t>Rainfall measurement, accumulation windows, thresholds</w:t>
            </w:r>
          </w:p>
        </w:tc>
        <w:tc>
          <w:tcPr>
            <w:tcW w:type="dxa" w:w="1526"/>
            <w:shd w:val="clear" w:color="auto" w:fill="D3DFEE"/>
          </w:tcPr>
          <w:p>
            <w:pPr>
              <w:spacing w:after="40"/>
            </w:pPr>
            <w:r>
              <w:rPr>
                <w:sz w:val="18"/>
              </w:rPr>
            </w:r>
            <w:r>
              <w:rPr>
                <w:sz w:val="18"/>
              </w:rPr>
              <w:t>M3, M5</w:t>
            </w:r>
          </w:p>
        </w:tc>
      </w:tr>
      <w:tr>
        <w:tc>
          <w:tcPr>
            <w:tcW w:type="dxa" w:w="7885"/>
          </w:tcPr>
          <w:p>
            <w:pPr>
              <w:spacing w:after="40"/>
            </w:pPr>
            <w:r>
              <w:rPr>
                <w:b/>
                <w:sz w:val="18"/>
              </w:rPr>
            </w:r>
            <w:r>
              <w:rPr>
                <w:b/>
                <w:sz w:val="18"/>
              </w:rPr>
              <w:t>Rainfall vigilance timers (6/12/48 h) and all-clear</w:t>
            </w:r>
          </w:p>
        </w:tc>
        <w:tc>
          <w:tcPr>
            <w:tcW w:type="dxa" w:w="1526"/>
          </w:tcPr>
          <w:p>
            <w:pPr>
              <w:spacing w:after="40"/>
            </w:pPr>
            <w:r>
              <w:rPr>
                <w:sz w:val="18"/>
              </w:rPr>
            </w:r>
            <w:r>
              <w:rPr>
                <w:b/>
                <w:sz w:val="18"/>
              </w:rPr>
              <w:t>M5</w:t>
            </w:r>
          </w:p>
        </w:tc>
      </w:tr>
      <w:tr>
        <w:tc>
          <w:tcPr>
            <w:tcW w:type="dxa" w:w="7885"/>
            <w:shd w:val="clear" w:color="auto" w:fill="D3DFEE"/>
          </w:tcPr>
          <w:p>
            <w:pPr>
              <w:spacing w:after="40"/>
            </w:pPr>
            <w:r>
              <w:rPr>
                <w:b/>
                <w:sz w:val="18"/>
              </w:rPr>
            </w:r>
            <w:r>
              <w:rPr>
                <w:b/>
                <w:sz w:val="18"/>
              </w:rPr>
              <w:t>Flood level, float switch verification, staged reinstatement</w:t>
            </w:r>
          </w:p>
        </w:tc>
        <w:tc>
          <w:tcPr>
            <w:tcW w:type="dxa" w:w="1526"/>
            <w:shd w:val="clear" w:color="auto" w:fill="D3DFEE"/>
          </w:tcPr>
          <w:p>
            <w:pPr>
              <w:spacing w:after="40"/>
            </w:pPr>
            <w:r>
              <w:rPr>
                <w:sz w:val="18"/>
              </w:rPr>
            </w:r>
            <w:r>
              <w:rPr>
                <w:sz w:val="18"/>
              </w:rPr>
              <w:t>M3, M5</w:t>
            </w:r>
          </w:p>
        </w:tc>
      </w:tr>
      <w:tr>
        <w:tc>
          <w:tcPr>
            <w:tcW w:type="dxa" w:w="7885"/>
          </w:tcPr>
          <w:p>
            <w:pPr>
              <w:spacing w:after="40"/>
            </w:pPr>
            <w:r>
              <w:rPr>
                <w:b/>
                <w:sz w:val="18"/>
              </w:rPr>
            </w:r>
            <w:r>
              <w:rPr>
                <w:b/>
                <w:sz w:val="18"/>
              </w:rPr>
              <w:t>Temperature thresholds with dwell timers</w:t>
            </w:r>
          </w:p>
        </w:tc>
        <w:tc>
          <w:tcPr>
            <w:tcW w:type="dxa" w:w="1526"/>
          </w:tcPr>
          <w:p>
            <w:pPr>
              <w:spacing w:after="40"/>
            </w:pPr>
            <w:r>
              <w:rPr>
                <w:sz w:val="18"/>
              </w:rPr>
            </w:r>
            <w:r>
              <w:rPr>
                <w:sz w:val="18"/>
              </w:rPr>
              <w:t>M4</w:t>
            </w:r>
          </w:p>
        </w:tc>
      </w:tr>
      <w:tr>
        <w:tc>
          <w:tcPr>
            <w:tcW w:type="dxa" w:w="7885"/>
            <w:shd w:val="clear" w:color="auto" w:fill="D3DFEE"/>
          </w:tcPr>
          <w:p>
            <w:pPr>
              <w:spacing w:after="40"/>
            </w:pPr>
            <w:r>
              <w:rPr>
                <w:b/>
                <w:sz w:val="18"/>
              </w:rPr>
            </w:r>
            <w:r>
              <w:rPr>
                <w:b/>
                <w:sz w:val="18"/>
              </w:rPr>
              <w:t>Wind thresholds and TSR/block-line wording</w:t>
            </w:r>
          </w:p>
        </w:tc>
        <w:tc>
          <w:tcPr>
            <w:tcW w:type="dxa" w:w="1526"/>
            <w:shd w:val="clear" w:color="auto" w:fill="D3DFEE"/>
          </w:tcPr>
          <w:p>
            <w:pPr>
              <w:spacing w:after="40"/>
            </w:pPr>
            <w:r>
              <w:rPr>
                <w:sz w:val="18"/>
              </w:rPr>
            </w:r>
            <w:r>
              <w:rPr>
                <w:sz w:val="18"/>
              </w:rPr>
              <w:t>M4</w:t>
            </w:r>
          </w:p>
        </w:tc>
      </w:tr>
      <w:tr>
        <w:tc>
          <w:tcPr>
            <w:tcW w:type="dxa" w:w="7885"/>
          </w:tcPr>
          <w:p>
            <w:pPr>
              <w:spacing w:after="40"/>
            </w:pPr>
            <w:r>
              <w:rPr>
                <w:b/>
                <w:sz w:val="18"/>
              </w:rPr>
            </w:r>
            <w:r>
              <w:rPr>
                <w:b/>
                <w:sz w:val="18"/>
              </w:rPr>
              <w:t>Pump status, alarms and leading indicators</w:t>
            </w:r>
          </w:p>
        </w:tc>
        <w:tc>
          <w:tcPr>
            <w:tcW w:type="dxa" w:w="1526"/>
          </w:tcPr>
          <w:p>
            <w:pPr>
              <w:spacing w:after="40"/>
            </w:pPr>
            <w:r>
              <w:rPr>
                <w:sz w:val="18"/>
              </w:rPr>
            </w:r>
            <w:r>
              <w:rPr>
                <w:sz w:val="18"/>
              </w:rPr>
              <w:t>M4, M8</w:t>
            </w:r>
          </w:p>
        </w:tc>
      </w:tr>
      <w:tr>
        <w:tc>
          <w:tcPr>
            <w:tcW w:type="dxa" w:w="7885"/>
            <w:shd w:val="clear" w:color="auto" w:fill="D3DFEE"/>
          </w:tcPr>
          <w:p>
            <w:pPr>
              <w:spacing w:after="40"/>
            </w:pPr>
            <w:r>
              <w:rPr>
                <w:b/>
                <w:sz w:val="18"/>
              </w:rPr>
            </w:r>
            <w:r>
              <w:rPr>
                <w:b/>
                <w:sz w:val="18"/>
              </w:rPr>
              <w:t>Supervised manual pump control</w:t>
            </w:r>
          </w:p>
        </w:tc>
        <w:tc>
          <w:tcPr>
            <w:tcW w:type="dxa" w:w="1526"/>
            <w:shd w:val="clear" w:color="auto" w:fill="D3DFEE"/>
          </w:tcPr>
          <w:p>
            <w:pPr>
              <w:spacing w:after="40"/>
            </w:pPr>
            <w:r>
              <w:rPr>
                <w:sz w:val="18"/>
              </w:rPr>
            </w:r>
            <w:r>
              <w:rPr>
                <w:b/>
                <w:sz w:val="18"/>
              </w:rPr>
              <w:t>M8</w:t>
            </w:r>
          </w:p>
        </w:tc>
      </w:tr>
      <w:tr>
        <w:tc>
          <w:tcPr>
            <w:tcW w:type="dxa" w:w="7885"/>
          </w:tcPr>
          <w:p>
            <w:pPr>
              <w:spacing w:after="40"/>
            </w:pPr>
            <w:r>
              <w:rPr>
                <w:b/>
                <w:sz w:val="18"/>
              </w:rPr>
            </w:r>
            <w:r>
              <w:rPr>
                <w:b/>
                <w:sz w:val="18"/>
              </w:rPr>
              <w:t>Configurable threshold and wording table</w:t>
            </w:r>
          </w:p>
        </w:tc>
        <w:tc>
          <w:tcPr>
            <w:tcW w:type="dxa" w:w="1526"/>
          </w:tcPr>
          <w:p>
            <w:pPr>
              <w:spacing w:after="40"/>
            </w:pPr>
            <w:r>
              <w:rPr>
                <w:sz w:val="18"/>
              </w:rPr>
            </w:r>
            <w:r>
              <w:rPr>
                <w:sz w:val="18"/>
              </w:rPr>
              <w:t>M4</w:t>
            </w:r>
          </w:p>
        </w:tc>
      </w:tr>
      <w:tr>
        <w:tc>
          <w:tcPr>
            <w:tcW w:type="dxa" w:w="7885"/>
            <w:shd w:val="clear" w:color="auto" w:fill="D3DFEE"/>
          </w:tcPr>
          <w:p>
            <w:pPr>
              <w:spacing w:after="40"/>
            </w:pPr>
            <w:r>
              <w:rPr>
                <w:b/>
                <w:sz w:val="18"/>
              </w:rPr>
            </w:r>
            <w:r>
              <w:rPr>
                <w:b/>
                <w:sz w:val="18"/>
              </w:rPr>
              <w:t>Redundancy and fallback with re-wording</w:t>
            </w:r>
          </w:p>
        </w:tc>
        <w:tc>
          <w:tcPr>
            <w:tcW w:type="dxa" w:w="1526"/>
            <w:shd w:val="clear" w:color="auto" w:fill="D3DFEE"/>
          </w:tcPr>
          <w:p>
            <w:pPr>
              <w:spacing w:after="40"/>
            </w:pPr>
            <w:r>
              <w:rPr>
                <w:sz w:val="18"/>
              </w:rPr>
            </w:r>
            <w:r>
              <w:rPr>
                <w:b/>
                <w:sz w:val="18"/>
              </w:rPr>
              <w:t>M5</w:t>
            </w:r>
          </w:p>
        </w:tc>
      </w:tr>
      <w:tr>
        <w:tc>
          <w:tcPr>
            <w:tcW w:type="dxa" w:w="7885"/>
          </w:tcPr>
          <w:p>
            <w:pPr>
              <w:spacing w:after="40"/>
            </w:pPr>
            <w:r>
              <w:rPr>
                <w:b/>
                <w:sz w:val="18"/>
              </w:rPr>
            </w:r>
            <w:r>
              <w:rPr>
                <w:b/>
                <w:sz w:val="18"/>
              </w:rPr>
              <w:t>Screen / email / SMS within 5 minutes</w:t>
            </w:r>
          </w:p>
        </w:tc>
        <w:tc>
          <w:tcPr>
            <w:tcW w:type="dxa" w:w="1526"/>
          </w:tcPr>
          <w:p>
            <w:pPr>
              <w:spacing w:after="40"/>
            </w:pPr>
            <w:r>
              <w:rPr>
                <w:sz w:val="18"/>
              </w:rPr>
            </w:r>
            <w:r>
              <w:rPr>
                <w:b/>
                <w:sz w:val="18"/>
              </w:rPr>
              <w:t>M6</w:t>
            </w:r>
          </w:p>
        </w:tc>
      </w:tr>
      <w:tr>
        <w:tc>
          <w:tcPr>
            <w:tcW w:type="dxa" w:w="7885"/>
            <w:shd w:val="clear" w:color="auto" w:fill="D3DFEE"/>
          </w:tcPr>
          <w:p>
            <w:pPr>
              <w:spacing w:after="40"/>
            </w:pPr>
            <w:r>
              <w:rPr>
                <w:b/>
                <w:sz w:val="18"/>
              </w:rPr>
            </w:r>
            <w:r>
              <w:rPr>
                <w:b/>
                <w:sz w:val="18"/>
              </w:rPr>
              <w:t>System-fault alerts within 30 minutes</w:t>
            </w:r>
          </w:p>
        </w:tc>
        <w:tc>
          <w:tcPr>
            <w:tcW w:type="dxa" w:w="1526"/>
            <w:shd w:val="clear" w:color="auto" w:fill="D3DFEE"/>
          </w:tcPr>
          <w:p>
            <w:pPr>
              <w:spacing w:after="40"/>
            </w:pPr>
            <w:r>
              <w:rPr>
                <w:sz w:val="18"/>
              </w:rPr>
            </w:r>
            <w:r>
              <w:rPr>
                <w:sz w:val="18"/>
              </w:rPr>
              <w:t>M4, M6</w:t>
            </w:r>
          </w:p>
        </w:tc>
      </w:tr>
      <w:tr>
        <w:tc>
          <w:tcPr>
            <w:tcW w:type="dxa" w:w="7885"/>
          </w:tcPr>
          <w:p>
            <w:pPr>
              <w:spacing w:after="40"/>
            </w:pPr>
            <w:r>
              <w:rPr>
                <w:b/>
                <w:sz w:val="18"/>
              </w:rPr>
            </w:r>
            <w:r>
              <w:rPr>
                <w:b/>
                <w:sz w:val="18"/>
              </w:rPr>
              <w:t>Alert content: date, time, track, rail, kilometrage, hyperlink</w:t>
            </w:r>
          </w:p>
        </w:tc>
        <w:tc>
          <w:tcPr>
            <w:tcW w:type="dxa" w:w="1526"/>
          </w:tcPr>
          <w:p>
            <w:pPr>
              <w:spacing w:after="40"/>
            </w:pPr>
            <w:r>
              <w:rPr>
                <w:sz w:val="18"/>
              </w:rPr>
            </w:r>
            <w:r>
              <w:rPr>
                <w:sz w:val="18"/>
              </w:rPr>
              <w:t>M6</w:t>
            </w:r>
          </w:p>
        </w:tc>
      </w:tr>
      <w:tr>
        <w:tc>
          <w:tcPr>
            <w:tcW w:type="dxa" w:w="7885"/>
            <w:shd w:val="clear" w:color="auto" w:fill="D3DFEE"/>
          </w:tcPr>
          <w:p>
            <w:pPr>
              <w:spacing w:after="40"/>
            </w:pPr>
            <w:r>
              <w:rPr>
                <w:b/>
                <w:sz w:val="18"/>
              </w:rPr>
            </w:r>
            <w:r>
              <w:rPr>
                <w:b/>
                <w:sz w:val="18"/>
              </w:rPr>
              <w:t>PTZ camera verification links</w:t>
            </w:r>
          </w:p>
        </w:tc>
        <w:tc>
          <w:tcPr>
            <w:tcW w:type="dxa" w:w="1526"/>
            <w:shd w:val="clear" w:color="auto" w:fill="D3DFEE"/>
          </w:tcPr>
          <w:p>
            <w:pPr>
              <w:spacing w:after="40"/>
            </w:pPr>
            <w:r>
              <w:rPr>
                <w:sz w:val="18"/>
              </w:rPr>
            </w:r>
            <w:r>
              <w:rPr>
                <w:b/>
                <w:sz w:val="18"/>
              </w:rPr>
              <w:t>M6</w:t>
            </w:r>
          </w:p>
        </w:tc>
      </w:tr>
      <w:tr>
        <w:tc>
          <w:tcPr>
            <w:tcW w:type="dxa" w:w="7885"/>
          </w:tcPr>
          <w:p>
            <w:pPr>
              <w:spacing w:after="40"/>
            </w:pPr>
            <w:r>
              <w:rPr>
                <w:b/>
                <w:sz w:val="18"/>
              </w:rPr>
            </w:r>
            <w:r>
              <w:rPr>
                <w:b/>
                <w:sz w:val="18"/>
              </w:rPr>
              <w:t>Alert and notification history, acknowledgement, export</w:t>
            </w:r>
          </w:p>
        </w:tc>
        <w:tc>
          <w:tcPr>
            <w:tcW w:type="dxa" w:w="1526"/>
          </w:tcPr>
          <w:p>
            <w:pPr>
              <w:spacing w:after="40"/>
            </w:pPr>
            <w:r>
              <w:rPr>
                <w:sz w:val="18"/>
              </w:rPr>
            </w:r>
            <w:r>
              <w:rPr>
                <w:sz w:val="18"/>
              </w:rPr>
              <w:t>M4, M7</w:t>
            </w:r>
          </w:p>
        </w:tc>
      </w:tr>
      <w:tr>
        <w:tc>
          <w:tcPr>
            <w:tcW w:type="dxa" w:w="7885"/>
            <w:shd w:val="clear" w:color="auto" w:fill="D3DFEE"/>
          </w:tcPr>
          <w:p>
            <w:pPr>
              <w:spacing w:after="40"/>
            </w:pPr>
            <w:r>
              <w:rPr>
                <w:b/>
                <w:sz w:val="18"/>
              </w:rPr>
            </w:r>
            <w:r>
              <w:rPr>
                <w:b/>
                <w:sz w:val="18"/>
              </w:rPr>
              <w:t>Corridor map with click-through detail</w:t>
            </w:r>
          </w:p>
        </w:tc>
        <w:tc>
          <w:tcPr>
            <w:tcW w:type="dxa" w:w="1526"/>
            <w:shd w:val="clear" w:color="auto" w:fill="D3DFEE"/>
          </w:tcPr>
          <w:p>
            <w:pPr>
              <w:spacing w:after="40"/>
            </w:pPr>
            <w:r>
              <w:rPr>
                <w:sz w:val="18"/>
              </w:rPr>
            </w:r>
            <w:r>
              <w:rPr>
                <w:b/>
                <w:sz w:val="18"/>
              </w:rPr>
              <w:t>M7</w:t>
            </w:r>
          </w:p>
        </w:tc>
      </w:tr>
      <w:tr>
        <w:tc>
          <w:tcPr>
            <w:tcW w:type="dxa" w:w="7885"/>
          </w:tcPr>
          <w:p>
            <w:pPr>
              <w:spacing w:after="40"/>
            </w:pPr>
            <w:r>
              <w:rPr>
                <w:b/>
                <w:sz w:val="18"/>
              </w:rPr>
            </w:r>
            <w:r>
              <w:rPr>
                <w:b/>
                <w:sz w:val="18"/>
              </w:rPr>
              <w:t>Trends and per-station screens</w:t>
            </w:r>
          </w:p>
        </w:tc>
        <w:tc>
          <w:tcPr>
            <w:tcW w:type="dxa" w:w="1526"/>
          </w:tcPr>
          <w:p>
            <w:pPr>
              <w:spacing w:after="40"/>
            </w:pPr>
            <w:r>
              <w:rPr>
                <w:sz w:val="18"/>
              </w:rPr>
            </w:r>
            <w:r>
              <w:rPr>
                <w:sz w:val="18"/>
              </w:rPr>
              <w:t>M7</w:t>
            </w:r>
          </w:p>
        </w:tc>
      </w:tr>
      <w:tr>
        <w:tc>
          <w:tcPr>
            <w:tcW w:type="dxa" w:w="7885"/>
            <w:shd w:val="clear" w:color="auto" w:fill="D3DFEE"/>
          </w:tcPr>
          <w:p>
            <w:pPr>
              <w:spacing w:after="40"/>
            </w:pPr>
            <w:r>
              <w:rPr>
                <w:b/>
                <w:sz w:val="18"/>
              </w:rPr>
            </w:r>
            <w:r>
              <w:rPr>
                <w:b/>
                <w:sz w:val="18"/>
              </w:rPr>
              <w:t>Flood-event screen</w:t>
            </w:r>
          </w:p>
        </w:tc>
        <w:tc>
          <w:tcPr>
            <w:tcW w:type="dxa" w:w="1526"/>
            <w:shd w:val="clear" w:color="auto" w:fill="D3DFEE"/>
          </w:tcPr>
          <w:p>
            <w:pPr>
              <w:spacing w:after="40"/>
            </w:pPr>
            <w:r>
              <w:rPr>
                <w:sz w:val="18"/>
              </w:rPr>
            </w:r>
            <w:r>
              <w:rPr>
                <w:sz w:val="18"/>
              </w:rPr>
              <w:t>M8</w:t>
            </w:r>
          </w:p>
        </w:tc>
      </w:tr>
      <w:tr>
        <w:tc>
          <w:tcPr>
            <w:tcW w:type="dxa" w:w="7885"/>
          </w:tcPr>
          <w:p>
            <w:pPr>
              <w:spacing w:after="40"/>
            </w:pPr>
            <w:r>
              <w:rPr>
                <w:b/>
                <w:sz w:val="18"/>
              </w:rPr>
            </w:r>
            <w:r>
              <w:rPr>
                <w:b/>
                <w:sz w:val="18"/>
              </w:rPr>
              <w:t>System health, ≤10-minute refresh</w:t>
            </w:r>
          </w:p>
        </w:tc>
        <w:tc>
          <w:tcPr>
            <w:tcW w:type="dxa" w:w="1526"/>
          </w:tcPr>
          <w:p>
            <w:pPr>
              <w:spacing w:after="40"/>
            </w:pPr>
            <w:r>
              <w:rPr>
                <w:sz w:val="18"/>
              </w:rPr>
            </w:r>
            <w:r>
              <w:rPr>
                <w:sz w:val="18"/>
              </w:rPr>
              <w:t>M8</w:t>
            </w:r>
          </w:p>
        </w:tc>
      </w:tr>
      <w:tr>
        <w:tc>
          <w:tcPr>
            <w:tcW w:type="dxa" w:w="7885"/>
            <w:shd w:val="clear" w:color="auto" w:fill="D3DFEE"/>
          </w:tcPr>
          <w:p>
            <w:pPr>
              <w:spacing w:after="40"/>
            </w:pPr>
            <w:r>
              <w:rPr>
                <w:b/>
                <w:sz w:val="18"/>
              </w:rPr>
            </w:r>
            <w:r>
              <w:rPr>
                <w:b/>
                <w:sz w:val="18"/>
              </w:rPr>
              <w:t>Historical query engine and CSV export</w:t>
            </w:r>
          </w:p>
        </w:tc>
        <w:tc>
          <w:tcPr>
            <w:tcW w:type="dxa" w:w="1526"/>
            <w:shd w:val="clear" w:color="auto" w:fill="D3DFEE"/>
          </w:tcPr>
          <w:p>
            <w:pPr>
              <w:spacing w:after="40"/>
            </w:pPr>
            <w:r>
              <w:rPr>
                <w:sz w:val="18"/>
              </w:rPr>
            </w:r>
            <w:r>
              <w:rPr>
                <w:sz w:val="18"/>
              </w:rPr>
              <w:t>M7</w:t>
            </w:r>
          </w:p>
        </w:tc>
      </w:tr>
      <w:tr>
        <w:tc>
          <w:tcPr>
            <w:tcW w:type="dxa" w:w="7885"/>
          </w:tcPr>
          <w:p>
            <w:pPr>
              <w:spacing w:after="40"/>
            </w:pPr>
            <w:r>
              <w:rPr>
                <w:b/>
                <w:sz w:val="18"/>
              </w:rPr>
            </w:r>
            <w:r>
              <w:rPr>
                <w:b/>
                <w:sz w:val="18"/>
              </w:rPr>
              <w:t>20+ named logins, RBAC, six roles, station scoping</w:t>
            </w:r>
          </w:p>
        </w:tc>
        <w:tc>
          <w:tcPr>
            <w:tcW w:type="dxa" w:w="1526"/>
          </w:tcPr>
          <w:p>
            <w:pPr>
              <w:spacing w:after="40"/>
            </w:pPr>
            <w:r>
              <w:rPr>
                <w:sz w:val="18"/>
              </w:rPr>
            </w:r>
            <w:r>
              <w:rPr>
                <w:sz w:val="18"/>
              </w:rPr>
              <w:t>M7</w:t>
            </w:r>
          </w:p>
        </w:tc>
      </w:tr>
      <w:tr>
        <w:tc>
          <w:tcPr>
            <w:tcW w:type="dxa" w:w="7885"/>
            <w:shd w:val="clear" w:color="auto" w:fill="D3DFEE"/>
          </w:tcPr>
          <w:p>
            <w:pPr>
              <w:spacing w:after="40"/>
            </w:pPr>
            <w:r>
              <w:rPr>
                <w:b/>
                <w:sz w:val="18"/>
              </w:rPr>
            </w:r>
            <w:r>
              <w:rPr>
                <w:b/>
                <w:sz w:val="18"/>
              </w:rPr>
              <w:t>MFA</w:t>
            </w:r>
          </w:p>
        </w:tc>
        <w:tc>
          <w:tcPr>
            <w:tcW w:type="dxa" w:w="1526"/>
            <w:shd w:val="clear" w:color="auto" w:fill="D3DFEE"/>
          </w:tcPr>
          <w:p>
            <w:pPr>
              <w:spacing w:after="40"/>
            </w:pPr>
            <w:r>
              <w:rPr>
                <w:sz w:val="18"/>
              </w:rPr>
            </w:r>
            <w:r>
              <w:rPr>
                <w:sz w:val="18"/>
              </w:rPr>
              <w:t>M7</w:t>
            </w:r>
          </w:p>
        </w:tc>
      </w:tr>
      <w:tr>
        <w:tc>
          <w:tcPr>
            <w:tcW w:type="dxa" w:w="7885"/>
          </w:tcPr>
          <w:p>
            <w:pPr>
              <w:spacing w:after="40"/>
            </w:pPr>
            <w:r>
              <w:rPr>
                <w:b/>
                <w:sz w:val="18"/>
              </w:rPr>
            </w:r>
            <w:r>
              <w:rPr>
                <w:b/>
                <w:sz w:val="18"/>
              </w:rPr>
              <w:t>Audit trail</w:t>
            </w:r>
          </w:p>
        </w:tc>
        <w:tc>
          <w:tcPr>
            <w:tcW w:type="dxa" w:w="1526"/>
          </w:tcPr>
          <w:p>
            <w:pPr>
              <w:spacing w:after="40"/>
            </w:pPr>
            <w:r>
              <w:rPr>
                <w:sz w:val="18"/>
              </w:rPr>
            </w:r>
            <w:r>
              <w:rPr>
                <w:sz w:val="18"/>
              </w:rPr>
              <w:t>M4, M7</w:t>
            </w:r>
          </w:p>
        </w:tc>
      </w:tr>
      <w:tr>
        <w:tc>
          <w:tcPr>
            <w:tcW w:type="dxa" w:w="7885"/>
            <w:shd w:val="clear" w:color="auto" w:fill="D3DFEE"/>
          </w:tcPr>
          <w:p>
            <w:pPr>
              <w:spacing w:after="40"/>
            </w:pPr>
            <w:r>
              <w:rPr>
                <w:b/>
                <w:sz w:val="18"/>
              </w:rPr>
            </w:r>
            <w:r>
              <w:rPr>
                <w:b/>
                <w:sz w:val="18"/>
              </w:rPr>
              <w:t>Responsive HMI, phone to desktop</w:t>
            </w:r>
          </w:p>
        </w:tc>
        <w:tc>
          <w:tcPr>
            <w:tcW w:type="dxa" w:w="1526"/>
            <w:shd w:val="clear" w:color="auto" w:fill="D3DFEE"/>
          </w:tcPr>
          <w:p>
            <w:pPr>
              <w:spacing w:after="40"/>
            </w:pPr>
            <w:r>
              <w:rPr>
                <w:sz w:val="18"/>
              </w:rPr>
            </w:r>
            <w:r>
              <w:rPr>
                <w:sz w:val="18"/>
              </w:rPr>
              <w:t>M7</w:t>
            </w:r>
          </w:p>
        </w:tc>
      </w:tr>
      <w:tr>
        <w:tc>
          <w:tcPr>
            <w:tcW w:type="dxa" w:w="7885"/>
          </w:tcPr>
          <w:p>
            <w:pPr>
              <w:spacing w:after="40"/>
            </w:pPr>
            <w:r>
              <w:rPr>
                <w:b/>
                <w:sz w:val="18"/>
              </w:rPr>
            </w:r>
            <w:r>
              <w:rPr>
                <w:b/>
                <w:sz w:val="18"/>
              </w:rPr>
              <w:t>Mobile application with push</w:t>
            </w:r>
          </w:p>
        </w:tc>
        <w:tc>
          <w:tcPr>
            <w:tcW w:type="dxa" w:w="1526"/>
          </w:tcPr>
          <w:p>
            <w:pPr>
              <w:spacing w:after="40"/>
            </w:pPr>
            <w:r>
              <w:rPr>
                <w:sz w:val="18"/>
              </w:rPr>
            </w:r>
            <w:r>
              <w:rPr>
                <w:b/>
                <w:sz w:val="18"/>
              </w:rPr>
              <w:t>M9</w:t>
            </w:r>
          </w:p>
        </w:tc>
      </w:tr>
      <w:tr>
        <w:tc>
          <w:tcPr>
            <w:tcW w:type="dxa" w:w="7885"/>
            <w:shd w:val="clear" w:color="auto" w:fill="D3DFEE"/>
          </w:tcPr>
          <w:p>
            <w:pPr>
              <w:spacing w:after="40"/>
            </w:pPr>
            <w:r>
              <w:rPr>
                <w:b/>
                <w:sz w:val="18"/>
              </w:rPr>
            </w:r>
            <w:r>
              <w:rPr>
                <w:b/>
                <w:sz w:val="18"/>
              </w:rPr>
              <w:t>Solar/battery telemetry displayed and alarmed</w:t>
            </w:r>
          </w:p>
        </w:tc>
        <w:tc>
          <w:tcPr>
            <w:tcW w:type="dxa" w:w="1526"/>
            <w:shd w:val="clear" w:color="auto" w:fill="D3DFEE"/>
          </w:tcPr>
          <w:p>
            <w:pPr>
              <w:spacing w:after="40"/>
            </w:pPr>
            <w:r>
              <w:rPr>
                <w:sz w:val="18"/>
              </w:rPr>
            </w:r>
            <w:r>
              <w:rPr>
                <w:sz w:val="18"/>
              </w:rPr>
              <w:t>M3, M8</w:t>
            </w:r>
          </w:p>
        </w:tc>
      </w:tr>
      <w:tr>
        <w:tc>
          <w:tcPr>
            <w:tcW w:type="dxa" w:w="7885"/>
          </w:tcPr>
          <w:p>
            <w:pPr>
              <w:spacing w:after="40"/>
            </w:pPr>
            <w:r>
              <w:rPr>
                <w:b/>
                <w:sz w:val="18"/>
              </w:rPr>
            </w:r>
            <w:r>
              <w:rPr>
                <w:b/>
                <w:sz w:val="18"/>
              </w:rPr>
              <w:t>Data transmission security</w:t>
            </w:r>
          </w:p>
        </w:tc>
        <w:tc>
          <w:tcPr>
            <w:tcW w:type="dxa" w:w="1526"/>
          </w:tcPr>
          <w:p>
            <w:pPr>
              <w:spacing w:after="40"/>
            </w:pPr>
            <w:r>
              <w:rPr>
                <w:sz w:val="18"/>
              </w:rPr>
            </w:r>
            <w:r>
              <w:rPr>
                <w:sz w:val="18"/>
              </w:rPr>
              <w:t>M1</w:t>
            </w:r>
          </w:p>
        </w:tc>
      </w:tr>
      <w:tr>
        <w:tc>
          <w:tcPr>
            <w:tcW w:type="dxa" w:w="7885"/>
            <w:shd w:val="clear" w:color="auto" w:fill="D3DFEE"/>
          </w:tcPr>
          <w:p>
            <w:pPr>
              <w:spacing w:after="40"/>
            </w:pPr>
            <w:r>
              <w:rPr>
                <w:b/>
                <w:sz w:val="18"/>
              </w:rPr>
            </w:r>
            <w:r>
              <w:rPr>
                <w:b/>
                <w:sz w:val="18"/>
              </w:rPr>
              <w:t>No data loss / queueing</w:t>
            </w:r>
          </w:p>
        </w:tc>
        <w:tc>
          <w:tcPr>
            <w:tcW w:type="dxa" w:w="1526"/>
            <w:shd w:val="clear" w:color="auto" w:fill="D3DFEE"/>
          </w:tcPr>
          <w:p>
            <w:pPr>
              <w:spacing w:after="40"/>
            </w:pPr>
            <w:r>
              <w:rPr>
                <w:sz w:val="18"/>
              </w:rPr>
            </w:r>
            <w:r>
              <w:rPr>
                <w:b/>
                <w:sz w:val="18"/>
              </w:rPr>
              <w:t>M1, M2</w:t>
            </w:r>
          </w:p>
        </w:tc>
      </w:tr>
      <w:tr>
        <w:tc>
          <w:tcPr>
            <w:tcW w:type="dxa" w:w="7885"/>
          </w:tcPr>
          <w:p>
            <w:pPr>
              <w:spacing w:after="40"/>
            </w:pPr>
            <w:r>
              <w:rPr>
                <w:b/>
                <w:sz w:val="18"/>
              </w:rPr>
            </w:r>
            <w:r>
              <w:rPr>
                <w:b/>
                <w:sz w:val="18"/>
              </w:rPr>
              <w:t>Availability and planned-maintenance obligations</w:t>
            </w:r>
          </w:p>
        </w:tc>
        <w:tc>
          <w:tcPr>
            <w:tcW w:type="dxa" w:w="1526"/>
          </w:tcPr>
          <w:p>
            <w:pPr>
              <w:spacing w:after="40"/>
            </w:pPr>
            <w:r>
              <w:rPr>
                <w:sz w:val="18"/>
              </w:rPr>
            </w:r>
            <w:r>
              <w:rPr>
                <w:sz w:val="18"/>
              </w:rPr>
              <w:t>M10</w:t>
            </w:r>
          </w:p>
        </w:tc>
      </w:tr>
      <w:tr>
        <w:tc>
          <w:tcPr>
            <w:tcW w:type="dxa" w:w="7885"/>
            <w:shd w:val="clear" w:color="auto" w:fill="D3DFEE"/>
          </w:tcPr>
          <w:p>
            <w:pPr>
              <w:spacing w:after="40"/>
            </w:pPr>
            <w:r>
              <w:rPr>
                <w:b/>
                <w:sz w:val="18"/>
              </w:rPr>
            </w:r>
            <w:r>
              <w:rPr>
                <w:b/>
                <w:sz w:val="18"/>
              </w:rPr>
              <w:t>Performance at scale</w:t>
            </w:r>
          </w:p>
        </w:tc>
        <w:tc>
          <w:tcPr>
            <w:tcW w:type="dxa" w:w="1526"/>
            <w:shd w:val="clear" w:color="auto" w:fill="D3DFEE"/>
          </w:tcPr>
          <w:p>
            <w:pPr>
              <w:spacing w:after="40"/>
            </w:pPr>
            <w:r>
              <w:rPr>
                <w:sz w:val="18"/>
              </w:rPr>
            </w:r>
            <w:r>
              <w:rPr>
                <w:sz w:val="18"/>
              </w:rPr>
              <w:t>M2, M6, M10</w:t>
            </w:r>
          </w:p>
        </w:tc>
      </w:tr>
      <w:tr>
        <w:tc>
          <w:tcPr>
            <w:tcW w:type="dxa" w:w="7885"/>
          </w:tcPr>
          <w:p>
            <w:pPr>
              <w:spacing w:after="40"/>
            </w:pPr>
            <w:r>
              <w:rPr>
                <w:b/>
                <w:sz w:val="18"/>
              </w:rPr>
            </w:r>
            <w:r>
              <w:rPr>
                <w:b/>
                <w:sz w:val="18"/>
              </w:rPr>
              <w:t>Backup, restore and failover</w:t>
            </w:r>
          </w:p>
        </w:tc>
        <w:tc>
          <w:tcPr>
            <w:tcW w:type="dxa" w:w="1526"/>
          </w:tcPr>
          <w:p>
            <w:pPr>
              <w:spacing w:after="40"/>
            </w:pPr>
            <w:r>
              <w:rPr>
                <w:sz w:val="18"/>
              </w:rPr>
            </w:r>
            <w:r>
              <w:rPr>
                <w:sz w:val="18"/>
              </w:rPr>
              <w:t>M10</w:t>
            </w:r>
          </w:p>
        </w:tc>
      </w:tr>
      <w:tr>
        <w:tc>
          <w:tcPr>
            <w:tcW w:type="dxa" w:w="7885"/>
            <w:shd w:val="clear" w:color="auto" w:fill="D3DFEE"/>
          </w:tcPr>
          <w:p>
            <w:pPr>
              <w:spacing w:after="40"/>
            </w:pPr>
            <w:r>
              <w:rPr>
                <w:b/>
                <w:sz w:val="18"/>
              </w:rPr>
            </w:r>
            <w:r>
              <w:rPr>
                <w:b/>
                <w:sz w:val="18"/>
              </w:rPr>
              <w:t>Documentation, runbooks, training</w:t>
            </w:r>
          </w:p>
        </w:tc>
        <w:tc>
          <w:tcPr>
            <w:tcW w:type="dxa" w:w="1526"/>
            <w:shd w:val="clear" w:color="auto" w:fill="D3DFEE"/>
          </w:tcPr>
          <w:p>
            <w:pPr>
              <w:spacing w:after="40"/>
            </w:pPr>
            <w:r>
              <w:rPr>
                <w:sz w:val="18"/>
              </w:rPr>
            </w:r>
            <w:r>
              <w:rPr>
                <w:sz w:val="18"/>
              </w:rPr>
              <w:t>M10</w:t>
            </w:r>
          </w:p>
        </w:tc>
      </w:tr>
    </w:tbl>
    <w:p/>
    <w:p>
      <w:pPr>
        <w:pStyle w:val="Heading2"/>
      </w:pPr>
      <w:r>
        <w:t>12. What we need from you</w:t>
      </w:r>
    </w:p>
    <w:p>
      <w:r>
        <w:t>Development can start without these, but each becomes blocking at the month shown.</w:t>
      </w:r>
    </w:p>
    <w:tbl>
      <w:tblPr>
        <w:tblStyle w:val="TableGrid"/>
        <w:tblW w:type="auto" w:w="0"/>
        <w:tblLayout w:type="fixed"/>
        <w:tblLook w:firstColumn="1" w:firstRow="1" w:lastColumn="0" w:lastRow="0" w:noHBand="0" w:noVBand="1" w:val="04A0"/>
        <w:tblLayout w:type="fixed"/>
        <w:tblLayout w:type="fixed"/>
        <w:tblBorders>
          <w:top w:val="single" w:sz="8" w:color="4F81BD"/>
          <w:left w:val="single" w:sz="8" w:color="4F81BD"/>
          <w:bottom w:val="single" w:sz="8" w:color="4F81BD"/>
          <w:right w:val="single" w:sz="8" w:color="4F81BD"/>
          <w:insideH w:val="single" w:sz="4" w:color="4F81BD"/>
          <w:insideV w:val="single" w:sz="4" w:color="4F81BD"/>
        </w:tblBorders>
      </w:tblPr>
      <w:tblGrid>
        <w:gridCol w:w="850"/>
        <w:gridCol w:w="7200"/>
        <w:gridCol w:w="1361"/>
      </w:tblGrid>
      <w:tr>
        <w:tc>
          <w:tcPr>
            <w:tcW w:type="dxa" w:w="850"/>
          </w:tcPr>
          <w:p>
            <w:pPr>
              <w:spacing w:after="40"/>
            </w:pPr>
            <w:r>
              <w:rPr>
                <w:b/>
                <w:sz w:val="18"/>
              </w:rPr>
            </w:r>
            <w:r>
              <w:rPr>
                <w:b/>
                <w:sz w:val="18"/>
              </w:rPr>
              <w:t>#</w:t>
            </w:r>
          </w:p>
        </w:tc>
        <w:tc>
          <w:tcPr>
            <w:tcW w:type="dxa" w:w="7200"/>
          </w:tcPr>
          <w:p>
            <w:pPr>
              <w:spacing w:after="40"/>
            </w:pPr>
            <w:r>
              <w:rPr>
                <w:b/>
                <w:sz w:val="18"/>
              </w:rPr>
            </w:r>
            <w:r>
              <w:rPr>
                <w:b/>
                <w:sz w:val="18"/>
              </w:rPr>
              <w:t>Needed</w:t>
            </w:r>
          </w:p>
        </w:tc>
        <w:tc>
          <w:tcPr>
            <w:tcW w:type="dxa" w:w="1361"/>
          </w:tcPr>
          <w:p>
            <w:pPr>
              <w:spacing w:after="40"/>
            </w:pPr>
            <w:r>
              <w:rPr>
                <w:b/>
                <w:sz w:val="18"/>
              </w:rPr>
            </w:r>
            <w:r>
              <w:rPr>
                <w:b/>
                <w:sz w:val="18"/>
              </w:rPr>
              <w:t>By</w:t>
            </w:r>
          </w:p>
        </w:tc>
      </w:tr>
      <w:tr>
        <w:tc>
          <w:tcPr>
            <w:tcW w:type="dxa" w:w="850"/>
            <w:shd w:val="clear" w:color="auto" w:fill="D3DFEE"/>
          </w:tcPr>
          <w:p>
            <w:pPr>
              <w:spacing w:after="40"/>
            </w:pPr>
            <w:r>
              <w:rPr>
                <w:b/>
                <w:sz w:val="18"/>
              </w:rPr>
            </w:r>
            <w:r>
              <w:rPr>
                <w:b/>
                <w:sz w:val="18"/>
              </w:rPr>
              <w:t>1</w:t>
            </w:r>
          </w:p>
        </w:tc>
        <w:tc>
          <w:tcPr>
            <w:tcW w:type="dxa" w:w="7200"/>
            <w:shd w:val="clear" w:color="auto" w:fill="D3DFEE"/>
          </w:tcPr>
          <w:p>
            <w:pPr>
              <w:spacing w:after="40"/>
            </w:pPr>
            <w:r>
              <w:rPr>
                <w:sz w:val="18"/>
              </w:rPr>
            </w:r>
            <w:r>
              <w:rPr>
                <w:b/>
                <w:sz w:val="18"/>
              </w:rPr>
              <w:t>The logger's output format</w:t>
            </w:r>
            <w:r>
              <w:rPr>
                <w:sz w:val="18"/>
              </w:rPr>
              <w:t xml:space="preserve"> — a real sample file per sensor type, and confirmation of the transmission method</w:t>
            </w:r>
          </w:p>
        </w:tc>
        <w:tc>
          <w:tcPr>
            <w:tcW w:type="dxa" w:w="1361"/>
            <w:shd w:val="clear" w:color="auto" w:fill="D3DFEE"/>
          </w:tcPr>
          <w:p>
            <w:pPr>
              <w:spacing w:after="40"/>
            </w:pPr>
            <w:r>
              <w:rPr>
                <w:sz w:val="18"/>
              </w:rPr>
            </w:r>
            <w:r>
              <w:rPr>
                <w:sz w:val="18"/>
              </w:rPr>
              <w:t>M1</w:t>
            </w:r>
          </w:p>
        </w:tc>
      </w:tr>
      <w:tr>
        <w:tc>
          <w:tcPr>
            <w:tcW w:type="dxa" w:w="850"/>
          </w:tcPr>
          <w:p>
            <w:pPr>
              <w:spacing w:after="40"/>
            </w:pPr>
            <w:r>
              <w:rPr>
                <w:b/>
                <w:sz w:val="18"/>
              </w:rPr>
            </w:r>
            <w:r>
              <w:rPr>
                <w:b/>
                <w:sz w:val="18"/>
              </w:rPr>
              <w:t>2</w:t>
            </w:r>
          </w:p>
        </w:tc>
        <w:tc>
          <w:tcPr>
            <w:tcW w:type="dxa" w:w="7200"/>
          </w:tcPr>
          <w:p>
            <w:pPr>
              <w:spacing w:after="40"/>
            </w:pPr>
            <w:r>
              <w:rPr>
                <w:sz w:val="18"/>
              </w:rPr>
            </w:r>
            <w:r>
              <w:rPr>
                <w:sz w:val="18"/>
              </w:rPr>
              <w:t>Confirmed threshold values and exact alert wording currently marked "pending confirmation"</w:t>
            </w:r>
          </w:p>
        </w:tc>
        <w:tc>
          <w:tcPr>
            <w:tcW w:type="dxa" w:w="1361"/>
          </w:tcPr>
          <w:p>
            <w:pPr>
              <w:spacing w:after="40"/>
            </w:pPr>
            <w:r>
              <w:rPr>
                <w:sz w:val="18"/>
              </w:rPr>
            </w:r>
            <w:r>
              <w:rPr>
                <w:sz w:val="18"/>
              </w:rPr>
              <w:t>M4</w:t>
            </w:r>
          </w:p>
        </w:tc>
      </w:tr>
      <w:tr>
        <w:tc>
          <w:tcPr>
            <w:tcW w:type="dxa" w:w="850"/>
            <w:shd w:val="clear" w:color="auto" w:fill="D3DFEE"/>
          </w:tcPr>
          <w:p>
            <w:pPr>
              <w:spacing w:after="40"/>
            </w:pPr>
            <w:r>
              <w:rPr>
                <w:b/>
                <w:sz w:val="18"/>
              </w:rPr>
            </w:r>
            <w:r>
              <w:rPr>
                <w:b/>
                <w:sz w:val="18"/>
              </w:rPr>
              <w:t>3</w:t>
            </w:r>
          </w:p>
        </w:tc>
        <w:tc>
          <w:tcPr>
            <w:tcW w:type="dxa" w:w="7200"/>
            <w:shd w:val="clear" w:color="auto" w:fill="D3DFEE"/>
          </w:tcPr>
          <w:p>
            <w:pPr>
              <w:spacing w:after="40"/>
            </w:pPr>
            <w:r>
              <w:rPr>
                <w:sz w:val="18"/>
              </w:rPr>
            </w:r>
            <w:r>
              <w:rPr>
                <w:b/>
                <w:sz w:val="18"/>
              </w:rPr>
              <w:t>Kilometrage, track and rail</w:t>
            </w:r>
            <w:r>
              <w:rPr>
                <w:sz w:val="18"/>
              </w:rPr>
              <w:t xml:space="preserve"> designations per station, and GPS positions</w:t>
            </w:r>
          </w:p>
        </w:tc>
        <w:tc>
          <w:tcPr>
            <w:tcW w:type="dxa" w:w="1361"/>
            <w:shd w:val="clear" w:color="auto" w:fill="D3DFEE"/>
          </w:tcPr>
          <w:p>
            <w:pPr>
              <w:spacing w:after="40"/>
            </w:pPr>
            <w:r>
              <w:rPr>
                <w:sz w:val="18"/>
              </w:rPr>
            </w:r>
            <w:r>
              <w:rPr>
                <w:sz w:val="18"/>
              </w:rPr>
              <w:t>M6</w:t>
            </w:r>
          </w:p>
        </w:tc>
      </w:tr>
      <w:tr>
        <w:tc>
          <w:tcPr>
            <w:tcW w:type="dxa" w:w="850"/>
          </w:tcPr>
          <w:p>
            <w:pPr>
              <w:spacing w:after="40"/>
            </w:pPr>
            <w:r>
              <w:rPr>
                <w:b/>
                <w:sz w:val="18"/>
              </w:rPr>
            </w:r>
            <w:r>
              <w:rPr>
                <w:b/>
                <w:sz w:val="18"/>
              </w:rPr>
              <w:t>4</w:t>
            </w:r>
          </w:p>
        </w:tc>
        <w:tc>
          <w:tcPr>
            <w:tcW w:type="dxa" w:w="7200"/>
          </w:tcPr>
          <w:p>
            <w:pPr>
              <w:spacing w:after="40"/>
            </w:pPr>
            <w:r>
              <w:rPr>
                <w:sz w:val="18"/>
              </w:rPr>
            </w:r>
            <w:r>
              <w:rPr>
                <w:b/>
                <w:sz w:val="18"/>
              </w:rPr>
              <w:t>PTZ camera URLs</w:t>
            </w:r>
            <w:r>
              <w:rPr>
                <w:sz w:val="18"/>
              </w:rPr>
              <w:t xml:space="preserve"> plus any authentication and network access needed to reach them</w:t>
            </w:r>
          </w:p>
        </w:tc>
        <w:tc>
          <w:tcPr>
            <w:tcW w:type="dxa" w:w="1361"/>
          </w:tcPr>
          <w:p>
            <w:pPr>
              <w:spacing w:after="40"/>
            </w:pPr>
            <w:r>
              <w:rPr>
                <w:sz w:val="18"/>
              </w:rPr>
            </w:r>
            <w:r>
              <w:rPr>
                <w:sz w:val="18"/>
              </w:rPr>
              <w:t>M6</w:t>
            </w:r>
          </w:p>
        </w:tc>
      </w:tr>
      <w:tr>
        <w:tc>
          <w:tcPr>
            <w:tcW w:type="dxa" w:w="850"/>
            <w:shd w:val="clear" w:color="auto" w:fill="D3DFEE"/>
          </w:tcPr>
          <w:p>
            <w:pPr>
              <w:spacing w:after="40"/>
            </w:pPr>
            <w:r>
              <w:rPr>
                <w:b/>
                <w:sz w:val="18"/>
              </w:rPr>
            </w:r>
            <w:r>
              <w:rPr>
                <w:b/>
                <w:sz w:val="18"/>
              </w:rPr>
              <w:t>5</w:t>
            </w:r>
          </w:p>
        </w:tc>
        <w:tc>
          <w:tcPr>
            <w:tcW w:type="dxa" w:w="7200"/>
            <w:shd w:val="clear" w:color="auto" w:fill="D3DFEE"/>
          </w:tcPr>
          <w:p>
            <w:pPr>
              <w:spacing w:after="40"/>
            </w:pPr>
            <w:r>
              <w:rPr>
                <w:sz w:val="18"/>
              </w:rPr>
            </w:r>
            <w:r>
              <w:rPr>
                <w:b/>
                <w:sz w:val="18"/>
              </w:rPr>
              <w:t>SMS provider decision</w:t>
            </w:r>
            <w:r>
              <w:rPr>
                <w:sz w:val="18"/>
              </w:rPr>
              <w:t xml:space="preserve"> — or authority for us to select one — and the recipient list</w:t>
            </w:r>
          </w:p>
        </w:tc>
        <w:tc>
          <w:tcPr>
            <w:tcW w:type="dxa" w:w="1361"/>
            <w:shd w:val="clear" w:color="auto" w:fill="D3DFEE"/>
          </w:tcPr>
          <w:p>
            <w:pPr>
              <w:spacing w:after="40"/>
            </w:pPr>
            <w:r>
              <w:rPr>
                <w:sz w:val="18"/>
              </w:rPr>
            </w:r>
            <w:r>
              <w:rPr>
                <w:sz w:val="18"/>
              </w:rPr>
              <w:t>M6</w:t>
            </w:r>
          </w:p>
        </w:tc>
      </w:tr>
      <w:tr>
        <w:tc>
          <w:tcPr>
            <w:tcW w:type="dxa" w:w="850"/>
          </w:tcPr>
          <w:p>
            <w:pPr>
              <w:spacing w:after="40"/>
            </w:pPr>
            <w:r>
              <w:rPr>
                <w:b/>
                <w:sz w:val="18"/>
              </w:rPr>
            </w:r>
            <w:r>
              <w:rPr>
                <w:b/>
                <w:sz w:val="18"/>
              </w:rPr>
              <w:t>6</w:t>
            </w:r>
          </w:p>
        </w:tc>
        <w:tc>
          <w:tcPr>
            <w:tcW w:type="dxa" w:w="7200"/>
          </w:tcPr>
          <w:p>
            <w:pPr>
              <w:spacing w:after="40"/>
            </w:pPr>
            <w:r>
              <w:rPr>
                <w:sz w:val="18"/>
              </w:rPr>
            </w:r>
            <w:r>
              <w:rPr>
                <w:sz w:val="18"/>
              </w:rPr>
              <w:t xml:space="preserve">AWS region and any </w:t>
            </w:r>
            <w:r>
              <w:rPr>
                <w:b/>
                <w:sz w:val="18"/>
              </w:rPr>
              <w:t>data-residency</w:t>
            </w:r>
            <w:r>
              <w:rPr>
                <w:sz w:val="18"/>
              </w:rPr>
              <w:t xml:space="preserve"> requirement</w:t>
            </w:r>
          </w:p>
        </w:tc>
        <w:tc>
          <w:tcPr>
            <w:tcW w:type="dxa" w:w="1361"/>
          </w:tcPr>
          <w:p>
            <w:pPr>
              <w:spacing w:after="40"/>
            </w:pPr>
            <w:r>
              <w:rPr>
                <w:sz w:val="18"/>
              </w:rPr>
            </w:r>
            <w:r>
              <w:rPr>
                <w:sz w:val="18"/>
              </w:rPr>
              <w:t>M1</w:t>
            </w:r>
          </w:p>
        </w:tc>
      </w:tr>
      <w:tr>
        <w:tc>
          <w:tcPr>
            <w:tcW w:type="dxa" w:w="850"/>
            <w:shd w:val="clear" w:color="auto" w:fill="D3DFEE"/>
          </w:tcPr>
          <w:p>
            <w:pPr>
              <w:spacing w:after="40"/>
            </w:pPr>
            <w:r>
              <w:rPr>
                <w:b/>
                <w:sz w:val="18"/>
              </w:rPr>
            </w:r>
            <w:r>
              <w:rPr>
                <w:b/>
                <w:sz w:val="18"/>
              </w:rPr>
              <w:t>7</w:t>
            </w:r>
          </w:p>
        </w:tc>
        <w:tc>
          <w:tcPr>
            <w:tcW w:type="dxa" w:w="7200"/>
            <w:shd w:val="clear" w:color="auto" w:fill="D3DFEE"/>
          </w:tcPr>
          <w:p>
            <w:pPr>
              <w:spacing w:after="40"/>
            </w:pPr>
            <w:r>
              <w:rPr>
                <w:sz w:val="18"/>
              </w:rPr>
            </w:r>
            <w:r>
              <w:rPr>
                <w:sz w:val="18"/>
              </w:rPr>
              <w:t xml:space="preserve">Any MTS </w:t>
            </w:r>
            <w:r>
              <w:rPr>
                <w:b/>
                <w:sz w:val="18"/>
              </w:rPr>
              <w:t>cyber-security standard</w:t>
            </w:r>
            <w:r>
              <w:rPr>
                <w:sz w:val="18"/>
              </w:rPr>
              <w:t xml:space="preserve"> the system must be assessed against</w:t>
            </w:r>
          </w:p>
        </w:tc>
        <w:tc>
          <w:tcPr>
            <w:tcW w:type="dxa" w:w="1361"/>
            <w:shd w:val="clear" w:color="auto" w:fill="D3DFEE"/>
          </w:tcPr>
          <w:p>
            <w:pPr>
              <w:spacing w:after="40"/>
            </w:pPr>
            <w:r>
              <w:rPr>
                <w:sz w:val="18"/>
              </w:rPr>
            </w:r>
            <w:r>
              <w:rPr>
                <w:sz w:val="18"/>
              </w:rPr>
              <w:t>M1</w:t>
            </w:r>
          </w:p>
        </w:tc>
      </w:tr>
      <w:tr>
        <w:tc>
          <w:tcPr>
            <w:tcW w:type="dxa" w:w="850"/>
          </w:tcPr>
          <w:p>
            <w:pPr>
              <w:spacing w:after="40"/>
            </w:pPr>
            <w:r>
              <w:rPr>
                <w:b/>
                <w:sz w:val="18"/>
              </w:rPr>
            </w:r>
            <w:r>
              <w:rPr>
                <w:b/>
                <w:sz w:val="18"/>
              </w:rPr>
              <w:t>8</w:t>
            </w:r>
          </w:p>
        </w:tc>
        <w:tc>
          <w:tcPr>
            <w:tcW w:type="dxa" w:w="7200"/>
          </w:tcPr>
          <w:p>
            <w:pPr>
              <w:spacing w:after="40"/>
            </w:pPr>
            <w:r>
              <w:rPr>
                <w:sz w:val="18"/>
              </w:rPr>
            </w:r>
            <w:r>
              <w:rPr>
                <w:sz w:val="18"/>
              </w:rPr>
              <w:t>The 20 portal users, their roles, and their station scope</w:t>
            </w:r>
          </w:p>
        </w:tc>
        <w:tc>
          <w:tcPr>
            <w:tcW w:type="dxa" w:w="1361"/>
          </w:tcPr>
          <w:p>
            <w:pPr>
              <w:spacing w:after="40"/>
            </w:pPr>
            <w:r>
              <w:rPr>
                <w:sz w:val="18"/>
              </w:rPr>
            </w:r>
            <w:r>
              <w:rPr>
                <w:sz w:val="18"/>
              </w:rPr>
              <w:t>M7</w:t>
            </w:r>
          </w:p>
        </w:tc>
      </w:tr>
      <w:tr>
        <w:tc>
          <w:tcPr>
            <w:tcW w:type="dxa" w:w="850"/>
            <w:shd w:val="clear" w:color="auto" w:fill="D3DFEE"/>
          </w:tcPr>
          <w:p>
            <w:pPr>
              <w:spacing w:after="40"/>
            </w:pPr>
            <w:r>
              <w:rPr>
                <w:b/>
                <w:sz w:val="18"/>
              </w:rPr>
            </w:r>
            <w:r>
              <w:rPr>
                <w:b/>
                <w:sz w:val="18"/>
              </w:rPr>
              <w:t>9</w:t>
            </w:r>
          </w:p>
        </w:tc>
        <w:tc>
          <w:tcPr>
            <w:tcW w:type="dxa" w:w="7200"/>
            <w:shd w:val="clear" w:color="auto" w:fill="D3DFEE"/>
          </w:tcPr>
          <w:p>
            <w:pPr>
              <w:spacing w:after="40"/>
            </w:pPr>
            <w:r>
              <w:rPr>
                <w:sz w:val="18"/>
              </w:rPr>
            </w:r>
            <w:r>
              <w:rPr>
                <w:sz w:val="18"/>
              </w:rPr>
              <w:t>Apple Developer and Google Play accounts for store publication</w:t>
            </w:r>
          </w:p>
        </w:tc>
        <w:tc>
          <w:tcPr>
            <w:tcW w:type="dxa" w:w="1361"/>
            <w:shd w:val="clear" w:color="auto" w:fill="D3DFEE"/>
          </w:tcPr>
          <w:p>
            <w:pPr>
              <w:spacing w:after="40"/>
            </w:pPr>
            <w:r>
              <w:rPr>
                <w:sz w:val="18"/>
              </w:rPr>
            </w:r>
            <w:r>
              <w:rPr>
                <w:sz w:val="18"/>
              </w:rPr>
              <w:t>M9</w:t>
            </w:r>
          </w:p>
        </w:tc>
      </w:tr>
      <w:tr>
        <w:tc>
          <w:tcPr>
            <w:tcW w:type="dxa" w:w="850"/>
          </w:tcPr>
          <w:p>
            <w:pPr>
              <w:spacing w:after="40"/>
            </w:pPr>
            <w:r>
              <w:rPr>
                <w:b/>
                <w:sz w:val="18"/>
              </w:rPr>
            </w:r>
            <w:r>
              <w:rPr>
                <w:b/>
                <w:sz w:val="18"/>
              </w:rPr>
              <w:t>10</w:t>
            </w:r>
          </w:p>
        </w:tc>
        <w:tc>
          <w:tcPr>
            <w:tcW w:type="dxa" w:w="7200"/>
          </w:tcPr>
          <w:p>
            <w:pPr>
              <w:spacing w:after="40"/>
            </w:pPr>
            <w:r>
              <w:rPr>
                <w:sz w:val="18"/>
              </w:rPr>
            </w:r>
            <w:r>
              <w:rPr>
                <w:b/>
                <w:sz w:val="18"/>
              </w:rPr>
              <w:t>Retention decision</w:t>
            </w:r>
            <w:r>
              <w:rPr>
                <w:sz w:val="18"/>
              </w:rPr>
              <w:t xml:space="preserve"> — how long 1-second detail is kept (see §3) — and the data-handover format at contract end</w:t>
            </w:r>
          </w:p>
        </w:tc>
        <w:tc>
          <w:tcPr>
            <w:tcW w:type="dxa" w:w="1361"/>
          </w:tcPr>
          <w:p>
            <w:pPr>
              <w:spacing w:after="40"/>
            </w:pPr>
            <w:r>
              <w:rPr>
                <w:sz w:val="18"/>
              </w:rPr>
            </w:r>
            <w:r>
              <w:rPr>
                <w:b/>
                <w:sz w:val="18"/>
              </w:rPr>
              <w:t>M1</w:t>
            </w:r>
          </w:p>
        </w:tc>
      </w:tr>
    </w:tbl>
    <w:p/>
    <w:p>
      <w:pPr>
        <w:pStyle w:val="Heading2"/>
      </w:pPr>
      <w:r>
        <w:t>13. Assumptions</w:t>
      </w:r>
    </w:p>
    <w:p>
      <w:pPr>
        <w:pStyle w:val="ListBullet"/>
      </w:pPr>
      <w:r>
        <w:t>The logger performs its own real-time pump control locally; the server supervises, records and alerts, and offers manual override.</w:t>
      </w:r>
    </w:p>
    <w:p>
      <w:pPr>
        <w:pStyle w:val="ListBullet"/>
      </w:pPr>
      <w:r>
        <w:t>Sensors, loggers, masts, power, installation, EMC compliance and calibration are supplied and certified by Observator. Our scope is the software platform.</w:t>
      </w:r>
    </w:p>
    <w:p>
      <w:pPr>
        <w:pStyle w:val="ListBullet"/>
      </w:pPr>
      <w:r>
        <w:t>Cellular connectivity to each station is provided and maintained by Observator.</w:t>
      </w:r>
    </w:p>
    <w:p>
      <w:pPr>
        <w:pStyle w:val="ListBullet"/>
      </w:pPr>
      <w:r>
        <w:t>The trackside pump control panel accepts a remote start/stop demand and provides run and fault status.</w:t>
      </w:r>
    </w:p>
    <w:p>
      <w:pPr>
        <w:pStyle w:val="ListBullet"/>
      </w:pPr>
      <w:r>
        <w:t>Cloud infrastructure is billed to Observator or MTS directly; our estimates exclude hosting fees.</w:t>
      </w:r>
    </w:p>
    <w:p>
      <w:pPr>
        <w:pStyle w:val="Heading2"/>
      </w:pPr>
      <w:r>
        <w:t>14. Ways of working</w:t>
      </w:r>
    </w:p>
    <w:p>
      <w:pPr>
        <w:pStyle w:val="ListBullet"/>
      </w:pPr>
      <w:r>
        <w:rPr>
          <w:b/>
        </w:rPr>
        <w:t>Two-week sprints</w:t>
      </w:r>
      <w:r>
        <w:t xml:space="preserve"> with a working demonstration at the end of each.</w:t>
      </w:r>
    </w:p>
    <w:p>
      <w:pPr>
        <w:pStyle w:val="ListBullet"/>
      </w:pPr>
      <w:r>
        <w:rPr>
          <w:b/>
        </w:rPr>
        <w:t>Fortnightly progress reports</w:t>
      </w:r>
      <w:r>
        <w:t xml:space="preserve"> and a monthly review.</w:t>
      </w:r>
    </w:p>
    <w:p>
      <w:pPr>
        <w:pStyle w:val="ListBullet"/>
      </w:pPr>
      <w:r>
        <w:rPr>
          <w:b/>
        </w:rPr>
        <w:t>Automated tests</w:t>
      </w:r>
      <w:r>
        <w:t xml:space="preserve"> on every change: unit, integration and end-to-end.</w:t>
      </w:r>
    </w:p>
    <w:p>
      <w:pPr>
        <w:pStyle w:val="ListBullet"/>
      </w:pPr>
      <w:r>
        <w:rPr>
          <w:b/>
        </w:rPr>
        <w:t>Every alert path tested against real recorded data</w:t>
      </w:r>
      <w:r>
        <w:t>, not synthetic input.</w:t>
      </w:r>
    </w:p>
    <w:p>
      <w:pPr>
        <w:pStyle w:val="ListBullet"/>
      </w:pPr>
      <w:r>
        <w:rPr>
          <w:b/>
        </w:rPr>
        <w:t>Staging environment</w:t>
      </w:r>
      <w:r>
        <w:t xml:space="preserve"> mirroring production, for MTS to review before release.</w:t>
      </w:r>
    </w:p>
    <w:p>
      <w:pPr>
        <w:pStyle w:val="ListBullet"/>
      </w:pPr>
      <w:r>
        <w:rPr>
          <w:b/>
        </w:rPr>
        <w:t>Code review on every change</w:t>
      </w:r>
      <w:r>
        <w:t>, with security-sensitive changes reviewed twice.</w:t>
      </w:r>
    </w:p>
    <w:p>
      <w:pPr>
        <w:pStyle w:val="ListBullet"/>
      </w:pPr>
      <w:r>
        <w:rPr>
          <w:b/>
        </w:rPr>
        <w:t>Documentation written as we go</w:t>
      </w:r>
      <w:r>
        <w:t>, not assembled at the end.</w:t>
      </w:r>
    </w:p>
    <w:p>
      <w:pPr>
        <w:pStyle w:val="Heading2"/>
      </w:pPr>
      <w:r>
        <w:t>15. Acceptance criteria</w:t>
      </w:r>
    </w:p>
    <w:p>
      <w:r>
        <w:t>The system is complete when, demonstrably:</w:t>
      </w:r>
    </w:p>
    <w:p>
      <w:pPr>
        <w:pStyle w:val="ListNumber"/>
      </w:pPr>
      <w:r>
        <w:t>Every reading from every logger reaches the database, proven by a failure drill that kills workers and severs the network mid-flight.</w:t>
      </w:r>
    </w:p>
    <w:p>
      <w:pPr>
        <w:pStyle w:val="ListNumber"/>
      </w:pPr>
      <w:r>
        <w:t xml:space="preserve">A threshold breach produces screen, email and SMS alerts </w:t>
      </w:r>
      <w:r>
        <w:rPr>
          <w:b/>
        </w:rPr>
        <w:t>within 5 minutes</w:t>
      </w:r>
      <w:r>
        <w:t>, evidenced by delivery receipts.</w:t>
      </w:r>
    </w:p>
    <w:p>
      <w:pPr>
        <w:pStyle w:val="ListNumber"/>
      </w:pPr>
      <w:r>
        <w:t>Rainfall vigilance holds, restarts and clears correctly across a simulated multi-day event.</w:t>
      </w:r>
    </w:p>
    <w:p>
      <w:pPr>
        <w:pStyle w:val="ListNumber"/>
      </w:pPr>
      <w:r>
        <w:t>A sensor failure moves alerting to its fallback source and re-words the alert automatically.</w:t>
      </w:r>
    </w:p>
    <w:p>
      <w:pPr>
        <w:pStyle w:val="ListNumber"/>
      </w:pPr>
      <w:r>
        <w:t>An authorised operator can start and stop the Marrickville pumps from the portal and the phone, with the action recorded against their name.</w:t>
      </w:r>
    </w:p>
    <w:p>
      <w:pPr>
        <w:pStyle w:val="ListNumber"/>
      </w:pPr>
      <w:r>
        <w:t>A year of 1-second data can be queried and charted without degradation.</w:t>
      </w:r>
    </w:p>
    <w:p>
      <w:pPr>
        <w:pStyle w:val="ListNumber"/>
      </w:pPr>
      <w:r>
        <w:t>Twenty users can work concurrently with role and station scoping enforced.</w:t>
      </w:r>
    </w:p>
    <w:p>
      <w:pPr>
        <w:pStyle w:val="ListNumber"/>
      </w:pPr>
      <w:r>
        <w:t>A penetration test is passed with no unresolved high-severity findings.</w:t>
      </w:r>
    </w:p>
    <w:p>
      <w:pPr>
        <w:pStyle w:val="ListNumber"/>
      </w:pPr>
      <w:r>
        <w:t xml:space="preserve">A backup has been </w:t>
      </w:r>
      <w:r>
        <w:rPr>
          <w:b/>
        </w:rPr>
        <w:t>restored</w:t>
      </w:r>
      <w:r>
        <w:t xml:space="preserve"> and verified, not merely taken.</w:t>
      </w:r>
    </w:p>
    <w:p>
      <w:pPr>
        <w:pStyle w:val="Heading2"/>
      </w:pPr>
      <w:r>
        <w:t>16. In short</w:t>
      </w:r>
    </w:p>
    <w:p>
      <w:pPr>
        <w:pStyle w:val="ListBullet"/>
      </w:pPr>
      <w:r>
        <w:rPr>
          <w:b/>
        </w:rPr>
        <w:t>10 months</w:t>
      </w:r>
      <w:r>
        <w:t>, four deliverables, nothing in the Statement of Requirements left unassigned.</w:t>
      </w:r>
    </w:p>
    <w:p>
      <w:pPr>
        <w:pStyle w:val="ListBullet"/>
      </w:pPr>
      <w:r>
        <w:rPr>
          <w:b/>
        </w:rPr>
        <w:t>Month 1 is questions and answers</w:t>
      </w:r>
      <w:r>
        <w:t>, not code — every architectural decision taken with you and written down, including how long data is kept.</w:t>
      </w:r>
    </w:p>
    <w:p>
      <w:pPr>
        <w:pStyle w:val="ListBullet"/>
      </w:pPr>
      <w:r>
        <w:rPr>
          <w:b/>
        </w:rPr>
        <w:t>AWS SQS</w:t>
      </w:r>
      <w:r>
        <w:t xml:space="preserve"> at the centre of ingestion, so a failure delays data rather than losing it.</w:t>
      </w:r>
    </w:p>
    <w:p>
      <w:pPr>
        <w:pStyle w:val="ListBullet"/>
      </w:pPr>
      <w:r>
        <w:t xml:space="preserve">Designed for </w:t>
      </w:r>
      <w:r>
        <w:rPr>
          <w:b/>
        </w:rPr>
        <w:t>1-second data from day one</w:t>
      </w:r>
      <w:r>
        <w:t xml:space="preserve"> — 21 million readings a month, and fast to query at a year's scale.</w:t>
      </w:r>
    </w:p>
    <w:p>
      <w:pPr>
        <w:pStyle w:val="ListBullet"/>
      </w:pPr>
      <w:r>
        <w:rPr>
          <w:b/>
        </w:rPr>
        <w:t>NestJS + Next.js + Flutter</w:t>
      </w:r>
      <w:r>
        <w:t>, with security and performance treated as requirements rather than afterthoughts.</w:t>
      </w:r>
    </w:p>
    <w:p>
      <w:pPr>
        <w:pStyle w:val="ListBullet"/>
      </w:pPr>
      <w:r>
        <w:t xml:space="preserve">A </w:t>
      </w:r>
      <w:r>
        <w:rPr>
          <w:b/>
        </w:rPr>
        <w:t>native mobile app</w:t>
      </w:r>
      <w:r>
        <w:t>, because push notifications are the point of a safety-critical alerting system and a web wrapper cannot deliver them.</w:t>
      </w:r>
    </w:p>
    <w:sectPr w:rsidR="00FC693F" w:rsidRPr="0006063C" w:rsidSect="00034616">
      <w:headerReference w:type="default" r:id="rId9"/>
      <w:footerReference w:type="default" r:id="rId10"/>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Commercial-in-confidence · VS-OBS-MTS-M1-2026-01 · Page </w:t>
    </w:r>
    <w:r>
      <w:rPr>
        <w:color w:val="595959"/>
        <w:sz w:val="16"/>
      </w:rPr>
      <w:fldChar w:fldCharType="begin"/>
      <w:instrText xml:space="preserve">PAGE</w:instrText>
      <w:fldChar w:fldCharType="end"/>
    </w:r>
    <w:r>
      <w:rPr>
        <w:color w:val="595959"/>
        <w:sz w:val="16"/>
      </w:rPr>
      <w:t xml:space="preserve"> of </w:t>
    </w:r>
    <w:r>
      <w:rPr>
        <w:color w:val="595959"/>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Weather Monitoring and Alerting System — Sydney Metro M1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8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5959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