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595959"/>
          <w:sz w:val="26"/>
        </w:rPr>
        <w:t>VELDORA STUDIO</w:t>
      </w:r>
    </w:p>
    <w:p>
      <w:pPr>
        <w:jc w:val="center"/>
      </w:pPr>
      <w:r>
        <w:rPr>
          <w:rFonts w:ascii="Calibri" w:hAnsi="Calibri"/>
          <w:b/>
          <w:color w:val="1F4E79"/>
          <w:sz w:val="52"/>
        </w:rPr>
        <w:t>Development Proposal</w:t>
      </w:r>
    </w:p>
    <w:p>
      <w:pPr>
        <w:jc w:val="center"/>
      </w:pPr>
      <w:r>
        <w:rPr>
          <w:rFonts w:ascii="Calibri" w:hAnsi="Calibri"/>
          <w:color w:val="595959"/>
          <w:sz w:val="28"/>
        </w:rPr>
        <w:t>Weather Monitoring and Alerting System — Sydney Metro M1 Line</w:t>
      </w:r>
    </w:p>
    <w:p>
      <w:pPr>
        <w:jc w:val="center"/>
      </w:pPr>
      <w:r>
        <w:rPr>
          <w:rFonts w:ascii="Calibri" w:hAnsi="Calibri"/>
          <w:i/>
          <w:color w:val="595959"/>
          <w:sz w:val="20"/>
        </w:rPr>
        <w:t>In response to the Technical Proposal for Weather Monitoring, Sydney Metro M1 (OBS-MTS-M1-WX-2026-01, Rev A, 22 July 2026), revised following Observator's feedback of 3 September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4F81BD"/>
          <w:left w:val="single" w:sz="8" w:color="4F81BD"/>
          <w:bottom w:val="single" w:sz="8" w:color="4F81BD"/>
          <w:right w:val="single" w:sz="8" w:color="4F81BD"/>
          <w:insideH w:val="single" w:sz="4" w:color="4F81BD"/>
          <w:insideV w:val="single" w:sz="4" w:color="4F81BD"/>
        </w:tblBorders>
        <w:tblLayout w:type="fixed"/>
      </w:tblPr>
      <w:tblGrid>
        <w:gridCol w:w="3337"/>
        <w:gridCol w:w="7192"/>
      </w:tblGrid>
      <w:tr>
        <w:trPr>
          <w:cantSplit/>
        </w:trPr>
        <w:tc>
          <w:tcPr>
            <w:tcW w:type="dxa" w:w="3337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Submitted by</w:t>
            </w:r>
          </w:p>
        </w:tc>
        <w:tc>
          <w:tcPr>
            <w:tcW w:type="dxa" w:w="7192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Veldora Studio</w:t>
            </w:r>
          </w:p>
        </w:tc>
      </w:tr>
      <w:tr>
        <w:trPr>
          <w:cantSplit/>
        </w:trPr>
        <w:tc>
          <w:tcPr>
            <w:tcW w:type="dxa" w:w="333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Contact</w:t>
            </w:r>
          </w:p>
        </w:tc>
        <w:tc>
          <w:tcPr>
            <w:tcW w:type="dxa" w:w="7192"/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Hassan Ali · hassanali@veldorastudio.com</w:t>
            </w:r>
          </w:p>
        </w:tc>
      </w:tr>
      <w:tr>
        <w:trPr>
          <w:cantSplit/>
        </w:trPr>
        <w:tc>
          <w:tcPr>
            <w:tcW w:type="dxa" w:w="3337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Prepared for</w:t>
            </w:r>
          </w:p>
        </w:tc>
        <w:tc>
          <w:tcPr>
            <w:tcW w:type="dxa" w:w="7192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Observator Instruments (Observator Group)</w:t>
            </w:r>
          </w:p>
        </w:tc>
      </w:tr>
      <w:tr>
        <w:trPr>
          <w:cantSplit/>
        </w:trPr>
        <w:tc>
          <w:tcPr>
            <w:tcW w:type="dxa" w:w="333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Scope</w:t>
            </w:r>
          </w:p>
        </w:tc>
        <w:tc>
          <w:tcPr>
            <w:tcW w:type="dxa" w:w="7192"/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Ingestion pipeline, central server and web portal</w:t>
            </w:r>
          </w:p>
        </w:tc>
      </w:tr>
      <w:tr>
        <w:trPr>
          <w:cantSplit/>
        </w:trPr>
        <w:tc>
          <w:tcPr>
            <w:tcW w:type="dxa" w:w="3337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Duration</w:t>
            </w:r>
          </w:p>
        </w:tc>
        <w:tc>
          <w:tcPr>
            <w:tcW w:type="dxa" w:w="7192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3 months from kickoff, with a release every month</w:t>
            </w:r>
          </w:p>
        </w:tc>
      </w:tr>
      <w:tr>
        <w:trPr>
          <w:cantSplit/>
        </w:trPr>
        <w:tc>
          <w:tcPr>
            <w:tcW w:type="dxa" w:w="333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Proposal reference</w:t>
            </w:r>
          </w:p>
        </w:tc>
        <w:tc>
          <w:tcPr>
            <w:tcW w:type="dxa" w:w="7192"/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VS-OBS-MTS-M1-2026-02</w:t>
            </w:r>
          </w:p>
        </w:tc>
      </w:tr>
      <w:tr>
        <w:trPr>
          <w:cantSplit/>
        </w:trPr>
        <w:tc>
          <w:tcPr>
            <w:tcW w:type="dxa" w:w="3337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Version / date</w:t>
            </w:r>
          </w:p>
        </w:tc>
        <w:tc>
          <w:tcPr>
            <w:tcW w:type="dxa" w:w="7192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Rev B · 3 September 2026</w:t>
            </w:r>
          </w:p>
        </w:tc>
      </w:tr>
      <w:tr>
        <w:trPr>
          <w:cantSplit/>
        </w:trPr>
        <w:tc>
          <w:tcPr>
            <w:tcW w:type="dxa" w:w="333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7192"/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Commercial-in-confidence</w:t>
            </w:r>
          </w:p>
        </w:tc>
      </w:tr>
    </w:tbl>
    <w:p/>
    <w:p>
      <w:r>
        <w:br w:type="page"/>
      </w:r>
    </w:p>
    <w:p>
      <w:pPr>
        <w:pStyle w:val="Heading1"/>
      </w:pPr>
      <w:r>
        <w:t>Contents</w:t>
      </w:r>
    </w:p>
    <w:p>
      <w:pPr>
        <w:tabs>
          <w:tab w:pos="9411" w:val="right" w:leader="dot"/>
        </w:tabs>
        <w:spacing w:after="80"/>
      </w:pPr>
      <w:r>
        <w:rPr>
          <w:rFonts w:ascii="Calibri" w:hAnsi="Calibri"/>
          <w:sz w:val="21"/>
        </w:rPr>
        <w:t>1. What has changed in this revision</w:t>
        <w:tab/>
        <w:t>3</w:t>
      </w:r>
    </w:p>
    <w:p>
      <w:pPr>
        <w:tabs>
          <w:tab w:pos="9411" w:val="right" w:leader="dot"/>
        </w:tabs>
        <w:spacing w:after="80"/>
      </w:pPr>
      <w:r>
        <w:rPr>
          <w:rFonts w:ascii="Calibri" w:hAnsi="Calibri"/>
          <w:sz w:val="21"/>
        </w:rPr>
        <w:t>2. What we are building</w:t>
        <w:tab/>
        <w:t>3</w:t>
      </w:r>
    </w:p>
    <w:p>
      <w:pPr>
        <w:tabs>
          <w:tab w:pos="9411" w:val="right" w:leader="dot"/>
        </w:tabs>
        <w:spacing w:after="80"/>
      </w:pPr>
      <w:r>
        <w:rPr>
          <w:rFonts w:ascii="Calibri" w:hAnsi="Calibri"/>
          <w:sz w:val="21"/>
        </w:rPr>
        <w:t>3. The seven stations</w:t>
        <w:tab/>
        <w:t>3</w:t>
      </w:r>
    </w:p>
    <w:p>
      <w:pPr>
        <w:tabs>
          <w:tab w:pos="9411" w:val="right" w:leader="dot"/>
        </w:tabs>
        <w:spacing w:after="80"/>
      </w:pPr>
      <w:r>
        <w:rPr>
          <w:rFonts w:ascii="Calibri" w:hAnsi="Calibri"/>
          <w:sz w:val="21"/>
        </w:rPr>
        <w:t>4. Data rate and retention</w:t>
        <w:tab/>
        <w:t>4</w:t>
      </w:r>
    </w:p>
    <w:p>
      <w:pPr>
        <w:tabs>
          <w:tab w:pos="9411" w:val="right" w:leader="dot"/>
        </w:tabs>
        <w:spacing w:after="80"/>
      </w:pPr>
      <w:r>
        <w:rPr>
          <w:rFonts w:ascii="Calibri" w:hAnsi="Calibri"/>
          <w:sz w:val="21"/>
        </w:rPr>
        <w:t>5. Ingestion — how nothing is lost</w:t>
        <w:tab/>
        <w:t>5</w:t>
      </w:r>
    </w:p>
    <w:p>
      <w:pPr>
        <w:tabs>
          <w:tab w:pos="9411" w:val="right" w:leader="dot"/>
        </w:tabs>
        <w:spacing w:after="80"/>
      </w:pPr>
      <w:r>
        <w:rPr>
          <w:rFonts w:ascii="Calibri" w:hAnsi="Calibri"/>
          <w:sz w:val="21"/>
        </w:rPr>
        <w:t>6. Security</w:t>
        <w:tab/>
        <w:t>6</w:t>
      </w:r>
    </w:p>
    <w:p>
      <w:pPr>
        <w:tabs>
          <w:tab w:pos="9411" w:val="right" w:leader="dot"/>
        </w:tabs>
        <w:spacing w:after="80"/>
      </w:pPr>
      <w:r>
        <w:rPr>
          <w:rFonts w:ascii="Calibri" w:hAnsi="Calibri"/>
          <w:sz w:val="21"/>
        </w:rPr>
        <w:t>7. Performance</w:t>
        <w:tab/>
        <w:t>6</w:t>
      </w:r>
    </w:p>
    <w:p>
      <w:pPr>
        <w:tabs>
          <w:tab w:pos="9411" w:val="right" w:leader="dot"/>
        </w:tabs>
        <w:spacing w:after="80"/>
      </w:pPr>
      <w:r>
        <w:rPr>
          <w:rFonts w:ascii="Calibri" w:hAnsi="Calibri"/>
          <w:sz w:val="21"/>
        </w:rPr>
        <w:t>8. The alert engine</w:t>
        <w:tab/>
        <w:t>7</w:t>
      </w:r>
    </w:p>
    <w:p>
      <w:pPr>
        <w:tabs>
          <w:tab w:pos="9411" w:val="right" w:leader="dot"/>
        </w:tabs>
        <w:spacing w:after="80"/>
      </w:pPr>
      <w:r>
        <w:rPr>
          <w:rFonts w:ascii="Calibri" w:hAnsi="Calibri"/>
          <w:sz w:val="21"/>
        </w:rPr>
        <w:t>9. The web portal, on desktop and phone</w:t>
        <w:tab/>
        <w:t>8</w:t>
      </w:r>
    </w:p>
    <w:p>
      <w:pPr>
        <w:tabs>
          <w:tab w:pos="9411" w:val="right" w:leader="dot"/>
        </w:tabs>
        <w:spacing w:after="80"/>
      </w:pPr>
      <w:r>
        <w:rPr>
          <w:rFonts w:ascii="Calibri" w:hAnsi="Calibri"/>
          <w:sz w:val="21"/>
        </w:rPr>
        <w:t>10. Notifications — how an alert reaches a person</w:t>
        <w:tab/>
        <w:t>9</w:t>
      </w:r>
    </w:p>
    <w:p>
      <w:pPr>
        <w:tabs>
          <w:tab w:pos="9411" w:val="right" w:leader="dot"/>
        </w:tabs>
        <w:spacing w:after="80"/>
      </w:pPr>
      <w:r>
        <w:rPr>
          <w:rFonts w:ascii="Calibri" w:hAnsi="Calibri"/>
          <w:sz w:val="21"/>
        </w:rPr>
        <w:t>11. The three months</w:t>
        <w:tab/>
        <w:t>10</w:t>
      </w:r>
    </w:p>
    <w:p>
      <w:pPr>
        <w:tabs>
          <w:tab w:pos="9411" w:val="right" w:leader="dot"/>
        </w:tabs>
        <w:spacing w:after="80"/>
      </w:pPr>
      <w:r>
        <w:rPr>
          <w:rFonts w:ascii="Calibri" w:hAnsi="Calibri"/>
          <w:sz w:val="21"/>
        </w:rPr>
        <w:t>12. Requirement traceability</w:t>
        <w:tab/>
        <w:t>11</w:t>
      </w:r>
    </w:p>
    <w:p>
      <w:pPr>
        <w:tabs>
          <w:tab w:pos="9411" w:val="right" w:leader="dot"/>
        </w:tabs>
        <w:spacing w:after="80"/>
      </w:pPr>
      <w:r>
        <w:rPr>
          <w:rFonts w:ascii="Calibri" w:hAnsi="Calibri"/>
          <w:sz w:val="21"/>
        </w:rPr>
        <w:t>13. What we need from you</w:t>
        <w:tab/>
        <w:t>12</w:t>
      </w:r>
    </w:p>
    <w:p>
      <w:pPr>
        <w:tabs>
          <w:tab w:pos="9411" w:val="right" w:leader="dot"/>
        </w:tabs>
        <w:spacing w:after="80"/>
      </w:pPr>
      <w:r>
        <w:rPr>
          <w:rFonts w:ascii="Calibri" w:hAnsi="Calibri"/>
          <w:sz w:val="21"/>
        </w:rPr>
        <w:t>14. Assumptions</w:t>
        <w:tab/>
        <w:t>12</w:t>
      </w:r>
    </w:p>
    <w:p>
      <w:pPr>
        <w:tabs>
          <w:tab w:pos="9411" w:val="right" w:leader="dot"/>
        </w:tabs>
        <w:spacing w:after="80"/>
      </w:pPr>
      <w:r>
        <w:rPr>
          <w:rFonts w:ascii="Calibri" w:hAnsi="Calibri"/>
          <w:sz w:val="21"/>
        </w:rPr>
        <w:t>15. Ways of working</w:t>
        <w:tab/>
        <w:t>13</w:t>
      </w:r>
    </w:p>
    <w:p>
      <w:pPr>
        <w:tabs>
          <w:tab w:pos="9411" w:val="right" w:leader="dot"/>
        </w:tabs>
        <w:spacing w:after="80"/>
      </w:pPr>
      <w:r>
        <w:rPr>
          <w:rFonts w:ascii="Calibri" w:hAnsi="Calibri"/>
          <w:sz w:val="21"/>
        </w:rPr>
        <w:t>16. Acceptance criteria</w:t>
        <w:tab/>
        <w:t>13</w:t>
      </w:r>
    </w:p>
    <w:p>
      <w:pPr>
        <w:tabs>
          <w:tab w:pos="9411" w:val="right" w:leader="dot"/>
        </w:tabs>
        <w:spacing w:after="80"/>
      </w:pPr>
      <w:r>
        <w:rPr>
          <w:rFonts w:ascii="Calibri" w:hAnsi="Calibri"/>
          <w:sz w:val="21"/>
        </w:rPr>
        <w:t>17. In short</w:t>
        <w:tab/>
        <w:t>13</w:t>
      </w:r>
    </w:p>
    <w:p>
      <w:r>
        <w:br w:type="page"/>
      </w:r>
    </w:p>
    <w:p>
      <w:pPr>
        <w:pStyle w:val="Heading2"/>
      </w:pPr>
      <w:r>
        <w:t>1. What has changed in this revision</w:t>
      </w:r>
    </w:p>
    <w:p>
      <w:r>
        <w:rPr>
          <w:rFonts w:ascii="Calibri" w:hAnsi="Calibri"/>
        </w:rPr>
        <w:t>Rev A proposed ten months, a native mobile application, SMS delivery, and a platform designed for one-second data. Following your feedback we have revised all four, and simplified the infrastructure that those choices had required.</w:t>
      </w:r>
    </w:p>
    <w:p>
      <w:r>
        <w:rPr>
          <w:rFonts w:ascii="Calibri" w:hAnsi="Calibri"/>
        </w:rPr>
        <w:t xml:space="preserve">The scope of what the system </w:t>
      </w:r>
      <w:r>
        <w:rPr>
          <w:rFonts w:ascii="Calibri" w:hAnsi="Calibri"/>
        </w:rPr>
        <w:t>does</w:t>
      </w:r>
      <w:r>
        <w:rPr>
          <w:rFonts w:ascii="Calibri" w:hAnsi="Calibri"/>
        </w:rPr>
        <w:t xml:space="preserve"> is unchanged — every requirement in the Statement of Requirements is still delivered — but the way it is built and the time it takes are substantially reduced.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4F81BD"/>
          <w:left w:val="single" w:sz="8" w:color="4F81BD"/>
          <w:bottom w:val="single" w:sz="8" w:color="4F81BD"/>
          <w:right w:val="single" w:sz="8" w:color="4F81BD"/>
          <w:insideH w:val="single" w:sz="4" w:color="4F81BD"/>
          <w:insideV w:val="single" w:sz="4" w:color="4F81BD"/>
        </w:tblBorders>
        <w:tblLayout w:type="fixed"/>
      </w:tblPr>
      <w:tblGrid>
        <w:gridCol w:w="2679"/>
        <w:gridCol w:w="3392"/>
        <w:gridCol w:w="4458"/>
      </w:tblGrid>
      <w:tr>
        <w:trPr>
          <w:cantSplit/>
          <w:tblHeader w:val="true"/>
        </w:trPr>
        <w:tc>
          <w:tcPr>
            <w:tcW w:type="dxa" w:w="2679"/>
          </w:tcPr>
          <w:p>
            <w:pPr>
              <w:spacing w:after="0"/>
            </w:pPr>
            <w:r>
              <w:rPr>
                <w:b/>
              </w:rPr>
            </w:r>
          </w:p>
        </w:tc>
        <w:tc>
          <w:tcPr>
            <w:tcW w:type="dxa" w:w="339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Rev A</w:t>
            </w:r>
          </w:p>
        </w:tc>
        <w:tc>
          <w:tcPr>
            <w:tcW w:type="dxa" w:w="445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Rev B</w:t>
            </w:r>
          </w:p>
        </w:tc>
      </w:tr>
      <w:tr>
        <w:trPr>
          <w:cantSplit/>
        </w:trPr>
        <w:tc>
          <w:tcPr>
            <w:tcW w:type="dxa" w:w="2679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Duration</w:t>
            </w:r>
          </w:p>
        </w:tc>
        <w:tc>
          <w:tcPr>
            <w:tcW w:type="dxa" w:w="3392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10 months</w:t>
            </w:r>
          </w:p>
        </w:tc>
        <w:tc>
          <w:tcPr>
            <w:tcW w:type="dxa" w:w="4458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3 months, a release every month</w:t>
            </w:r>
          </w:p>
        </w:tc>
      </w:tr>
      <w:tr>
        <w:trPr>
          <w:cantSplit/>
        </w:trPr>
        <w:tc>
          <w:tcPr>
            <w:tcW w:type="dxa" w:w="267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Mobile</w:t>
            </w:r>
          </w:p>
        </w:tc>
        <w:tc>
          <w:tcPr>
            <w:tcW w:type="dxa" w:w="3392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Native iOS/Android app (Flutter)</w:t>
            </w:r>
          </w:p>
        </w:tc>
        <w:tc>
          <w:tcPr>
            <w:tcW w:type="dxa" w:w="445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Responsive web display — no separate app</w:t>
            </w:r>
          </w:p>
        </w:tc>
      </w:tr>
      <w:tr>
        <w:trPr>
          <w:cantSplit/>
        </w:trPr>
        <w:tc>
          <w:tcPr>
            <w:tcW w:type="dxa" w:w="2679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Notifications</w:t>
            </w:r>
          </w:p>
        </w:tc>
        <w:tc>
          <w:tcPr>
            <w:tcW w:type="dxa" w:w="3392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Screen, email, SMS</w:t>
            </w:r>
          </w:p>
        </w:tc>
        <w:tc>
          <w:tcPr>
            <w:tcW w:type="dxa" w:w="4458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Screen, email, web push</w:t>
            </w:r>
          </w:p>
        </w:tc>
      </w:tr>
      <w:tr>
        <w:trPr>
          <w:cantSplit/>
        </w:trPr>
        <w:tc>
          <w:tcPr>
            <w:tcW w:type="dxa" w:w="267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Data rate</w:t>
            </w:r>
          </w:p>
        </w:tc>
        <w:tc>
          <w:tcPr>
            <w:tcW w:type="dxa" w:w="3392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Designed for 1 second</w:t>
            </w:r>
          </w:p>
        </w:tc>
        <w:tc>
          <w:tcPr>
            <w:tcW w:type="dxa" w:w="445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1-minute logging, batched transmission</w:t>
            </w:r>
          </w:p>
        </w:tc>
      </w:tr>
      <w:tr>
        <w:trPr>
          <w:cantSplit/>
        </w:trPr>
        <w:tc>
          <w:tcPr>
            <w:tcW w:type="dxa" w:w="2679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Yearly readings</w:t>
            </w:r>
          </w:p>
        </w:tc>
        <w:tc>
          <w:tcPr>
            <w:tcW w:type="dxa" w:w="3392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~250 million</w:t>
            </w:r>
          </w:p>
        </w:tc>
        <w:tc>
          <w:tcPr>
            <w:tcW w:type="dxa" w:w="4458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~4.2 million</w:t>
            </w:r>
          </w:p>
        </w:tc>
      </w:tr>
      <w:tr>
        <w:trPr>
          <w:cantSplit/>
        </w:trPr>
        <w:tc>
          <w:tcPr>
            <w:tcW w:type="dxa" w:w="267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Infrastructure</w:t>
            </w:r>
          </w:p>
        </w:tc>
        <w:tc>
          <w:tcPr>
            <w:tcW w:type="dxa" w:w="3392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Lightsail, SQS, MongoDB, Redis</w:t>
            </w:r>
          </w:p>
        </w:tc>
        <w:tc>
          <w:tcPr>
            <w:tcW w:type="dxa" w:w="445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Lightsail, MongoDB</w:t>
            </w:r>
          </w:p>
        </w:tc>
      </w:tr>
    </w:tbl>
    <w:p/>
    <w:p>
      <w:r>
        <w:rPr>
          <w:rFonts w:ascii="Calibri" w:hAnsi="Calibri"/>
        </w:rPr>
        <w:t>Each of these removes work. Dropping the native application removes an entire codebase, two app-store submissions and a separate release cycle. Replacing SMS with web push removes provider procurement, per-message cost and the delivery-receipt plumbing that went with it. Moving from one-second to one-minute data reduces the volume by a factor of sixty, which takes the storage and query design from a hard problem to an ordinary one.</w:t>
      </w:r>
    </w:p>
    <w:p>
      <w:r>
        <w:rPr>
          <w:rFonts w:ascii="Calibri" w:hAnsi="Calibri"/>
        </w:rPr>
        <w:t>The last row follows from the one above it. A message queue and a cache were in Rev A because one-second data needed them. At one-minute they earn nothing, and §5 and §7 set out what does the same job instead. Fewer moving parts is not only faster to build — it is less to secure, less to monitor and less to hand over.</w:t>
      </w:r>
    </w:p>
    <w:p>
      <w:pPr>
        <w:pStyle w:val="Heading2"/>
      </w:pPr>
      <w:r>
        <w:t>2. What we are building</w:t>
      </w:r>
    </w:p>
    <w:p>
      <w:r>
        <w:rPr>
          <w:rFonts w:ascii="Calibri" w:hAnsi="Calibri"/>
        </w:rPr>
        <w:t>A complete monitoring and alerting platform for seven trackside weather stations on the Sydney Metro M1 line, covering rainfall, flood water level, temperature, humidity and wind — plus supervised control of the trackside flood pumps at Marrickville.</w:t>
      </w:r>
    </w:p>
    <w:p>
      <w:r>
        <w:rPr>
          <w:rFonts w:ascii="Calibri" w:hAnsi="Calibri"/>
        </w:rPr>
        <w:t xml:space="preserve">This is a </w:t>
      </w:r>
      <w:r>
        <w:rPr>
          <w:rFonts w:ascii="Calibri" w:hAnsi="Calibri"/>
          <w:b/>
        </w:rPr>
        <w:t>safety-critical rail system</w:t>
      </w:r>
      <w:r>
        <w:rPr>
          <w:rFonts w:ascii="Calibri" w:hAnsi="Calibri"/>
        </w:rPr>
        <w:t xml:space="preserve">. Its alerts trigger front-of-train patrols, temporary speed restrictions, and blocking of the line. The engineering standard throughout is that </w:t>
      </w:r>
      <w:r>
        <w:rPr>
          <w:rFonts w:ascii="Calibri" w:hAnsi="Calibri"/>
          <w:b/>
        </w:rPr>
        <w:t>no reading is ever lost and no alert is ever missed</w:t>
      </w:r>
      <w:r>
        <w:rPr>
          <w:rFonts w:ascii="Calibri" w:hAnsi="Calibri"/>
        </w:rPr>
        <w:t>, and that every design decision can be explained in those terms.</w:t>
      </w:r>
    </w:p>
    <w:p>
      <w:pPr>
        <w:pStyle w:val="Heading3"/>
      </w:pPr>
      <w:r>
        <w:t>The three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4F81BD"/>
          <w:left w:val="single" w:sz="8" w:color="4F81BD"/>
          <w:bottom w:val="single" w:sz="8" w:color="4F81BD"/>
          <w:right w:val="single" w:sz="8" w:color="4F81BD"/>
          <w:insideH w:val="single" w:sz="4" w:color="4F81BD"/>
          <w:insideV w:val="single" w:sz="4" w:color="4F81BD"/>
        </w:tblBorders>
        <w:tblLayout w:type="fixed"/>
      </w:tblPr>
      <w:tblGrid>
        <w:gridCol w:w="829"/>
        <w:gridCol w:w="6058"/>
        <w:gridCol w:w="3641"/>
      </w:tblGrid>
      <w:tr>
        <w:trPr>
          <w:cantSplit/>
          <w:tblHeader w:val="true"/>
        </w:trPr>
        <w:tc>
          <w:tcPr>
            <w:tcW w:type="dxa" w:w="82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605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Deliverable</w:t>
            </w:r>
          </w:p>
        </w:tc>
        <w:tc>
          <w:tcPr>
            <w:tcW w:type="dxa" w:w="3641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Technology</w:t>
            </w:r>
          </w:p>
        </w:tc>
      </w:tr>
      <w:tr>
        <w:trPr>
          <w:cantSplit/>
        </w:trPr>
        <w:tc>
          <w:tcPr>
            <w:tcW w:type="dxa" w:w="829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1</w:t>
            </w:r>
          </w:p>
        </w:tc>
        <w:tc>
          <w:tcPr>
            <w:tcW w:type="dxa" w:w="6058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Ingestion pipeline</w:t>
            </w:r>
            <w:r>
              <w:rPr>
                <w:rFonts w:ascii="Calibri" w:hAnsi="Calibri"/>
                <w:sz w:val="18"/>
              </w:rPr>
              <w:t xml:space="preserve"> — from the trackside logger to the database, losing nothing</w:t>
            </w:r>
          </w:p>
        </w:tc>
        <w:tc>
          <w:tcPr>
            <w:tcW w:type="dxa" w:w="3641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Secure agent on AWS Lightsail → NestJS</w:t>
            </w:r>
          </w:p>
        </w:tc>
      </w:tr>
      <w:tr>
        <w:trPr>
          <w:cantSplit/>
        </w:trPr>
        <w:tc>
          <w:tcPr>
            <w:tcW w:type="dxa" w:w="82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2</w:t>
            </w:r>
          </w:p>
        </w:tc>
        <w:tc>
          <w:tcPr>
            <w:tcW w:type="dxa" w:w="605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Central server</w:t>
            </w:r>
            <w:r>
              <w:rPr>
                <w:rFonts w:ascii="Calibri" w:hAnsi="Calibri"/>
                <w:sz w:val="18"/>
              </w:rPr>
              <w:t xml:space="preserve"> — storage, alert engine, notifications, API</w:t>
            </w:r>
          </w:p>
        </w:tc>
        <w:tc>
          <w:tcPr>
            <w:tcW w:type="dxa" w:w="364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NestJS</w:t>
            </w:r>
            <w:r>
              <w:rPr>
                <w:rFonts w:ascii="Calibri" w:hAnsi="Calibri"/>
                <w:sz w:val="18"/>
              </w:rPr>
              <w:t xml:space="preserve"> (TypeScript), MongoDB</w:t>
            </w:r>
          </w:p>
        </w:tc>
      </w:tr>
      <w:tr>
        <w:trPr>
          <w:cantSplit/>
        </w:trPr>
        <w:tc>
          <w:tcPr>
            <w:tcW w:type="dxa" w:w="829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3</w:t>
            </w:r>
          </w:p>
        </w:tc>
        <w:tc>
          <w:tcPr>
            <w:tcW w:type="dxa" w:w="6058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Web portal</w:t>
            </w:r>
            <w:r>
              <w:rPr>
                <w:rFonts w:ascii="Calibri" w:hAnsi="Calibri"/>
                <w:sz w:val="18"/>
              </w:rPr>
              <w:t xml:space="preserve"> — map, trends, station and pump screens, on desktop and phone</w:t>
            </w:r>
          </w:p>
        </w:tc>
        <w:tc>
          <w:tcPr>
            <w:tcW w:type="dxa" w:w="3641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Next.js</w:t>
            </w:r>
            <w:r>
              <w:rPr>
                <w:rFonts w:ascii="Calibri" w:hAnsi="Calibri"/>
                <w:sz w:val="18"/>
              </w:rPr>
              <w:t xml:space="preserve"> (TypeScript), responsive</w:t>
            </w:r>
          </w:p>
        </w:tc>
      </w:tr>
    </w:tbl>
    <w:p/>
    <w:p>
      <w:r>
        <w:rPr>
          <w:rFonts w:ascii="Calibri" w:hAnsi="Calibri"/>
        </w:rPr>
        <w:t>There is no fourth deliverable in this revision. The mobile experience is the same application, laid out for a phone — see §9.</w:t>
      </w:r>
    </w:p>
    <w:p>
      <w:pPr>
        <w:pStyle w:val="Heading2"/>
      </w:pPr>
      <w:r>
        <w:t>3. The seven stations</w:t>
      </w:r>
    </w:p>
    <w:p>
      <w:r>
        <w:rPr>
          <w:rFonts w:ascii="Calibri" w:hAnsi="Calibri"/>
        </w:rPr>
        <w:t>Each station carries only the sensors its location requires.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4F81BD"/>
          <w:left w:val="single" w:sz="8" w:color="4F81BD"/>
          <w:bottom w:val="single" w:sz="8" w:color="4F81BD"/>
          <w:right w:val="single" w:sz="8" w:color="4F81BD"/>
          <w:insideH w:val="single" w:sz="4" w:color="4F81BD"/>
          <w:insideV w:val="single" w:sz="4" w:color="4F81BD"/>
        </w:tblBorders>
        <w:tblLayout w:type="fixed"/>
      </w:tblPr>
      <w:tblGrid>
        <w:gridCol w:w="752"/>
        <w:gridCol w:w="3248"/>
        <w:gridCol w:w="792"/>
        <w:gridCol w:w="1134"/>
        <w:gridCol w:w="1277"/>
        <w:gridCol w:w="1596"/>
        <w:gridCol w:w="792"/>
        <w:gridCol w:w="935"/>
      </w:tblGrid>
      <w:tr>
        <w:trPr>
          <w:cantSplit/>
          <w:tblHeader w:val="true"/>
        </w:trPr>
        <w:tc>
          <w:tcPr>
            <w:tcW w:type="dxa" w:w="75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324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Location</w:t>
            </w:r>
          </w:p>
        </w:tc>
        <w:tc>
          <w:tcPr>
            <w:tcW w:type="dxa" w:w="792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Rain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Water level</w:t>
            </w:r>
          </w:p>
        </w:tc>
        <w:tc>
          <w:tcPr>
            <w:tcW w:type="dxa" w:w="1277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Float switch</w:t>
            </w:r>
          </w:p>
        </w:tc>
        <w:tc>
          <w:tcPr>
            <w:tcW w:type="dxa" w:w="1596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Temp / Humidity</w:t>
            </w:r>
          </w:p>
        </w:tc>
        <w:tc>
          <w:tcPr>
            <w:tcW w:type="dxa" w:w="792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Wind</w:t>
            </w:r>
          </w:p>
        </w:tc>
        <w:tc>
          <w:tcPr>
            <w:tcW w:type="dxa" w:w="935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Pumps</w:t>
            </w:r>
          </w:p>
        </w:tc>
      </w:tr>
      <w:tr>
        <w:trPr>
          <w:cantSplit/>
        </w:trPr>
        <w:tc>
          <w:tcPr>
            <w:tcW w:type="dxa" w:w="752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1</w:t>
            </w:r>
          </w:p>
        </w:tc>
        <w:tc>
          <w:tcPr>
            <w:tcW w:type="dxa" w:w="3248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Marrickville</w:t>
            </w:r>
          </w:p>
        </w:tc>
        <w:tc>
          <w:tcPr>
            <w:tcW w:type="dxa" w:w="792"/>
            <w:shd w:val="clear" w:fill="D3DFEE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1134"/>
            <w:shd w:val="clear" w:fill="D3DFEE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1277"/>
            <w:shd w:val="clear" w:fill="D3DFEE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1596"/>
            <w:shd w:val="clear" w:fill="D3DFEE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18"/>
              </w:rPr>
              <w:t>–</w:t>
            </w:r>
          </w:p>
        </w:tc>
        <w:tc>
          <w:tcPr>
            <w:tcW w:type="dxa" w:w="792"/>
            <w:shd w:val="clear" w:fill="D3DFEE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18"/>
              </w:rPr>
              <w:t>–</w:t>
            </w:r>
          </w:p>
        </w:tc>
        <w:tc>
          <w:tcPr>
            <w:tcW w:type="dxa" w:w="935"/>
            <w:shd w:val="clear" w:fill="D3DFEE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✓</w:t>
            </w:r>
          </w:p>
        </w:tc>
      </w:tr>
      <w:tr>
        <w:trPr>
          <w:cantSplit/>
        </w:trPr>
        <w:tc>
          <w:tcPr>
            <w:tcW w:type="dxa" w:w="75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2</w:t>
            </w:r>
          </w:p>
        </w:tc>
        <w:tc>
          <w:tcPr>
            <w:tcW w:type="dxa" w:w="3248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Marrickville–Dulwich Hill</w:t>
            </w:r>
          </w:p>
        </w:tc>
        <w:tc>
          <w:tcPr>
            <w:tcW w:type="dxa" w:w="792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18"/>
              </w:rPr>
              <w:t>–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1277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1596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792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935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18"/>
              </w:rPr>
              <w:t>–</w:t>
            </w:r>
          </w:p>
        </w:tc>
      </w:tr>
      <w:tr>
        <w:trPr>
          <w:cantSplit/>
        </w:trPr>
        <w:tc>
          <w:tcPr>
            <w:tcW w:type="dxa" w:w="752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3</w:t>
            </w:r>
          </w:p>
        </w:tc>
        <w:tc>
          <w:tcPr>
            <w:tcW w:type="dxa" w:w="3248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Canterbury</w:t>
            </w:r>
          </w:p>
        </w:tc>
        <w:tc>
          <w:tcPr>
            <w:tcW w:type="dxa" w:w="792"/>
            <w:shd w:val="clear" w:fill="D3DFEE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18"/>
              </w:rPr>
              <w:t>–</w:t>
            </w:r>
          </w:p>
        </w:tc>
        <w:tc>
          <w:tcPr>
            <w:tcW w:type="dxa" w:w="1134"/>
            <w:shd w:val="clear" w:fill="D3DFEE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1277"/>
            <w:shd w:val="clear" w:fill="D3DFEE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1596"/>
            <w:shd w:val="clear" w:fill="D3DFEE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18"/>
              </w:rPr>
              <w:t>–</w:t>
            </w:r>
          </w:p>
        </w:tc>
        <w:tc>
          <w:tcPr>
            <w:tcW w:type="dxa" w:w="792"/>
            <w:shd w:val="clear" w:fill="D3DFEE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18"/>
              </w:rPr>
              <w:t>–</w:t>
            </w:r>
          </w:p>
        </w:tc>
        <w:tc>
          <w:tcPr>
            <w:tcW w:type="dxa" w:w="935"/>
            <w:shd w:val="clear" w:fill="D3DFEE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18"/>
              </w:rPr>
              <w:t>–</w:t>
            </w:r>
          </w:p>
        </w:tc>
      </w:tr>
      <w:tr>
        <w:trPr>
          <w:cantSplit/>
        </w:trPr>
        <w:tc>
          <w:tcPr>
            <w:tcW w:type="dxa" w:w="75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4</w:t>
            </w:r>
          </w:p>
        </w:tc>
        <w:tc>
          <w:tcPr>
            <w:tcW w:type="dxa" w:w="3248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Campsie</w:t>
            </w:r>
          </w:p>
        </w:tc>
        <w:tc>
          <w:tcPr>
            <w:tcW w:type="dxa" w:w="792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18"/>
              </w:rPr>
              <w:t>–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1277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1596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18"/>
              </w:rPr>
              <w:t>–</w:t>
            </w:r>
          </w:p>
        </w:tc>
        <w:tc>
          <w:tcPr>
            <w:tcW w:type="dxa" w:w="792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18"/>
              </w:rPr>
              <w:t>–</w:t>
            </w:r>
          </w:p>
        </w:tc>
        <w:tc>
          <w:tcPr>
            <w:tcW w:type="dxa" w:w="935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18"/>
              </w:rPr>
              <w:t>–</w:t>
            </w:r>
          </w:p>
        </w:tc>
      </w:tr>
      <w:tr>
        <w:trPr>
          <w:cantSplit/>
        </w:trPr>
        <w:tc>
          <w:tcPr>
            <w:tcW w:type="dxa" w:w="752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5</w:t>
            </w:r>
          </w:p>
        </w:tc>
        <w:tc>
          <w:tcPr>
            <w:tcW w:type="dxa" w:w="3248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Belmore triangle</w:t>
            </w:r>
          </w:p>
        </w:tc>
        <w:tc>
          <w:tcPr>
            <w:tcW w:type="dxa" w:w="792"/>
            <w:shd w:val="clear" w:fill="D3DFEE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1134"/>
            <w:shd w:val="clear" w:fill="D3DFEE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1277"/>
            <w:shd w:val="clear" w:fill="D3DFEE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1596"/>
            <w:shd w:val="clear" w:fill="D3DFEE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792"/>
            <w:shd w:val="clear" w:fill="D3DFEE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935"/>
            <w:shd w:val="clear" w:fill="D3DFEE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18"/>
              </w:rPr>
              <w:t>–</w:t>
            </w:r>
          </w:p>
        </w:tc>
      </w:tr>
      <w:tr>
        <w:trPr>
          <w:cantSplit/>
        </w:trPr>
        <w:tc>
          <w:tcPr>
            <w:tcW w:type="dxa" w:w="75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6</w:t>
            </w:r>
          </w:p>
        </w:tc>
        <w:tc>
          <w:tcPr>
            <w:tcW w:type="dxa" w:w="3248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Lady Game Drive (tunnel)</w:t>
            </w:r>
          </w:p>
        </w:tc>
        <w:tc>
          <w:tcPr>
            <w:tcW w:type="dxa" w:w="792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18"/>
              </w:rPr>
              <w:t>–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18"/>
              </w:rPr>
              <w:t>✓ ×2</w:t>
            </w:r>
          </w:p>
        </w:tc>
        <w:tc>
          <w:tcPr>
            <w:tcW w:type="dxa" w:w="1277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18"/>
              </w:rPr>
              <w:t>✓ ×2</w:t>
            </w:r>
          </w:p>
        </w:tc>
        <w:tc>
          <w:tcPr>
            <w:tcW w:type="dxa" w:w="1596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18"/>
              </w:rPr>
              <w:t>–</w:t>
            </w:r>
          </w:p>
        </w:tc>
        <w:tc>
          <w:tcPr>
            <w:tcW w:type="dxa" w:w="792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18"/>
              </w:rPr>
              <w:t>–</w:t>
            </w:r>
          </w:p>
        </w:tc>
        <w:tc>
          <w:tcPr>
            <w:tcW w:type="dxa" w:w="935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18"/>
              </w:rPr>
              <w:t>–</w:t>
            </w:r>
          </w:p>
        </w:tc>
      </w:tr>
      <w:tr>
        <w:trPr>
          <w:cantSplit/>
        </w:trPr>
        <w:tc>
          <w:tcPr>
            <w:tcW w:type="dxa" w:w="752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7</w:t>
            </w:r>
          </w:p>
        </w:tc>
        <w:tc>
          <w:tcPr>
            <w:tcW w:type="dxa" w:w="3248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Windsor Road SSC</w:t>
            </w:r>
          </w:p>
        </w:tc>
        <w:tc>
          <w:tcPr>
            <w:tcW w:type="dxa" w:w="792"/>
            <w:shd w:val="clear" w:fill="D3DFEE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18"/>
              </w:rPr>
              <w:t>–</w:t>
            </w:r>
          </w:p>
        </w:tc>
        <w:tc>
          <w:tcPr>
            <w:tcW w:type="dxa" w:w="1134"/>
            <w:shd w:val="clear" w:fill="D3DFEE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18"/>
              </w:rPr>
              <w:t>–</w:t>
            </w:r>
          </w:p>
        </w:tc>
        <w:tc>
          <w:tcPr>
            <w:tcW w:type="dxa" w:w="1277"/>
            <w:shd w:val="clear" w:fill="D3DFEE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18"/>
              </w:rPr>
              <w:t>–</w:t>
            </w:r>
          </w:p>
        </w:tc>
        <w:tc>
          <w:tcPr>
            <w:tcW w:type="dxa" w:w="1596"/>
            <w:shd w:val="clear" w:fill="D3DFEE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792"/>
            <w:shd w:val="clear" w:fill="D3DFEE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935"/>
            <w:shd w:val="clear" w:fill="D3DFEE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18"/>
              </w:rPr>
              <w:t>–</w:t>
            </w:r>
          </w:p>
        </w:tc>
      </w:tr>
    </w:tbl>
    <w:p/>
    <w:p>
      <w:r>
        <w:rPr>
          <w:rFonts w:ascii="Calibri" w:hAnsi="Calibri"/>
        </w:rPr>
        <w:t xml:space="preserve">Location 6 is two independent units — up tunnel and down tunnel — each with its own logger. The platform therefore handles </w:t>
      </w:r>
      <w:r>
        <w:rPr>
          <w:rFonts w:ascii="Calibri" w:hAnsi="Calibri"/>
          <w:b/>
        </w:rPr>
        <w:t>eight loggers across seven locations</w:t>
      </w:r>
      <w:r>
        <w:rPr>
          <w:rFonts w:ascii="Calibri" w:hAnsi="Calibri"/>
        </w:rPr>
        <w:t>, presenting Location 6 as one place with two monitoring points.</w:t>
      </w:r>
    </w:p>
    <w:p>
      <w:pPr>
        <w:pStyle w:val="Heading2"/>
      </w:pPr>
      <w:r>
        <w:t>4. Data rate and retention</w:t>
      </w:r>
    </w:p>
    <w:p>
      <w:r>
        <w:rPr>
          <w:rFonts w:ascii="Calibri" w:hAnsi="Calibri"/>
        </w:rPr>
        <w:t xml:space="preserve">Per your specification, the OMC-048 </w:t>
      </w:r>
      <w:r>
        <w:rPr>
          <w:rFonts w:ascii="Calibri" w:hAnsi="Calibri"/>
          <w:b/>
        </w:rPr>
        <w:t>logs 1-minute data</w:t>
      </w:r>
      <w:r>
        <w:rPr>
          <w:rFonts w:ascii="Calibri" w:hAnsi="Calibri"/>
        </w:rPr>
        <w:t xml:space="preserve"> and transmits over 4G/5G </w:t>
      </w:r>
      <w:r>
        <w:rPr>
          <w:rFonts w:ascii="Calibri" w:hAnsi="Calibri"/>
          <w:b/>
        </w:rPr>
        <w:t>in batches, by default every five minutes and configurable</w:t>
      </w:r>
      <w:r>
        <w:rPr>
          <w:rFonts w:ascii="Calibri" w:hAnsi="Calibri"/>
        </w:rPr>
        <w:t xml:space="preserve">, with an </w:t>
      </w:r>
      <w:r>
        <w:rPr>
          <w:rFonts w:ascii="Calibri" w:hAnsi="Calibri"/>
          <w:b/>
        </w:rPr>
        <w:t>immediate transmission on any threshold breach</w:t>
      </w:r>
      <w:r>
        <w:rPr>
          <w:rFonts w:ascii="Calibri" w:hAnsi="Calibri"/>
        </w:rPr>
        <w:t>. That last part matters and §10 returns to it: it is what keeps a breach inside the five-minute alert obligation regardless of the batch interval.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4F81BD"/>
          <w:left w:val="single" w:sz="8" w:color="4F81BD"/>
          <w:bottom w:val="single" w:sz="8" w:color="4F81BD"/>
          <w:right w:val="single" w:sz="8" w:color="4F81BD"/>
          <w:insideH w:val="single" w:sz="4" w:color="4F81BD"/>
          <w:insideV w:val="single" w:sz="4" w:color="4F81BD"/>
        </w:tblBorders>
        <w:tblLayout w:type="fixed"/>
      </w:tblPr>
      <w:tblGrid>
        <w:gridCol w:w="5383"/>
        <w:gridCol w:w="5146"/>
      </w:tblGrid>
      <w:tr>
        <w:trPr>
          <w:cantSplit/>
        </w:trPr>
        <w:tc>
          <w:tcPr>
            <w:tcW w:type="dxa" w:w="5383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Loggers</w:t>
            </w:r>
          </w:p>
        </w:tc>
        <w:tc>
          <w:tcPr>
            <w:tcW w:type="dxa" w:w="5146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538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Readings per logger</w:t>
            </w:r>
          </w:p>
        </w:tc>
        <w:tc>
          <w:tcPr>
            <w:tcW w:type="dxa" w:w="5146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1 per minute</w:t>
            </w:r>
          </w:p>
        </w:tc>
      </w:tr>
      <w:tr>
        <w:trPr>
          <w:cantSplit/>
        </w:trPr>
        <w:tc>
          <w:tcPr>
            <w:tcW w:type="dxa" w:w="5383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Per day</w:t>
            </w:r>
          </w:p>
        </w:tc>
        <w:tc>
          <w:tcPr>
            <w:tcW w:type="dxa" w:w="5146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11,520</w:t>
            </w:r>
          </w:p>
        </w:tc>
      </w:tr>
      <w:tr>
        <w:trPr>
          <w:cantSplit/>
        </w:trPr>
        <w:tc>
          <w:tcPr>
            <w:tcW w:type="dxa" w:w="538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Per month</w:t>
            </w:r>
          </w:p>
        </w:tc>
        <w:tc>
          <w:tcPr>
            <w:tcW w:type="dxa" w:w="5146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~350,000</w:t>
            </w:r>
          </w:p>
        </w:tc>
      </w:tr>
      <w:tr>
        <w:trPr>
          <w:cantSplit/>
        </w:trPr>
        <w:tc>
          <w:tcPr>
            <w:tcW w:type="dxa" w:w="5383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Per year</w:t>
            </w:r>
          </w:p>
        </w:tc>
        <w:tc>
          <w:tcPr>
            <w:tcW w:type="dxa" w:w="5146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~4.2 million</w:t>
            </w:r>
          </w:p>
        </w:tc>
      </w:tr>
    </w:tbl>
    <w:p/>
    <w:p>
      <w:r>
        <w:rPr>
          <w:rFonts w:ascii="Calibri" w:hAnsi="Calibri"/>
        </w:rPr>
        <w:t>This is a comfortable volume for a single database — roughly one sixtieth of what Rev A was designed to carry. Two useful consequences follow.</w:t>
      </w:r>
    </w:p>
    <w:p>
      <w:r>
        <w:rPr>
          <w:rFonts w:ascii="Calibri" w:hAnsi="Calibri"/>
          <w:b/>
        </w:rPr>
        <w:t>Retention stops being a difficult decision.</w:t>
      </w:r>
      <w:r>
        <w:rPr>
          <w:rFonts w:ascii="Calibri" w:hAnsi="Calibri"/>
        </w:rPr>
        <w:t xml:space="preserve"> At 4.2 million readings a year, keeping full detail for the entire life of the contract is inexpensive. Rev A offered a choice between one month, six months and a year of detail because one-second data made that choice matter financially. It no longer does. We propose keeping </w:t>
      </w:r>
      <w:r>
        <w:rPr>
          <w:rFonts w:ascii="Calibri" w:hAnsi="Calibri"/>
          <w:b/>
        </w:rPr>
        <w:t>full detail for the contract term and aggregates permanently</w:t>
      </w:r>
      <w:r>
        <w:rPr>
          <w:rFonts w:ascii="Calibri" w:hAnsi="Calibri"/>
        </w:rPr>
        <w:t>, and we will confirm this with you in Month 1 rather than assume it.</w:t>
      </w:r>
    </w:p>
    <w:p>
      <w:r>
        <w:rPr>
          <w:rFonts w:ascii="Calibri" w:hAnsi="Calibri"/>
          <w:b/>
        </w:rPr>
        <w:t>The storage design gets simpler, but we keep the parts that pay for themselves.</w:t>
      </w:r>
      <w:r>
        <w:rPr>
          <w:rFonts w:ascii="Calibri" w:hAnsi="Calibri"/>
        </w:rPr>
        <w:t xml:space="preserve"> Per-minute, per-hour and per-day rollups are still computed as data arrives, because a twelve-month trend should read a few hundred daily rows rather than four million raw ones. That is cheap to build and it is what keeps the portal fast in year three.</w:t>
      </w:r>
    </w:p>
    <w:p>
      <w:pPr>
        <w:pStyle w:val="Heading3"/>
      </w:pPr>
      <w:r>
        <w:t>Where real-time control actually lives</w:t>
      </w:r>
    </w:p>
    <w:p>
      <w:r>
        <w:rPr>
          <w:rFonts w:ascii="Calibri" w:hAnsi="Calibri"/>
        </w:rPr>
        <w:t>This is the reason a batched server interval is safe.</w:t>
      </w:r>
    </w:p>
    <w:p>
      <w:r>
        <w:rPr>
          <w:rFonts w:ascii="Calibri" w:hAnsi="Calibri"/>
        </w:rPr>
        <w:t xml:space="preserve">The pump start/stop decision runs </w:t>
      </w:r>
      <w:r>
        <w:rPr>
          <w:rFonts w:ascii="Calibri" w:hAnsi="Calibri"/>
          <w:b/>
        </w:rPr>
        <w:t>on the OMC-048 logger at the station</w:t>
      </w:r>
      <w:r>
        <w:rPr>
          <w:rFonts w:ascii="Calibri" w:hAnsi="Calibri"/>
        </w:rPr>
        <w:t>, in real time, independent of the network. That is correct and we will not move it: a pump that stops working because a cellular link dropped is not acceptable on a flood site. Your own specification makes the same point — pumping and local alarming continue through any loss of the central server or cellular link, with buffered data forwarded on restoration.</w:t>
      </w:r>
    </w:p>
    <w:p>
      <w:r>
        <w:rPr>
          <w:rFonts w:ascii="Calibri" w:hAnsi="Calibri"/>
        </w:rPr>
        <w:t xml:space="preserve">The central server's job is to </w:t>
      </w:r>
      <w:r>
        <w:rPr>
          <w:rFonts w:ascii="Calibri" w:hAnsi="Calibri"/>
          <w:b/>
        </w:rPr>
        <w:t>aggregate, alert, display, record and supervise</w:t>
      </w:r>
      <w:r>
        <w:rPr>
          <w:rFonts w:ascii="Calibri" w:hAnsi="Calibri"/>
        </w:rPr>
        <w:t xml:space="preserve"> — and to accept a manual override from an authorised operator. None of those require second-by-second data.</w:t>
      </w:r>
    </w:p>
    <w:p>
      <w:pPr>
        <w:pStyle w:val="Heading2"/>
      </w:pPr>
      <w:r>
        <w:t>5. Ingestion — how nothing is lost</w:t>
      </w:r>
    </w:p>
    <w:p>
      <w:r>
        <w:rPr>
          <w:rFonts w:ascii="Calibri" w:hAnsi="Calibri"/>
        </w:rPr>
        <w:t xml:space="preserve">The obligation is that a failure anywhere </w:t>
      </w:r>
      <w:r>
        <w:rPr>
          <w:rFonts w:ascii="Calibri" w:hAnsi="Calibri"/>
          <w:b/>
        </w:rPr>
        <w:t>delays</w:t>
      </w:r>
      <w:r>
        <w:rPr>
          <w:rFonts w:ascii="Calibri" w:hAnsi="Calibri"/>
        </w:rPr>
        <w:t xml:space="preserve"> data rather than </w:t>
      </w:r>
      <w:r>
        <w:rPr>
          <w:rFonts w:ascii="Calibri" w:hAnsi="Calibri"/>
          <w:b/>
        </w:rPr>
        <w:t>losing</w:t>
      </w:r>
      <w:r>
        <w:rPr>
          <w:rFonts w:ascii="Calibri" w:hAnsi="Calibri"/>
        </w:rPr>
        <w:t xml:space="preserve"> it. Rev A met it with a message queue. This revision meets it with three independent buffers that already exist, none of which has to be built or operated as a separate service.</w:t>
      </w:r>
    </w:p>
    <w:p>
      <w:pPr>
        <w:spacing w:before="80" w:after="200"/>
      </w:pPr>
      <w:r>
        <w:rPr>
          <w:rFonts w:ascii="Consolas" w:hAnsi="Consolas"/>
          <w:sz w:val="17"/>
        </w:rPr>
        <w:t>Trackside logger   (logs 1-minute data, buffers locally)</w:t>
        <w:br/>
        <w:t xml:space="preserve">      │  4G/5G — batched every ~5 min, immediate on a threshold breach</w:t>
        <w:br/>
        <w:t xml:space="preserve">      ▼</w:t>
        <w:br/>
        <w:t>SFTP drop  ──  AWS Lightsail, hardened, chroot-isolated per site</w:t>
        <w:br/>
        <w:t xml:space="preserve">      │</w:t>
        <w:br/>
        <w:t xml:space="preserve">      │  ① agent: file settles → atomic rename into staging/</w:t>
        <w:br/>
        <w:t xml:space="preserve">      │  ② POST to the API — archived ONLY on success, retried forever otherwise</w:t>
        <w:br/>
        <w:t xml:space="preserve">      ▼</w:t>
        <w:br/>
        <w:t>NestJS  ──  parse, validate, store</w:t>
        <w:br/>
        <w:t xml:space="preserve">      │</w:t>
        <w:br/>
        <w:t xml:space="preserve">      ▼</w:t>
        <w:br/>
        <w:t>MongoDB  ──  time-series readings + rolling aggregates</w:t>
        <w:br/>
        <w:t xml:space="preserve">      │</w:t>
        <w:br/>
        <w:t xml:space="preserve">      ▼</w:t>
        <w:br/>
        <w:t>Alert engine  →  screen · web push · email</w:t>
      </w:r>
    </w:p>
    <w:p>
      <w:pPr>
        <w:pStyle w:val="Heading3"/>
      </w:pPr>
      <w:r>
        <w:t>The three buffers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4F81BD"/>
          <w:left w:val="single" w:sz="8" w:color="4F81BD"/>
          <w:bottom w:val="single" w:sz="8" w:color="4F81BD"/>
          <w:right w:val="single" w:sz="8" w:color="4F81BD"/>
          <w:insideH w:val="single" w:sz="4" w:color="4F81BD"/>
          <w:insideV w:val="single" w:sz="4" w:color="4F81BD"/>
        </w:tblBorders>
        <w:tblLayout w:type="fixed"/>
      </w:tblPr>
      <w:tblGrid>
        <w:gridCol w:w="2976"/>
        <w:gridCol w:w="5054"/>
        <w:gridCol w:w="2498"/>
      </w:tblGrid>
      <w:tr>
        <w:trPr>
          <w:cantSplit/>
          <w:tblHeader w:val="true"/>
        </w:trPr>
        <w:tc>
          <w:tcPr>
            <w:tcW w:type="dxa" w:w="297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If this is unavailable</w:t>
            </w:r>
          </w:p>
        </w:tc>
        <w:tc>
          <w:tcPr>
            <w:tcW w:type="dxa" w:w="505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What holds the data</w:t>
            </w:r>
          </w:p>
        </w:tc>
        <w:tc>
          <w:tcPr>
            <w:tcW w:type="dxa" w:w="249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For how long</w:t>
            </w:r>
          </w:p>
        </w:tc>
      </w:tr>
      <w:tr>
        <w:trPr>
          <w:cantSplit/>
        </w:trPr>
        <w:tc>
          <w:tcPr>
            <w:tcW w:type="dxa" w:w="2976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Cellular, or the whole Lightsail box</w:t>
            </w:r>
          </w:p>
        </w:tc>
        <w:tc>
          <w:tcPr>
            <w:tcW w:type="dxa" w:w="5054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 xml:space="preserve">The </w:t>
            </w:r>
            <w:r>
              <w:rPr>
                <w:rFonts w:ascii="Calibri" w:hAnsi="Calibri"/>
                <w:b/>
                <w:sz w:val="18"/>
              </w:rPr>
              <w:t>logger's own</w:t>
            </w:r>
            <w:r>
              <w:rPr>
                <w:rFonts w:ascii="Calibri" w:hAnsi="Calibri"/>
                <w:sz w:val="18"/>
              </w:rPr>
              <w:t xml:space="preserve"> store-and-forward buffer, per your specification</w:t>
            </w:r>
          </w:p>
        </w:tc>
        <w:tc>
          <w:tcPr>
            <w:tcW w:type="dxa" w:w="2498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Per the logger's local storage</w:t>
            </w:r>
          </w:p>
        </w:tc>
      </w:tr>
      <w:tr>
        <w:trPr>
          <w:cantSplit/>
        </w:trPr>
        <w:tc>
          <w:tcPr>
            <w:tcW w:type="dxa" w:w="297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The ingest agent</w:t>
            </w:r>
          </w:p>
        </w:tc>
        <w:tc>
          <w:tcPr>
            <w:tcW w:type="dxa" w:w="5054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 xml:space="preserve">Files accumulate in </w:t>
            </w:r>
            <w:r>
              <w:rPr>
                <w:rFonts w:ascii="Consolas" w:hAnsi="Consolas"/>
                <w:sz w:val="18"/>
              </w:rPr>
              <w:t>upload/</w:t>
            </w:r>
            <w:r>
              <w:rPr>
                <w:rFonts w:ascii="Calibri" w:hAnsi="Calibri"/>
                <w:sz w:val="18"/>
              </w:rPr>
              <w:t xml:space="preserve"> on disk</w:t>
            </w:r>
          </w:p>
        </w:tc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Until disk is exhausted</w:t>
            </w:r>
          </w:p>
        </w:tc>
      </w:tr>
      <w:tr>
        <w:trPr>
          <w:cantSplit/>
        </w:trPr>
        <w:tc>
          <w:tcPr>
            <w:tcW w:type="dxa" w:w="2976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The API or the database</w:t>
            </w:r>
          </w:p>
        </w:tc>
        <w:tc>
          <w:tcPr>
            <w:tcW w:type="dxa" w:w="5054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 xml:space="preserve">Files wait in </w:t>
            </w:r>
            <w:r>
              <w:rPr>
                <w:rFonts w:ascii="Consolas" w:hAnsi="Consolas"/>
                <w:sz w:val="18"/>
              </w:rPr>
              <w:t>staging/</w:t>
            </w:r>
            <w:r>
              <w:rPr>
                <w:rFonts w:ascii="Calibri" w:hAnsi="Calibri"/>
                <w:sz w:val="18"/>
              </w:rPr>
              <w:t xml:space="preserve"> on disk, retried with backoff</w:t>
            </w:r>
          </w:p>
        </w:tc>
        <w:tc>
          <w:tcPr>
            <w:tcW w:type="dxa" w:w="2498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Until disk is exhausted</w:t>
            </w:r>
          </w:p>
        </w:tc>
      </w:tr>
    </w:tbl>
    <w:p/>
    <w:p>
      <w:r>
        <w:rPr>
          <w:rFonts w:ascii="Calibri" w:hAnsi="Calibri"/>
        </w:rPr>
        <w:t xml:space="preserve">The ordering is what makes this safe. The agent renames a file into </w:t>
      </w:r>
      <w:r>
        <w:rPr>
          <w:rFonts w:ascii="Consolas" w:hAnsi="Consolas"/>
          <w:sz w:val="19"/>
        </w:rPr>
        <w:t>staging/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</w:rPr>
        <w:t>before</w:t>
      </w:r>
      <w:r>
        <w:rPr>
          <w:rFonts w:ascii="Calibri" w:hAnsi="Calibri"/>
        </w:rPr>
        <w:t xml:space="preserve"> it posts, and moves it to </w:t>
      </w:r>
      <w:r>
        <w:rPr>
          <w:rFonts w:ascii="Consolas" w:hAnsi="Consolas"/>
          <w:sz w:val="19"/>
        </w:rPr>
        <w:t>archive/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</w:rPr>
        <w:t>only</w:t>
      </w:r>
      <w:r>
        <w:rPr>
          <w:rFonts w:ascii="Calibri" w:hAnsi="Calibri"/>
        </w:rPr>
        <w:t xml:space="preserve"> once the server confirms the write. A crash between the two leaves the file staged, so it is retried rather than lost. A file is never deleted at any point.</w:t>
      </w:r>
    </w:p>
    <w:p>
      <w:r>
        <w:rPr>
          <w:rFonts w:ascii="Calibri" w:hAnsi="Calibri"/>
        </w:rPr>
        <w:t>At roughly four megabytes a day of small CSV files, a month-long outage occupies about 120 MB. For comparison, a managed queue would have capped retention at fourteen days; the disk does not.</w:t>
      </w:r>
    </w:p>
    <w:p>
      <w:pPr>
        <w:pStyle w:val="Heading3"/>
      </w:pPr>
      <w:r>
        <w:t>Guarantees we build 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4F81BD"/>
          <w:left w:val="single" w:sz="8" w:color="4F81BD"/>
          <w:bottom w:val="single" w:sz="8" w:color="4F81BD"/>
          <w:right w:val="single" w:sz="8" w:color="4F81BD"/>
          <w:insideH w:val="single" w:sz="4" w:color="4F81BD"/>
          <w:insideV w:val="single" w:sz="4" w:color="4F81BD"/>
        </w:tblBorders>
        <w:tblLayout w:type="fixed"/>
      </w:tblPr>
      <w:tblGrid>
        <w:gridCol w:w="2677"/>
        <w:gridCol w:w="7852"/>
      </w:tblGrid>
      <w:tr>
        <w:trPr>
          <w:cantSplit/>
          <w:tblHeader w:val="true"/>
        </w:trPr>
        <w:tc>
          <w:tcPr>
            <w:tcW w:type="dxa" w:w="267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Guarantee</w:t>
            </w:r>
          </w:p>
        </w:tc>
        <w:tc>
          <w:tcPr>
            <w:tcW w:type="dxa" w:w="785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How</w:t>
            </w:r>
          </w:p>
        </w:tc>
      </w:tr>
      <w:tr>
        <w:trPr>
          <w:cantSplit/>
        </w:trPr>
        <w:tc>
          <w:tcPr>
            <w:tcW w:type="dxa" w:w="2677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No duplicates</w:t>
            </w:r>
          </w:p>
        </w:tc>
        <w:tc>
          <w:tcPr>
            <w:tcW w:type="dxa" w:w="7852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Every file carries a content hash; a repeat is recognised and skipped, even if a success response was lost in transit</w:t>
            </w:r>
          </w:p>
        </w:tc>
      </w:tr>
      <w:tr>
        <w:trPr>
          <w:cantSplit/>
        </w:trPr>
        <w:tc>
          <w:tcPr>
            <w:tcW w:type="dxa" w:w="267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No loss on crash</w:t>
            </w:r>
          </w:p>
        </w:tc>
        <w:tc>
          <w:tcPr>
            <w:tcW w:type="dxa" w:w="7852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Rename-into-staging before sending; archived only once the server confirms</w:t>
            </w:r>
          </w:p>
        </w:tc>
      </w:tr>
      <w:tr>
        <w:trPr>
          <w:cantSplit/>
        </w:trPr>
        <w:tc>
          <w:tcPr>
            <w:tcW w:type="dxa" w:w="2677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No loss on outage</w:t>
            </w:r>
          </w:p>
        </w:tc>
        <w:tc>
          <w:tcPr>
            <w:tcW w:type="dxa" w:w="7852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Files accumulate and are replayed automatically, oldest first, on reconnection</w:t>
            </w:r>
          </w:p>
        </w:tc>
      </w:tr>
      <w:tr>
        <w:trPr>
          <w:cantSplit/>
        </w:trPr>
        <w:tc>
          <w:tcPr>
            <w:tcW w:type="dxa" w:w="267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Nothing deleted</w:t>
            </w:r>
          </w:p>
        </w:tc>
        <w:tc>
          <w:tcPr>
            <w:tcW w:type="dxa" w:w="7852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Ingested files are archived permanently, never removed</w:t>
            </w:r>
          </w:p>
        </w:tc>
      </w:tr>
      <w:tr>
        <w:trPr>
          <w:cantSplit/>
        </w:trPr>
        <w:tc>
          <w:tcPr>
            <w:tcW w:type="dxa" w:w="2677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Out-of-order safe</w:t>
            </w:r>
          </w:p>
        </w:tc>
        <w:tc>
          <w:tcPr>
            <w:tcW w:type="dxa" w:w="7852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Readings are keyed by their own timestamp, not arrival order</w:t>
            </w:r>
          </w:p>
        </w:tc>
      </w:tr>
      <w:tr>
        <w:trPr>
          <w:cantSplit/>
        </w:trPr>
        <w:tc>
          <w:tcPr>
            <w:tcW w:type="dxa" w:w="267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Poison data cannot block</w:t>
            </w:r>
          </w:p>
        </w:tc>
        <w:tc>
          <w:tcPr>
            <w:tcW w:type="dxa" w:w="7852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An unparseable file is quarantined and reported; everything behind it keeps flowing</w:t>
            </w:r>
          </w:p>
        </w:tc>
      </w:tr>
      <w:tr>
        <w:trPr>
          <w:cantSplit/>
        </w:trPr>
        <w:tc>
          <w:tcPr>
            <w:tcW w:type="dxa" w:w="2677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Auditable</w:t>
            </w:r>
          </w:p>
        </w:tc>
        <w:tc>
          <w:tcPr>
            <w:tcW w:type="dxa" w:w="7852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Every file's journey is recorded — received, parsed, stored, archived</w:t>
            </w:r>
          </w:p>
        </w:tc>
      </w:tr>
    </w:tbl>
    <w:p/>
    <w:p>
      <w:pPr>
        <w:pStyle w:val="Heading3"/>
      </w:pPr>
      <w:r>
        <w:t>What this does not cover, and how we cover it</w:t>
      </w:r>
    </w:p>
    <w:p>
      <w:r>
        <w:rPr>
          <w:rFonts w:ascii="Calibri" w:hAnsi="Calibri"/>
        </w:rPr>
        <w:t xml:space="preserve">No buffer delivers </w:t>
      </w:r>
      <w:r>
        <w:rPr>
          <w:rFonts w:ascii="Calibri" w:hAnsi="Calibri"/>
          <w:b/>
        </w:rPr>
        <w:t>alerts</w:t>
      </w:r>
      <w:r>
        <w:rPr>
          <w:rFonts w:ascii="Calibri" w:hAnsi="Calibri"/>
        </w:rPr>
        <w:t xml:space="preserve"> while the server is down — a queue would not have either. Alerting depends on the server running, so that is treated as an availability problem: health checks, a documented restore rehearsal, and a monitored </w:t>
      </w:r>
      <w:r>
        <w:rPr>
          <w:rFonts w:ascii="Calibri" w:hAnsi="Calibri"/>
        </w:rPr>
        <w:t>"station silent for more than 15 minutes"</w:t>
      </w:r>
      <w:r>
        <w:rPr>
          <w:rFonts w:ascii="Calibri" w:hAnsi="Calibri"/>
        </w:rPr>
        <w:t xml:space="preserve"> condition. The one failure worth naming is that a station quietly retrying looks exactly like calm weather, so that alert is raised on silence rather than on error.</w:t>
      </w:r>
    </w:p>
    <w:p>
      <w:pPr>
        <w:pStyle w:val="Heading2"/>
      </w:pPr>
      <w:r>
        <w:t>6. Security</w:t>
      </w:r>
    </w:p>
    <w:p>
      <w:r>
        <w:rPr>
          <w:rFonts w:ascii="Calibri" w:hAnsi="Calibri"/>
        </w:rPr>
        <w:t>Data security is treated as a requirement of the same rank as correctness, and is unchanged from Rev A.</w:t>
      </w:r>
    </w:p>
    <w:p>
      <w:pPr>
        <w:pStyle w:val="Heading3"/>
      </w:pPr>
      <w:r>
        <w:t>In transit</w:t>
      </w:r>
    </w:p>
    <w:p>
      <w:pPr>
        <w:pStyle w:val="ListBullet"/>
      </w:pPr>
      <w:r>
        <w:rPr>
          <w:rFonts w:ascii="Calibri" w:hAnsi="Calibri"/>
          <w:b/>
        </w:rPr>
        <w:t>SFTP only</w:t>
      </w:r>
      <w:r>
        <w:rPr>
          <w:rFonts w:ascii="Calibri" w:hAnsi="Calibri"/>
        </w:rPr>
        <w:t xml:space="preserve"> from the trackside box, on hardened OpenSSH with key-based authentication and per-site chroot isolation, so one site can never see another's data.</w:t>
      </w:r>
    </w:p>
    <w:p>
      <w:pPr>
        <w:pStyle w:val="ListBullet"/>
      </w:pPr>
      <w:r>
        <w:rPr>
          <w:rFonts w:ascii="Calibri" w:hAnsi="Calibri"/>
          <w:b/>
        </w:rPr>
        <w:t>TLS everywhere else</w:t>
      </w:r>
      <w:r>
        <w:rPr>
          <w:rFonts w:ascii="Calibri" w:hAnsi="Calibri"/>
        </w:rPr>
        <w:t xml:space="preserve"> — logger to server, server to database, browser to API.</w:t>
      </w:r>
    </w:p>
    <w:p>
      <w:pPr>
        <w:pStyle w:val="ListBullet"/>
      </w:pPr>
      <w:r>
        <w:rPr>
          <w:rFonts w:ascii="Calibri" w:hAnsi="Calibri"/>
        </w:rPr>
        <w:t xml:space="preserve">The ingest agent holds an </w:t>
      </w:r>
      <w:r>
        <w:rPr>
          <w:rFonts w:ascii="Calibri" w:hAnsi="Calibri"/>
          <w:b/>
        </w:rPr>
        <w:t>outbound-only credential</w:t>
      </w:r>
      <w:r>
        <w:rPr>
          <w:rFonts w:ascii="Calibri" w:hAnsi="Calibri"/>
        </w:rPr>
        <w:t xml:space="preserve">. The trackside box exposes </w:t>
      </w:r>
      <w:r>
        <w:rPr>
          <w:rFonts w:ascii="Calibri" w:hAnsi="Calibri"/>
          <w:b/>
        </w:rPr>
        <w:t>no inbound port</w:t>
      </w:r>
      <w:r>
        <w:rPr>
          <w:rFonts w:ascii="Calibri" w:hAnsi="Calibri"/>
        </w:rPr>
        <w:t xml:space="preserve"> to us.</w:t>
      </w:r>
    </w:p>
    <w:p>
      <w:pPr>
        <w:pStyle w:val="Heading3"/>
      </w:pPr>
      <w:r>
        <w:t>At rest and in the platform</w:t>
      </w:r>
    </w:p>
    <w:p>
      <w:pPr>
        <w:pStyle w:val="ListBullet"/>
      </w:pPr>
      <w:r>
        <w:rPr>
          <w:rFonts w:ascii="Calibri" w:hAnsi="Calibri"/>
          <w:b/>
        </w:rPr>
        <w:t>Encryption at rest</w:t>
      </w:r>
      <w:r>
        <w:rPr>
          <w:rFonts w:ascii="Calibri" w:hAnsi="Calibri"/>
        </w:rPr>
        <w:t xml:space="preserve"> on the database and on backups.</w:t>
      </w:r>
    </w:p>
    <w:p>
      <w:pPr>
        <w:pStyle w:val="ListBullet"/>
      </w:pPr>
      <w:r>
        <w:rPr>
          <w:rFonts w:ascii="Calibri" w:hAnsi="Calibri"/>
          <w:b/>
        </w:rPr>
        <w:t>Least-privilege credentials</w:t>
      </w:r>
      <w:r>
        <w:rPr>
          <w:rFonts w:ascii="Calibri" w:hAnsi="Calibri"/>
        </w:rPr>
        <w:t xml:space="preserve"> — the ingest credential can upload readings and nothing else. It cannot read other sites' data, change configuration, or administer anything.</w:t>
      </w:r>
    </w:p>
    <w:p>
      <w:pPr>
        <w:pStyle w:val="ListBullet"/>
      </w:pPr>
      <w:r>
        <w:rPr>
          <w:rFonts w:ascii="Calibri" w:hAnsi="Calibri"/>
          <w:b/>
        </w:rPr>
        <w:t>Every secret hashed</w:t>
      </w:r>
      <w:r>
        <w:rPr>
          <w:rFonts w:ascii="Calibri" w:hAnsi="Calibri"/>
        </w:rPr>
        <w:t>, never stored recoverably. Generated passwords are shown once.</w:t>
      </w:r>
    </w:p>
    <w:p>
      <w:pPr>
        <w:pStyle w:val="ListBullet"/>
      </w:pPr>
      <w:r>
        <w:rPr>
          <w:rFonts w:ascii="Calibri" w:hAnsi="Calibri"/>
          <w:b/>
        </w:rPr>
        <w:t>Role-based access control</w:t>
      </w:r>
      <w:r>
        <w:rPr>
          <w:rFonts w:ascii="Calibri" w:hAnsi="Calibri"/>
        </w:rPr>
        <w:t xml:space="preserve"> with per-station scoping, so a user sees only what their role and their sites permit.</w:t>
      </w:r>
    </w:p>
    <w:p>
      <w:pPr>
        <w:pStyle w:val="ListBullet"/>
      </w:pPr>
      <w:r>
        <w:rPr>
          <w:rFonts w:ascii="Calibri" w:hAnsi="Calibri"/>
          <w:b/>
        </w:rPr>
        <w:t>Optional multi-factor authentication</w:t>
      </w:r>
      <w:r>
        <w:rPr>
          <w:rFonts w:ascii="Calibri" w:hAnsi="Calibri"/>
        </w:rPr>
        <w:t xml:space="preserve"> for portal access.</w:t>
      </w:r>
    </w:p>
    <w:p>
      <w:pPr>
        <w:pStyle w:val="ListBullet"/>
      </w:pPr>
      <w:r>
        <w:rPr>
          <w:rFonts w:ascii="Calibri" w:hAnsi="Calibri"/>
          <w:b/>
        </w:rPr>
        <w:t>Full audit trail</w:t>
      </w:r>
      <w:r>
        <w:rPr>
          <w:rFonts w:ascii="Calibri" w:hAnsi="Calibri"/>
        </w:rPr>
        <w:t xml:space="preserve"> — every login, threshold change, acknowledgement and manual pump command recorded against a named person with a timestamp.</w:t>
      </w:r>
    </w:p>
    <w:p>
      <w:pPr>
        <w:pStyle w:val="ListBullet"/>
      </w:pPr>
      <w:r>
        <w:rPr>
          <w:rFonts w:ascii="Calibri" w:hAnsi="Calibri"/>
          <w:b/>
        </w:rPr>
        <w:t>Automated dependency scanning</w:t>
      </w:r>
      <w:r>
        <w:rPr>
          <w:rFonts w:ascii="Calibri" w:hAnsi="Calibri"/>
        </w:rPr>
        <w:t xml:space="preserve"> in the build, and a </w:t>
      </w:r>
      <w:r>
        <w:rPr>
          <w:rFonts w:ascii="Calibri" w:hAnsi="Calibri"/>
          <w:b/>
        </w:rPr>
        <w:t>penetration test</w:t>
      </w:r>
      <w:r>
        <w:rPr>
          <w:rFonts w:ascii="Calibri" w:hAnsi="Calibri"/>
        </w:rPr>
        <w:t xml:space="preserve"> before go-live.</w:t>
      </w:r>
    </w:p>
    <w:p>
      <w:r>
        <w:rPr>
          <w:rFonts w:ascii="Calibri" w:hAnsi="Calibri"/>
        </w:rPr>
        <w:t>A smaller stack is a smaller attack surface. Removing the queue and the cache removes two network services, two sets of credentials and two components to patch.</w:t>
      </w:r>
    </w:p>
    <w:p>
      <w:pPr>
        <w:pStyle w:val="Heading3"/>
      </w:pPr>
      <w:r>
        <w:t>Scripts on the Lightsail box</w:t>
      </w:r>
    </w:p>
    <w:p>
      <w:r>
        <w:rPr>
          <w:rFonts w:ascii="Calibri" w:hAnsi="Calibri"/>
        </w:rPr>
        <w:t>Everything privileged is a single root-owned script with a single narrow sudo rule. Arguments are validated in three independent layers, so no one check is load-bearing. The agent runs unprivileged, cannot modify its own code, and can execute exactly one command as root — nothing else.</w:t>
      </w:r>
    </w:p>
    <w:p>
      <w:pPr>
        <w:pStyle w:val="Heading2"/>
      </w:pPr>
      <w:r>
        <w:t>7. Performance</w:t>
      </w:r>
    </w:p>
    <w:p>
      <w:r>
        <w:rPr>
          <w:rFonts w:ascii="Calibri" w:hAnsi="Calibri"/>
        </w:rPr>
        <w:t>The requirement is that years of history stay fast to query and fast to display. At 4.2 million readings a year this is straightforward, and these are the decisions that keep it that way.</w:t>
      </w:r>
    </w:p>
    <w:p>
      <w:pPr>
        <w:pStyle w:val="ListBullet"/>
      </w:pPr>
      <w:r>
        <w:rPr>
          <w:rFonts w:ascii="Calibri" w:hAnsi="Calibri"/>
          <w:b/>
        </w:rPr>
        <w:t>Time-series collections</w:t>
      </w:r>
      <w:r>
        <w:rPr>
          <w:rFonts w:ascii="Calibri" w:hAnsi="Calibri"/>
        </w:rPr>
        <w:t>, purpose-built for this shape of data — high write rate, append-only, queried by time range.</w:t>
      </w:r>
    </w:p>
    <w:p>
      <w:pPr>
        <w:pStyle w:val="ListBullet"/>
      </w:pPr>
      <w:r>
        <w:rPr>
          <w:rFonts w:ascii="Calibri" w:hAnsi="Calibri"/>
          <w:b/>
        </w:rPr>
        <w:t>Compound indexes</w:t>
      </w:r>
      <w:r>
        <w:rPr>
          <w:rFonts w:ascii="Calibri" w:hAnsi="Calibri"/>
        </w:rPr>
        <w:t xml:space="preserve"> matched to the queries that actually run, verified with query plans rather than assumed.</w:t>
      </w:r>
    </w:p>
    <w:p>
      <w:pPr>
        <w:pStyle w:val="ListBullet"/>
      </w:pPr>
      <w:r>
        <w:rPr>
          <w:rFonts w:ascii="Calibri" w:hAnsi="Calibri"/>
          <w:b/>
        </w:rPr>
        <w:t>Pre-aggregated rollups.</w:t>
      </w:r>
      <w:r>
        <w:rPr>
          <w:rFonts w:ascii="Calibri" w:hAnsi="Calibri"/>
        </w:rPr>
        <w:t xml:space="preserve"> Every reading is summarised into per-minute, per-hour and per-day records as it arrives, so a twelve-month chart reads a few hundred rows.</w:t>
      </w:r>
    </w:p>
    <w:p>
      <w:pPr>
        <w:pStyle w:val="ListBullet"/>
      </w:pPr>
      <w:r>
        <w:rPr>
          <w:rFonts w:ascii="Calibri" w:hAnsi="Calibri"/>
          <w:b/>
        </w:rPr>
        <w:t>Live values held in the API process</w:t>
      </w:r>
      <w:r>
        <w:rPr>
          <w:rFonts w:ascii="Calibri" w:hAnsi="Calibri"/>
        </w:rPr>
        <w:t xml:space="preserve"> and pushed to the browser over WebSocket. With eight stations this is a few kilobytes of state; the authoritative copy is a single indexed lookup per station, which is why a separate cache service earns nothing here.</w:t>
      </w:r>
    </w:p>
    <w:p>
      <w:pPr>
        <w:pStyle w:val="ListBullet"/>
      </w:pPr>
      <w:r>
        <w:rPr>
          <w:rFonts w:ascii="Calibri" w:hAnsi="Calibri"/>
          <w:b/>
        </w:rPr>
        <w:t>Cursor pagination</w:t>
      </w:r>
      <w:r>
        <w:rPr>
          <w:rFonts w:ascii="Calibri" w:hAnsi="Calibri"/>
        </w:rPr>
        <w:t xml:space="preserve"> everywhere, and </w:t>
      </w:r>
      <w:r>
        <w:rPr>
          <w:rFonts w:ascii="Calibri" w:hAnsi="Calibri"/>
          <w:b/>
        </w:rPr>
        <w:t>streamed CSV export</w:t>
      </w:r>
      <w:r>
        <w:rPr>
          <w:rFonts w:ascii="Calibri" w:hAnsi="Calibri"/>
        </w:rPr>
        <w:t>, so a large query or a long export cannot exhaust server memory.</w:t>
      </w:r>
    </w:p>
    <w:p>
      <w:pPr>
        <w:pStyle w:val="ListBullet"/>
      </w:pPr>
      <w:r>
        <w:rPr>
          <w:rFonts w:ascii="Calibri" w:hAnsi="Calibri"/>
        </w:rPr>
        <w:t>On the phone: server-side rendering, code splitting and downsampled charts, so the first screen is fast on a field connection.</w:t>
      </w:r>
    </w:p>
    <w:p>
      <w:pPr>
        <w:pStyle w:val="ListBullet"/>
      </w:pPr>
      <w:r>
        <w:rPr>
          <w:rFonts w:ascii="Calibri" w:hAnsi="Calibri"/>
        </w:rPr>
        <w:t xml:space="preserve">A </w:t>
      </w:r>
      <w:r>
        <w:rPr>
          <w:rFonts w:ascii="Calibri" w:hAnsi="Calibri"/>
          <w:b/>
        </w:rPr>
        <w:t>performance budget enforced in the build</w:t>
      </w:r>
      <w:r>
        <w:rPr>
          <w:rFonts w:ascii="Calibri" w:hAnsi="Calibri"/>
        </w:rPr>
        <w:t>, so a regression fails the pipeline rather than reaching production.</w:t>
      </w:r>
    </w:p>
    <w:p>
      <w:r>
        <w:rPr>
          <w:rFonts w:ascii="Calibri" w:hAnsi="Calibri"/>
        </w:rPr>
        <w:t>The portal runs as a single API instance behind TLS, which is ample at this volume. Should it later be scaled to several instances, live fan-out moves to MongoDB change streams — a configuration change, not a redesign.</w:t>
      </w:r>
    </w:p>
    <w:p>
      <w:pPr>
        <w:pStyle w:val="Heading2"/>
      </w:pPr>
      <w:r>
        <w:t>8. The alert engine</w:t>
      </w:r>
    </w:p>
    <w:p>
      <w:r>
        <w:rPr>
          <w:rFonts w:ascii="Calibri" w:hAnsi="Calibri"/>
        </w:rPr>
        <w:t>The heart of the system, and the part with the least tolerance for error. This section is unchanged from Rev A — the logic is a requirement, not an implementation choice.</w:t>
      </w:r>
    </w:p>
    <w:p>
      <w:pPr>
        <w:pStyle w:val="Heading3"/>
      </w:pPr>
      <w:r>
        <w:t>Rainfall — vigilance logic</w:t>
      </w:r>
    </w:p>
    <w:p>
      <w:r>
        <w:rPr>
          <w:rFonts w:ascii="Calibri" w:hAnsi="Calibri"/>
        </w:rPr>
        <w:t xml:space="preserve">For each threshold — </w:t>
      </w:r>
      <w:r>
        <w:rPr>
          <w:rFonts w:ascii="Calibri" w:hAnsi="Calibri"/>
          <w:b/>
        </w:rPr>
        <w:t>≥25 mm/hr</w:t>
      </w:r>
      <w:r>
        <w:rPr>
          <w:rFonts w:ascii="Calibri" w:hAnsi="Calibri"/>
        </w:rPr>
        <w:t xml:space="preserve">, </w:t>
      </w:r>
      <w:r>
        <w:rPr>
          <w:rFonts w:ascii="Calibri" w:hAnsi="Calibri"/>
          <w:b/>
        </w:rPr>
        <w:t>≥45 mm/3 h</w:t>
      </w:r>
      <w:r>
        <w:rPr>
          <w:rFonts w:ascii="Calibri" w:hAnsi="Calibri"/>
        </w:rPr>
        <w:t xml:space="preserve">, </w:t>
      </w:r>
      <w:r>
        <w:rPr>
          <w:rFonts w:ascii="Calibri" w:hAnsi="Calibri"/>
          <w:b/>
        </w:rPr>
        <w:t>≥120 mm/3 days</w:t>
      </w:r>
      <w:r>
        <w:rPr>
          <w:rFonts w:ascii="Calibri" w:hAnsi="Calibri"/>
        </w:rPr>
        <w:t xml:space="preserve"> — the engine maintains a live rolling total and compares it continuously.</w:t>
      </w:r>
    </w:p>
    <w:p>
      <w:r>
        <w:rPr>
          <w:rFonts w:ascii="Calibri" w:hAnsi="Calibri"/>
        </w:rPr>
        <w:t xml:space="preserve">When a threshold is crossed it raises the alert immediately with the exact MTS wording. When rainfall falls back below the line it does </w:t>
      </w:r>
      <w:r>
        <w:rPr>
          <w:rFonts w:ascii="Calibri" w:hAnsi="Calibri"/>
          <w:b/>
        </w:rPr>
        <w:t>not</w:t>
      </w:r>
      <w:r>
        <w:rPr>
          <w:rFonts w:ascii="Calibri" w:hAnsi="Calibri"/>
        </w:rPr>
        <w:t xml:space="preserve"> stand down: it starts a </w:t>
      </w:r>
      <w:r>
        <w:rPr>
          <w:rFonts w:ascii="Calibri" w:hAnsi="Calibri"/>
          <w:b/>
        </w:rPr>
        <w:t>vigilance countdown</w:t>
      </w:r>
      <w:r>
        <w:rPr>
          <w:rFonts w:ascii="Calibri" w:hAnsi="Calibri"/>
        </w:rPr>
        <w:t xml:space="preserve"> — </w:t>
      </w:r>
      <w:r>
        <w:rPr>
          <w:rFonts w:ascii="Calibri" w:hAnsi="Calibri"/>
          <w:b/>
        </w:rPr>
        <w:t>6 h / 12 h / 48 h</w:t>
      </w:r>
      <w:r>
        <w:rPr>
          <w:rFonts w:ascii="Calibri" w:hAnsi="Calibri"/>
        </w:rPr>
        <w:t xml:space="preserve"> respectively — and holds the alert for the whole period. Further qualifying rain </w:t>
      </w:r>
      <w:r>
        <w:rPr>
          <w:rFonts w:ascii="Calibri" w:hAnsi="Calibri"/>
          <w:b/>
        </w:rPr>
        <w:t>restarts</w:t>
      </w:r>
      <w:r>
        <w:rPr>
          <w:rFonts w:ascii="Calibri" w:hAnsi="Calibri"/>
        </w:rPr>
        <w:t xml:space="preserve"> the countdown. When the clock finally expires it issues an automatic </w:t>
      </w:r>
      <w:r>
        <w:rPr>
          <w:rFonts w:ascii="Calibri" w:hAnsi="Calibri"/>
          <w:b/>
        </w:rPr>
        <w:t>all-clear</w:t>
      </w:r>
      <w:r>
        <w:rPr>
          <w:rFonts w:ascii="Calibri" w:hAnsi="Calibri"/>
        </w:rPr>
        <w:t>.</w:t>
      </w:r>
    </w:p>
    <w:p>
      <w:r>
        <w:rPr>
          <w:rFonts w:ascii="Calibri" w:hAnsi="Calibri"/>
        </w:rPr>
        <w:t>Every value — thresholds, windows, countdown durations, wording — is a configuration item MTS can change without a software release.</w:t>
      </w:r>
    </w:p>
    <w:p>
      <w:pPr>
        <w:pStyle w:val="Heading3"/>
      </w:pPr>
      <w:r>
        <w:t>Flood, temperature and wind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4F81BD"/>
          <w:left w:val="single" w:sz="8" w:color="4F81BD"/>
          <w:bottom w:val="single" w:sz="8" w:color="4F81BD"/>
          <w:right w:val="single" w:sz="8" w:color="4F81BD"/>
          <w:insideH w:val="single" w:sz="4" w:color="4F81BD"/>
          <w:insideV w:val="single" w:sz="4" w:color="4F81BD"/>
        </w:tblBorders>
        <w:tblLayout w:type="fixed"/>
      </w:tblPr>
      <w:tblGrid>
        <w:gridCol w:w="2508"/>
        <w:gridCol w:w="8021"/>
      </w:tblGrid>
      <w:tr>
        <w:trPr>
          <w:cantSplit/>
          <w:tblHeader w:val="true"/>
        </w:trPr>
        <w:tc>
          <w:tcPr>
            <w:tcW w:type="dxa" w:w="250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Parameter</w:t>
            </w:r>
          </w:p>
        </w:tc>
        <w:tc>
          <w:tcPr>
            <w:tcW w:type="dxa" w:w="8021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Logic</w:t>
            </w:r>
          </w:p>
        </w:tc>
      </w:tr>
      <w:tr>
        <w:trPr>
          <w:cantSplit/>
        </w:trPr>
        <w:tc>
          <w:tcPr>
            <w:tcW w:type="dxa" w:w="2508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Flood</w:t>
            </w:r>
          </w:p>
        </w:tc>
        <w:tc>
          <w:tcPr>
            <w:tcW w:type="dxa" w:w="8021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Standing water (PTZ verification prompt) → water above rail foot (block the line) → trending down (staged reinstatement 25 → 60 kph → unrestricted)</w:t>
            </w:r>
          </w:p>
        </w:tc>
      </w:tr>
      <w:tr>
        <w:trPr>
          <w:cantSplit/>
        </w:trPr>
        <w:tc>
          <w:tcPr>
            <w:tcW w:type="dxa" w:w="250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Temperature</w:t>
            </w:r>
          </w:p>
        </w:tc>
        <w:tc>
          <w:tcPr>
            <w:tcW w:type="dxa" w:w="8021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≥38 °C and ≥45 °C rising, sustained &gt;5 min; falling &lt;45 °C / &lt;38 °C sustained &gt;10 min; drives the 60/40 kph TSR and heat-patrol wording</w:t>
            </w:r>
          </w:p>
        </w:tc>
      </w:tr>
      <w:tr>
        <w:trPr>
          <w:cantSplit/>
        </w:trPr>
        <w:tc>
          <w:tcPr>
            <w:tcW w:type="dxa" w:w="2508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Wind</w:t>
            </w:r>
          </w:p>
        </w:tc>
        <w:tc>
          <w:tcPr>
            <w:tcW w:type="dxa" w:w="8021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≥75 / ≥85 kph TSR wording at the listed kilometrages; ≥120 kph block-line on all external track</w:t>
            </w:r>
          </w:p>
        </w:tc>
      </w:tr>
      <w:tr>
        <w:trPr>
          <w:cantSplit/>
        </w:trPr>
        <w:tc>
          <w:tcPr>
            <w:tcW w:type="dxa" w:w="250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Pumps</w:t>
            </w:r>
          </w:p>
        </w:tc>
        <w:tc>
          <w:tcPr>
            <w:tcW w:type="dxa" w:w="8021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Start, stop, fail, no-flow, high-high level, sensor discrepancy — all raised immediately</w:t>
            </w:r>
          </w:p>
        </w:tc>
      </w:tr>
      <w:tr>
        <w:trPr>
          <w:cantSplit/>
        </w:trPr>
        <w:tc>
          <w:tcPr>
            <w:tcW w:type="dxa" w:w="2508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System</w:t>
            </w:r>
          </w:p>
        </w:tc>
        <w:tc>
          <w:tcPr>
            <w:tcW w:type="dxa" w:w="8021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Sensor offline, missing data, low battery, communications loss — leading indicators, not just failures</w:t>
            </w:r>
          </w:p>
        </w:tc>
      </w:tr>
    </w:tbl>
    <w:p/>
    <w:p>
      <w:r>
        <w:rPr>
          <w:rFonts w:ascii="Calibri" w:hAnsi="Calibri"/>
        </w:rPr>
        <w:t>Dwell timers of five and ten minutes are unaffected by 1-minute logging: a five-minute sustained condition is evidenced by five consecutive readings rather than three hundred.</w:t>
      </w:r>
    </w:p>
    <w:p>
      <w:pPr>
        <w:pStyle w:val="Heading3"/>
      </w:pPr>
      <w:r>
        <w:t>Redundancy and fallback</w:t>
      </w:r>
    </w:p>
    <w:p>
      <w:r>
        <w:rPr>
          <w:rFonts w:ascii="Calibri" w:hAnsi="Calibri"/>
        </w:rPr>
        <w:t xml:space="preserve">On sensor failure the engine automatically generates alerts from the </w:t>
      </w:r>
      <w:r>
        <w:rPr>
          <w:rFonts w:ascii="Calibri" w:hAnsi="Calibri"/>
          <w:b/>
        </w:rPr>
        <w:t>designated alternate source</w:t>
      </w:r>
      <w:r>
        <w:rPr>
          <w:rFonts w:ascii="Calibri" w:hAnsi="Calibri"/>
        </w:rPr>
        <w:t xml:space="preserve"> and </w:t>
      </w:r>
      <w:r>
        <w:rPr>
          <w:rFonts w:ascii="Calibri" w:hAnsi="Calibri"/>
          <w:b/>
        </w:rPr>
        <w:t>rewords</w:t>
      </w:r>
      <w:r>
        <w:rPr>
          <w:rFonts w:ascii="Calibri" w:hAnsi="Calibri"/>
        </w:rPr>
        <w:t xml:space="preserve"> the alert to state which additional sections it now covers. A fault alert is issued first, telling MTS that alerting has moved to the fallback — so nobody is unaware that they are running degraded.</w:t>
      </w:r>
    </w:p>
    <w:p>
      <w:pPr>
        <w:pStyle w:val="Heading2"/>
      </w:pPr>
      <w:r>
        <w:t>9. The web portal, on desktop and phone</w:t>
      </w:r>
    </w:p>
    <w:p>
      <w:r>
        <w:rPr>
          <w:rFonts w:ascii="Calibri" w:hAnsi="Calibri"/>
        </w:rPr>
        <w:t>One responsive application — phone, tablet, laptop — with no separate mobile site and no separate application to maintain.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4F81BD"/>
          <w:left w:val="single" w:sz="8" w:color="4F81BD"/>
          <w:bottom w:val="single" w:sz="8" w:color="4F81BD"/>
          <w:right w:val="single" w:sz="8" w:color="4F81BD"/>
          <w:insideH w:val="single" w:sz="4" w:color="4F81BD"/>
          <w:insideV w:val="single" w:sz="4" w:color="4F81BD"/>
        </w:tblBorders>
        <w:tblLayout w:type="fixed"/>
      </w:tblPr>
      <w:tblGrid>
        <w:gridCol w:w="2980"/>
        <w:gridCol w:w="7550"/>
      </w:tblGrid>
      <w:tr>
        <w:trPr>
          <w:cantSplit/>
          <w:tblHeader w:val="true"/>
        </w:trPr>
        <w:tc>
          <w:tcPr>
            <w:tcW w:type="dxa" w:w="298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Screen</w:t>
            </w:r>
          </w:p>
        </w:tc>
        <w:tc>
          <w:tcPr>
            <w:tcW w:type="dxa" w:w="755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Contents</w:t>
            </w:r>
          </w:p>
        </w:tc>
      </w:tr>
      <w:tr>
        <w:trPr>
          <w:cantSplit/>
        </w:trPr>
        <w:tc>
          <w:tcPr>
            <w:tcW w:type="dxa" w:w="2980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Corridor map</w:t>
            </w:r>
          </w:p>
        </w:tc>
        <w:tc>
          <w:tcPr>
            <w:tcW w:type="dxa" w:w="7550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Every station on a map, live readings shown against their thresholds, colour-coded status, system-health summary and a station-status table. Click a site for its detail — the top-level view MTS asked for</w:t>
            </w:r>
          </w:p>
        </w:tc>
      </w:tr>
      <w:tr>
        <w:trPr>
          <w:cantSplit/>
        </w:trPr>
        <w:tc>
          <w:tcPr>
            <w:tcW w:type="dxa" w:w="298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Station detail</w:t>
            </w:r>
          </w:p>
        </w:tc>
        <w:tc>
          <w:tcPr>
            <w:tcW w:type="dxa" w:w="7550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All sensors for that location, live and historical, with thresholds drawn on the charts</w:t>
            </w:r>
          </w:p>
        </w:tc>
      </w:tr>
      <w:tr>
        <w:trPr>
          <w:cantSplit/>
        </w:trPr>
        <w:tc>
          <w:tcPr>
            <w:tcW w:type="dxa" w:w="2980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Trends</w:t>
            </w:r>
          </w:p>
        </w:tc>
        <w:tc>
          <w:tcPr>
            <w:tcW w:type="dxa" w:w="7550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Time-series for wind (mean and gust), rainfall intensity, temperature, humidity and level, with threshold lines and flexible date ranges</w:t>
            </w:r>
          </w:p>
        </w:tc>
      </w:tr>
      <w:tr>
        <w:trPr>
          <w:cantSplit/>
        </w:trPr>
        <w:tc>
          <w:tcPr>
            <w:tcW w:type="dxa" w:w="298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Flood event</w:t>
            </w:r>
          </w:p>
        </w:tc>
        <w:tc>
          <w:tcPr>
            <w:tcW w:type="dxa" w:w="7550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Water-level series for adjacent locations, pump auto-start markers, pump status, affected-vicinity inset, timestamped event log</w:t>
            </w:r>
          </w:p>
        </w:tc>
      </w:tr>
      <w:tr>
        <w:trPr>
          <w:cantSplit/>
        </w:trPr>
        <w:tc>
          <w:tcPr>
            <w:tcW w:type="dxa" w:w="2980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Marrickville pump station</w:t>
            </w:r>
          </w:p>
        </w:tc>
        <w:tc>
          <w:tcPr>
            <w:tcW w:type="dxa" w:w="7550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 xml:space="preserve">Live sensors, level trend against pump-start and high-high lines, duty/standby status and condition, </w:t>
            </w:r>
            <w:r>
              <w:rPr>
                <w:rFonts w:ascii="Calibri" w:hAnsi="Calibri"/>
                <w:b/>
                <w:sz w:val="18"/>
              </w:rPr>
              <w:t>AUTO/MANUAL toggle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alibri" w:hAnsi="Calibri"/>
                <w:b/>
                <w:sz w:val="18"/>
              </w:rPr>
              <w:t>supervised START/STOP</w:t>
            </w:r>
            <w:r>
              <w:rPr>
                <w:rFonts w:ascii="Calibri" w:hAnsi="Calibri"/>
                <w:sz w:val="18"/>
              </w:rPr>
              <w:t xml:space="preserve"> with confirmation</w:t>
            </w:r>
          </w:p>
        </w:tc>
      </w:tr>
      <w:tr>
        <w:trPr>
          <w:cantSplit/>
        </w:trPr>
        <w:tc>
          <w:tcPr>
            <w:tcW w:type="dxa" w:w="298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System health</w:t>
            </w:r>
          </w:p>
        </w:tc>
        <w:tc>
          <w:tcPr>
            <w:tcW w:type="dxa" w:w="7550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Refreshed at ≤10 minutes: inoperable, unresponsive, missing sensor or pump data, low battery and other leading indicators</w:t>
            </w:r>
          </w:p>
        </w:tc>
      </w:tr>
      <w:tr>
        <w:trPr>
          <w:cantSplit/>
        </w:trPr>
        <w:tc>
          <w:tcPr>
            <w:tcW w:type="dxa" w:w="2980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Alerts &amp; notifications</w:t>
            </w:r>
          </w:p>
        </w:tc>
        <w:tc>
          <w:tcPr>
            <w:tcW w:type="dxa" w:w="7550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Full searchable history, filter by severity / acknowledgement / location / date, unacknowledged badge, per-event acknowledge, CSV export</w:t>
            </w:r>
          </w:p>
        </w:tc>
      </w:tr>
      <w:tr>
        <w:trPr>
          <w:cantSplit/>
        </w:trPr>
        <w:tc>
          <w:tcPr>
            <w:tcW w:type="dxa" w:w="298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Historical query</w:t>
            </w:r>
          </w:p>
        </w:tc>
        <w:tc>
          <w:tcPr>
            <w:tcW w:type="dxa" w:w="7550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Point-and-click by location, sensor and date range with optional averaging — no technical knowledge, no SQL. Paged sortable results, one-click CSV export</w:t>
            </w:r>
          </w:p>
        </w:tc>
      </w:tr>
      <w:tr>
        <w:trPr>
          <w:cantSplit/>
        </w:trPr>
        <w:tc>
          <w:tcPr>
            <w:tcW w:type="dxa" w:w="2980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Administration</w:t>
            </w:r>
          </w:p>
        </w:tc>
        <w:tc>
          <w:tcPr>
            <w:tcW w:type="dxa" w:w="7550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Users, roles, station scoping, thresholds, alert wording, recipients</w:t>
            </w:r>
          </w:p>
        </w:tc>
      </w:tr>
    </w:tbl>
    <w:p/>
    <w:p>
      <w:pPr>
        <w:pStyle w:val="Heading3"/>
      </w:pPr>
      <w:r>
        <w:t>On a phone</w:t>
      </w:r>
    </w:p>
    <w:p>
      <w:r>
        <w:rPr>
          <w:rFonts w:ascii="Calibri" w:hAnsi="Calibri"/>
        </w:rPr>
        <w:t xml:space="preserve">The phone layout is deliberately </w:t>
      </w:r>
      <w:r>
        <w:rPr>
          <w:rFonts w:ascii="Calibri" w:hAnsi="Calibri"/>
          <w:b/>
        </w:rPr>
        <w:t>simple and straightforward, with minimal interaction</w:t>
      </w:r>
      <w:r>
        <w:rPr>
          <w:rFonts w:ascii="Calibri" w:hAnsi="Calibri"/>
        </w:rPr>
        <w:t xml:space="preserve"> — it is what an on-call person needs at two in the morning, not the full operations console:</w:t>
      </w:r>
    </w:p>
    <w:p>
      <w:pPr>
        <w:pStyle w:val="ListBullet"/>
      </w:pPr>
      <w:r>
        <w:rPr>
          <w:rFonts w:ascii="Calibri" w:hAnsi="Calibri"/>
        </w:rPr>
        <w:t>the alert that woke them, in full, with a link straight to the event;</w:t>
      </w:r>
    </w:p>
    <w:p>
      <w:pPr>
        <w:pStyle w:val="ListBullet"/>
      </w:pPr>
      <w:r>
        <w:rPr>
          <w:rFonts w:ascii="Calibri" w:hAnsi="Calibri"/>
        </w:rPr>
        <w:t>acknowledgement, recorded against their name;</w:t>
      </w:r>
    </w:p>
    <w:p>
      <w:pPr>
        <w:pStyle w:val="ListBullet"/>
      </w:pPr>
      <w:r>
        <w:rPr>
          <w:rFonts w:ascii="Calibri" w:hAnsi="Calibri"/>
        </w:rPr>
        <w:t>the corridor map and the live readings for any station;</w:t>
      </w:r>
    </w:p>
    <w:p>
      <w:pPr>
        <w:pStyle w:val="ListBullet"/>
      </w:pPr>
      <w:r>
        <w:rPr>
          <w:rFonts w:ascii="Calibri" w:hAnsi="Calibri"/>
        </w:rPr>
        <w:t>supervised pump control for authorised roles, with confirmation.</w:t>
      </w:r>
    </w:p>
    <w:p>
      <w:r>
        <w:rPr>
          <w:rFonts w:ascii="Calibri" w:hAnsi="Calibri"/>
        </w:rPr>
        <w:t>Everything else — administration, bulk history, reporting — remains available but is designed for a desk.</w:t>
      </w:r>
    </w:p>
    <w:p>
      <w:pPr>
        <w:pStyle w:val="Heading3"/>
      </w:pPr>
      <w:r>
        <w:t>Users and roles</w:t>
      </w:r>
    </w:p>
    <w:p>
      <w:r>
        <w:rPr>
          <w:rFonts w:ascii="Calibri" w:hAnsi="Calibri"/>
        </w:rPr>
        <w:t xml:space="preserve">Twenty or more named logins, each individually authenticated, with </w:t>
      </w:r>
      <w:r>
        <w:rPr>
          <w:rFonts w:ascii="Calibri" w:hAnsi="Calibri"/>
          <w:b/>
        </w:rPr>
        <w:t>no shared accounts</w:t>
      </w:r>
      <w:r>
        <w:rPr>
          <w:rFonts w:ascii="Calibri" w:hAnsi="Calibri"/>
        </w:rPr>
        <w:t xml:space="preserve">. Rather than granting permissions one by one, the administrator assigns each user one or more </w:t>
      </w:r>
      <w:r>
        <w:rPr>
          <w:rFonts w:ascii="Calibri" w:hAnsi="Calibri"/>
          <w:b/>
        </w:rPr>
        <w:t>roles</w:t>
      </w:r>
      <w:r>
        <w:rPr>
          <w:rFonts w:ascii="Calibri" w:hAnsi="Calibri"/>
        </w:rPr>
        <w:t xml:space="preserve">; each role bundles a defined set of permissions following least privilege. A user may hold more than one, and every user's access is </w:t>
      </w:r>
      <w:r>
        <w:rPr>
          <w:rFonts w:ascii="Calibri" w:hAnsi="Calibri"/>
          <w:b/>
        </w:rPr>
        <w:t>scoped to specific stations or areas</w:t>
      </w:r>
      <w:r>
        <w:rPr>
          <w:rFonts w:ascii="Calibri" w:hAnsi="Calibri"/>
        </w:rPr>
        <w:t>, so people see only what is relevant to them.</w:t>
      </w:r>
    </w:p>
    <w:p>
      <w:r>
        <w:rPr>
          <w:rFonts w:ascii="Calibri" w:hAnsi="Calibri"/>
        </w:rPr>
        <w:t xml:space="preserve">The six standard roles below are provided, can be tailored, and </w:t>
      </w:r>
      <w:r>
        <w:rPr>
          <w:rFonts w:ascii="Calibri" w:hAnsi="Calibri"/>
          <w:b/>
        </w:rPr>
        <w:t>additional custom roles can be created</w:t>
      </w:r>
      <w:r>
        <w:rPr>
          <w:rFonts w:ascii="Calibri" w:hAnsi="Calibri"/>
        </w:rPr>
        <w:t xml:space="preserve"> to match the MTS operating model.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4F81BD"/>
          <w:left w:val="single" w:sz="8" w:color="4F81BD"/>
          <w:bottom w:val="single" w:sz="8" w:color="4F81BD"/>
          <w:right w:val="single" w:sz="8" w:color="4F81BD"/>
          <w:insideH w:val="single" w:sz="4" w:color="4F81BD"/>
          <w:insideV w:val="single" w:sz="4" w:color="4F81BD"/>
        </w:tblBorders>
        <w:tblLayout w:type="fixed"/>
      </w:tblPr>
      <w:tblGrid>
        <w:gridCol w:w="2788"/>
        <w:gridCol w:w="2238"/>
        <w:gridCol w:w="5503"/>
      </w:tblGrid>
      <w:tr>
        <w:trPr>
          <w:cantSplit/>
          <w:tblHeader w:val="true"/>
        </w:trPr>
        <w:tc>
          <w:tcPr>
            <w:tcW w:type="dxa" w:w="278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Role</w:t>
            </w:r>
          </w:p>
        </w:tc>
        <w:tc>
          <w:tcPr>
            <w:tcW w:type="dxa" w:w="223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Typical user</w:t>
            </w:r>
          </w:p>
        </w:tc>
        <w:tc>
          <w:tcPr>
            <w:tcW w:type="dxa" w:w="550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Key permissions</w:t>
            </w:r>
          </w:p>
        </w:tc>
      </w:tr>
      <w:tr>
        <w:trPr>
          <w:cantSplit/>
        </w:trPr>
        <w:tc>
          <w:tcPr>
            <w:tcW w:type="dxa" w:w="2788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Administrator</w:t>
            </w:r>
          </w:p>
        </w:tc>
        <w:tc>
          <w:tcPr>
            <w:tcW w:type="dxa" w:w="2238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System owner / IT</w:t>
            </w:r>
          </w:p>
        </w:tc>
        <w:tc>
          <w:tcPr>
            <w:tcW w:type="dxa" w:w="5503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Full control: manage users and roles, configure thresholds and alert recipients, and all view and control functions</w:t>
            </w:r>
          </w:p>
        </w:tc>
      </w:tr>
      <w:tr>
        <w:trPr>
          <w:cantSplit/>
        </w:trPr>
        <w:tc>
          <w:tcPr>
            <w:tcW w:type="dxa" w:w="278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Operator</w:t>
            </w:r>
          </w:p>
        </w:tc>
        <w:tc>
          <w:tcPr>
            <w:tcW w:type="dxa" w:w="2238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OCC / control room</w:t>
            </w:r>
          </w:p>
        </w:tc>
        <w:tc>
          <w:tcPr>
            <w:tcW w:type="dxa" w:w="5503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View all live dashboards and history, receive and acknowledge alerts, and initiate operational responses; cannot manage users or change configuration</w:t>
            </w:r>
          </w:p>
        </w:tc>
      </w:tr>
      <w:tr>
        <w:trPr>
          <w:cantSplit/>
        </w:trPr>
        <w:tc>
          <w:tcPr>
            <w:tcW w:type="dxa" w:w="2788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Pump Controller</w:t>
            </w:r>
          </w:p>
        </w:tc>
        <w:tc>
          <w:tcPr>
            <w:tcW w:type="dxa" w:w="2238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Authorised operations staff</w:t>
            </w:r>
          </w:p>
        </w:tc>
        <w:tc>
          <w:tcPr>
            <w:tcW w:type="dxa" w:w="5503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All Operator permissions, plus supervised manual pump start/stop (MANUAL mode with confirmation) at permitted stations</w:t>
            </w:r>
          </w:p>
        </w:tc>
      </w:tr>
      <w:tr>
        <w:trPr>
          <w:cantSplit/>
        </w:trPr>
        <w:tc>
          <w:tcPr>
            <w:tcW w:type="dxa" w:w="278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Maintainer / Technician</w:t>
            </w:r>
          </w:p>
        </w:tc>
        <w:tc>
          <w:tcPr>
            <w:tcW w:type="dxa" w:w="2238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Field and maintenance</w:t>
            </w:r>
          </w:p>
        </w:tc>
        <w:tc>
          <w:tcPr>
            <w:tcW w:type="dxa" w:w="5503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Device and power health, calibration and fault flags, and maintenance mode; acknowledge maintenance alerts; limited configuration</w:t>
            </w:r>
          </w:p>
        </w:tc>
      </w:tr>
      <w:tr>
        <w:trPr>
          <w:cantSplit/>
        </w:trPr>
        <w:tc>
          <w:tcPr>
            <w:tcW w:type="dxa" w:w="2788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Analyst / Reporting</w:t>
            </w:r>
          </w:p>
        </w:tc>
        <w:tc>
          <w:tcPr>
            <w:tcW w:type="dxa" w:w="2238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Engineering and reporting</w:t>
            </w:r>
          </w:p>
        </w:tc>
        <w:tc>
          <w:tcPr>
            <w:tcW w:type="dxa" w:w="5503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Historical query engine, trend analysis and CSV export; no live control</w:t>
            </w:r>
          </w:p>
        </w:tc>
      </w:tr>
      <w:tr>
        <w:trPr>
          <w:cantSplit/>
        </w:trPr>
        <w:tc>
          <w:tcPr>
            <w:tcW w:type="dxa" w:w="278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Viewer</w:t>
            </w:r>
          </w:p>
        </w:tc>
        <w:tc>
          <w:tcPr>
            <w:tcW w:type="dxa" w:w="2238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Stakeholders</w:t>
            </w:r>
          </w:p>
        </w:tc>
        <w:tc>
          <w:tcPr>
            <w:tcW w:type="dxa" w:w="5503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View dashboards and history only; no actions or changes</w:t>
            </w:r>
          </w:p>
        </w:tc>
      </w:tr>
    </w:tbl>
    <w:p/>
    <w:p>
      <w:pPr>
        <w:pStyle w:val="Heading3"/>
      </w:pPr>
      <w:r>
        <w:t>Administering them</w:t>
      </w:r>
    </w:p>
    <w:p>
      <w:r>
        <w:rPr>
          <w:rFonts w:ascii="Calibri" w:hAnsi="Calibri"/>
        </w:rPr>
        <w:t>MTS manages all of this from the administration console, with no dependency on us for day-to-day account changes:</w:t>
      </w:r>
    </w:p>
    <w:p>
      <w:pPr>
        <w:pStyle w:val="ListBullet"/>
      </w:pPr>
      <w:r>
        <w:rPr>
          <w:rFonts w:ascii="Calibri" w:hAnsi="Calibri"/>
          <w:b/>
        </w:rPr>
        <w:t>Add a user</w:t>
      </w:r>
      <w:r>
        <w:rPr>
          <w:rFonts w:ascii="Calibri" w:hAnsi="Calibri"/>
        </w:rPr>
        <w:t xml:space="preserve"> — name, contact details, one or more roles, and the stations or areas they may access.</w:t>
      </w:r>
    </w:p>
    <w:p>
      <w:pPr>
        <w:pStyle w:val="ListBullet"/>
      </w:pPr>
      <w:r>
        <w:rPr>
          <w:rFonts w:ascii="Calibri" w:hAnsi="Calibri"/>
          <w:b/>
        </w:rPr>
        <w:t>Edit a user</w:t>
      </w:r>
      <w:r>
        <w:rPr>
          <w:rFonts w:ascii="Calibri" w:hAnsi="Calibri"/>
        </w:rPr>
        <w:t xml:space="preserve"> — roles, station scope, contact details and notification preferences, changeable at any time.</w:t>
      </w:r>
    </w:p>
    <w:p>
      <w:pPr>
        <w:pStyle w:val="ListBullet"/>
      </w:pPr>
      <w:r>
        <w:rPr>
          <w:rFonts w:ascii="Calibri" w:hAnsi="Calibri"/>
          <w:b/>
        </w:rPr>
        <w:t>Suspend or remove</w:t>
      </w:r>
      <w:r>
        <w:rPr>
          <w:rFonts w:ascii="Calibri" w:hAnsi="Calibri"/>
        </w:rPr>
        <w:t xml:space="preserve"> — access is revoked instantly. A suspended account is blocked from signing in </w:t>
      </w:r>
      <w:r>
        <w:rPr>
          <w:rFonts w:ascii="Calibri" w:hAnsi="Calibri"/>
          <w:b/>
        </w:rPr>
        <w:t>but keeps its audit history</w:t>
      </w:r>
      <w:r>
        <w:rPr>
          <w:rFonts w:ascii="Calibri" w:hAnsi="Calibri"/>
        </w:rPr>
        <w:t>, so somebody leaving never erases the record of what they did.</w:t>
      </w:r>
    </w:p>
    <w:p>
      <w:pPr>
        <w:pStyle w:val="ListBullet"/>
      </w:pPr>
      <w:r>
        <w:rPr>
          <w:rFonts w:ascii="Calibri" w:hAnsi="Calibri"/>
          <w:b/>
        </w:rPr>
        <w:t>Scale</w:t>
      </w:r>
      <w:r>
        <w:rPr>
          <w:rFonts w:ascii="Calibri" w:hAnsi="Calibri"/>
        </w:rPr>
        <w:t xml:space="preserve"> — 20 or more concurrent logins, with no per-seat licensing constraint.</w:t>
      </w:r>
    </w:p>
    <w:p>
      <w:pPr>
        <w:pStyle w:val="Heading3"/>
      </w:pPr>
      <w:r>
        <w:t>Accountability</w:t>
      </w:r>
    </w:p>
    <w:p>
      <w:r>
        <w:rPr>
          <w:rFonts w:ascii="Calibri" w:hAnsi="Calibri"/>
        </w:rPr>
        <w:t>Because every account is named, every action is attributable to a specific person.</w:t>
      </w:r>
    </w:p>
    <w:p>
      <w:pPr>
        <w:pStyle w:val="ListBullet"/>
      </w:pPr>
      <w:r>
        <w:rPr>
          <w:rFonts w:ascii="Calibri" w:hAnsi="Calibri"/>
          <w:b/>
        </w:rPr>
        <w:t>Named accountability.</w:t>
      </w:r>
      <w:r>
        <w:rPr>
          <w:rFonts w:ascii="Calibri" w:hAnsi="Calibri"/>
        </w:rPr>
        <w:t xml:space="preserve"> No shared logins; every login and significant action is tied to a named user.</w:t>
      </w:r>
    </w:p>
    <w:p>
      <w:pPr>
        <w:pStyle w:val="ListBullet"/>
      </w:pPr>
      <w:r>
        <w:rPr>
          <w:rFonts w:ascii="Calibri" w:hAnsi="Calibri"/>
          <w:b/>
        </w:rPr>
        <w:t>Full audit trail.</w:t>
      </w:r>
      <w:r>
        <w:rPr>
          <w:rFonts w:ascii="Calibri" w:hAnsi="Calibri"/>
        </w:rPr>
        <w:t xml:space="preserve"> User additions and removals, role changes, threshold and configuration edits, alert acknowledgements and manual pump start/stop — each recorded with user, timestamp and detail, and both queryable and exportable.</w:t>
      </w:r>
    </w:p>
    <w:p>
      <w:pPr>
        <w:pStyle w:val="ListBullet"/>
      </w:pPr>
      <w:r>
        <w:rPr>
          <w:rFonts w:ascii="Calibri" w:hAnsi="Calibri"/>
          <w:b/>
        </w:rPr>
        <w:t>Separation of duties and least privilege.</w:t>
      </w:r>
      <w:r>
        <w:rPr>
          <w:rFonts w:ascii="Calibri" w:hAnsi="Calibri"/>
        </w:rPr>
        <w:t xml:space="preserve"> Sensitive actions such as manual pump control are restricted to authorised roles and require MANUAL mode plus confirmation.</w:t>
      </w:r>
    </w:p>
    <w:p>
      <w:pPr>
        <w:pStyle w:val="ListBullet"/>
      </w:pPr>
      <w:r>
        <w:rPr>
          <w:rFonts w:ascii="Calibri" w:hAnsi="Calibri"/>
          <w:b/>
        </w:rPr>
        <w:t>Session and password security.</w:t>
      </w:r>
      <w:r>
        <w:rPr>
          <w:rFonts w:ascii="Calibri" w:hAnsi="Calibri"/>
        </w:rPr>
        <w:t xml:space="preserve"> Enforced password policy and account lockout, encrypted sessions, automatic inactivity timeout, and a </w:t>
      </w:r>
      <w:r>
        <w:rPr>
          <w:rFonts w:ascii="Calibri" w:hAnsi="Calibri"/>
          <w:b/>
        </w:rPr>
        <w:t>permission re-check on every action</w:t>
      </w:r>
      <w:r>
        <w:rPr>
          <w:rFonts w:ascii="Calibri" w:hAnsi="Calibri"/>
        </w:rPr>
        <w:t xml:space="preserve"> rather than only at sign-in — so a role withdrawn takes effect immediately, not at the user's next login.</w:t>
      </w:r>
    </w:p>
    <w:p>
      <w:pPr>
        <w:pStyle w:val="Heading2"/>
      </w:pPr>
      <w:r>
        <w:t>10. Notifications — how an alert reaches a person</w:t>
      </w:r>
    </w:p>
    <w:p>
      <w:r>
        <w:rPr>
          <w:rFonts w:ascii="Calibri" w:hAnsi="Calibri"/>
        </w:rPr>
        <w:t>Three channels, all built in Month 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4F81BD"/>
          <w:left w:val="single" w:sz="8" w:color="4F81BD"/>
          <w:bottom w:val="single" w:sz="8" w:color="4F81BD"/>
          <w:right w:val="single" w:sz="8" w:color="4F81BD"/>
          <w:insideH w:val="single" w:sz="4" w:color="4F81BD"/>
          <w:insideV w:val="single" w:sz="4" w:color="4F81BD"/>
        </w:tblBorders>
        <w:tblLayout w:type="fixed"/>
      </w:tblPr>
      <w:tblGrid>
        <w:gridCol w:w="1771"/>
        <w:gridCol w:w="8758"/>
      </w:tblGrid>
      <w:tr>
        <w:trPr>
          <w:cantSplit/>
          <w:tblHeader w:val="true"/>
        </w:trPr>
        <w:tc>
          <w:tcPr>
            <w:tcW w:type="dxa" w:w="1771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Channel</w:t>
            </w:r>
          </w:p>
        </w:tc>
        <w:tc>
          <w:tcPr>
            <w:tcW w:type="dxa" w:w="875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Behaviour</w:t>
            </w:r>
          </w:p>
        </w:tc>
      </w:tr>
      <w:tr>
        <w:trPr>
          <w:cantSplit/>
        </w:trPr>
        <w:tc>
          <w:tcPr>
            <w:tcW w:type="dxa" w:w="1771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On screen</w:t>
            </w:r>
          </w:p>
        </w:tc>
        <w:tc>
          <w:tcPr>
            <w:tcW w:type="dxa" w:w="8758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Live over WebSocket — pop-up, unacknowledged badge, audible option for control-room use</w:t>
            </w:r>
          </w:p>
        </w:tc>
      </w:tr>
      <w:tr>
        <w:trPr>
          <w:cantSplit/>
        </w:trPr>
        <w:tc>
          <w:tcPr>
            <w:tcW w:type="dxa" w:w="1771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Web push</w:t>
            </w:r>
          </w:p>
        </w:tc>
        <w:tc>
          <w:tcPr>
            <w:tcW w:type="dxa" w:w="8758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 xml:space="preserve">Delivered to the device </w:t>
            </w:r>
            <w:r>
              <w:rPr>
                <w:rFonts w:ascii="Calibri" w:hAnsi="Calibri"/>
                <w:b/>
                <w:sz w:val="18"/>
              </w:rPr>
              <w:t>whether or not the portal is open</w:t>
            </w:r>
            <w:r>
              <w:rPr>
                <w:rFonts w:ascii="Calibri" w:hAnsi="Calibri"/>
                <w:sz w:val="18"/>
              </w:rPr>
              <w:t>. Arrives on the lock screen like any other notification, and opens straight to the event when tapped</w:t>
            </w:r>
          </w:p>
        </w:tc>
      </w:tr>
      <w:tr>
        <w:trPr>
          <w:cantSplit/>
        </w:trPr>
        <w:tc>
          <w:tcPr>
            <w:tcW w:type="dxa" w:w="1771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Email</w:t>
            </w:r>
          </w:p>
        </w:tc>
        <w:tc>
          <w:tcPr>
            <w:tcW w:type="dxa" w:w="8758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Full alert content with the same deep link, for the record and for recipients who prefer it</w:t>
            </w:r>
          </w:p>
        </w:tc>
      </w:tr>
    </w:tbl>
    <w:p/>
    <w:p>
      <w:r>
        <w:rPr>
          <w:rFonts w:ascii="Calibri" w:hAnsi="Calibri"/>
        </w:rPr>
        <w:t xml:space="preserve">Each alert carries date, time, </w:t>
      </w:r>
      <w:r>
        <w:rPr>
          <w:rFonts w:ascii="Calibri" w:hAnsi="Calibri"/>
          <w:b/>
        </w:rPr>
        <w:t>track (up/down)</w:t>
      </w:r>
      <w:r>
        <w:rPr>
          <w:rFonts w:ascii="Calibri" w:hAnsi="Calibri"/>
        </w:rPr>
        <w:t xml:space="preserve">, </w:t>
      </w:r>
      <w:r>
        <w:rPr>
          <w:rFonts w:ascii="Calibri" w:hAnsi="Calibri"/>
          <w:b/>
        </w:rPr>
        <w:t>rail (up/down)</w:t>
      </w:r>
      <w:r>
        <w:rPr>
          <w:rFonts w:ascii="Calibri" w:hAnsi="Calibri"/>
        </w:rPr>
        <w:t xml:space="preserve">, </w:t>
      </w:r>
      <w:r>
        <w:rPr>
          <w:rFonts w:ascii="Calibri" w:hAnsi="Calibri"/>
          <w:b/>
        </w:rPr>
        <w:t>kilometrage</w:t>
      </w:r>
      <w:r>
        <w:rPr>
          <w:rFonts w:ascii="Calibri" w:hAnsi="Calibri"/>
        </w:rPr>
        <w:t xml:space="preserve">, and a </w:t>
      </w:r>
      <w:r>
        <w:rPr>
          <w:rFonts w:ascii="Calibri" w:hAnsi="Calibri"/>
          <w:b/>
        </w:rPr>
        <w:t>direct hyperlink to the event</w:t>
      </w:r>
      <w:r>
        <w:rPr>
          <w:rFonts w:ascii="Calibri" w:hAnsi="Calibri"/>
        </w:rPr>
        <w:t xml:space="preserve">. For standing-water conditions it carries a </w:t>
      </w:r>
      <w:r>
        <w:rPr>
          <w:rFonts w:ascii="Calibri" w:hAnsi="Calibri"/>
          <w:b/>
        </w:rPr>
        <w:t>one-click PTZ camera link</w:t>
      </w:r>
      <w:r>
        <w:rPr>
          <w:rFonts w:ascii="Calibri" w:hAnsi="Calibri"/>
        </w:rPr>
        <w:t>, on screen, in the push notification and in the email.</w:t>
      </w:r>
    </w:p>
    <w:p>
      <w:pPr>
        <w:pStyle w:val="Heading3"/>
      </w:pPr>
      <w:r>
        <w:t>Meeting the five-minute obligation</w:t>
      </w:r>
    </w:p>
    <w:p>
      <w:r>
        <w:rPr>
          <w:rFonts w:ascii="Calibri" w:hAnsi="Calibri"/>
        </w:rPr>
        <w:t xml:space="preserve">The logger's default transmission interval is five minutes, which would consume the entire alert budget on its own. It does not, because your specification also provides an </w:t>
      </w:r>
      <w:r>
        <w:rPr>
          <w:rFonts w:ascii="Calibri" w:hAnsi="Calibri"/>
          <w:b/>
        </w:rPr>
        <w:t>immediate event-triggered transmission on any threshold breach</w:t>
      </w:r>
      <w:r>
        <w:rPr>
          <w:rFonts w:ascii="Calibri" w:hAnsi="Calibri"/>
        </w:rPr>
        <w:t xml:space="preserve"> — so a breach is sent the moment it occurs rather than waiting for the next batch.</w:t>
      </w:r>
    </w:p>
    <w:p>
      <w:r>
        <w:rPr>
          <w:rFonts w:ascii="Calibri" w:hAnsi="Calibri"/>
        </w:rPr>
        <w:t>Our budget is therefore measured from the arrival of that event message: parse, evaluate, raise and dispatch, which is seconds rather than minutes. We will measure and report it end to end in Month 3 rather than assert it.</w:t>
      </w:r>
    </w:p>
    <w:p>
      <w:pPr>
        <w:pStyle w:val="Heading3"/>
      </w:pPr>
      <w:r>
        <w:t>SMS is not included</w:t>
      </w:r>
    </w:p>
    <w:p>
      <w:r>
        <w:rPr>
          <w:rFonts w:ascii="Calibri" w:hAnsi="Calibri"/>
        </w:rPr>
        <w:t>At your direction SMS is out of scope, since web push reaches the user without the portal being open. This removes provider procurement, per-message cost and the associated contractual arrangements.</w:t>
      </w:r>
    </w:p>
    <w:p>
      <w:r>
        <w:rPr>
          <w:rFonts w:ascii="Calibri" w:hAnsi="Calibri"/>
        </w:rPr>
        <w:t xml:space="preserve">We will nonetheless build the delivery layer with </w:t>
      </w:r>
      <w:r>
        <w:rPr>
          <w:rFonts w:ascii="Calibri" w:hAnsi="Calibri"/>
          <w:b/>
        </w:rPr>
        <w:t>one channel interface behind which each transport sits</w:t>
      </w:r>
      <w:r>
        <w:rPr>
          <w:rFonts w:ascii="Calibri" w:hAnsi="Calibri"/>
        </w:rPr>
        <w:t>. Adding SMS later is then a new transport and a recipient setting — not a redesign of the alert engine.</w:t>
      </w:r>
    </w:p>
    <w:p>
      <w:pPr>
        <w:pStyle w:val="Heading3"/>
      </w:pPr>
      <w:r>
        <w:t>One practical note on web push</w:t>
      </w:r>
    </w:p>
    <w:p>
      <w:r>
        <w:rPr>
          <w:rFonts w:ascii="Calibri" w:hAnsi="Calibri"/>
        </w:rPr>
        <w:t xml:space="preserve">Web push works on Chrome, Edge and Firefox on desktop and Android with no special step. </w:t>
      </w:r>
      <w:r>
        <w:rPr>
          <w:rFonts w:ascii="Calibri" w:hAnsi="Calibri"/>
          <w:b/>
        </w:rPr>
        <w:t>On iPhone and iPad it requires the portal to be added to the Home Screen once</w:t>
      </w:r>
      <w:r>
        <w:rPr>
          <w:rFonts w:ascii="Calibri" w:hAnsi="Calibri"/>
        </w:rPr>
        <w:t xml:space="preserve"> (an iOS platform requirement, 16.4 and later); after that it behaves exactly like an app notification. It is a one-time, thirty-second step per device. We will cover it in the user guide and in training, and the portal will prompt for it on first visit from an iOS device.</w:t>
      </w:r>
    </w:p>
    <w:p>
      <w:r>
        <w:rPr>
          <w:rFonts w:ascii="Calibri" w:hAnsi="Calibri"/>
        </w:rPr>
        <w:t>We raise it now rather than at go-live because on-call staff are the people who depend on this channel most.</w:t>
      </w:r>
    </w:p>
    <w:p>
      <w:pPr>
        <w:pStyle w:val="Heading2"/>
      </w:pPr>
      <w:r>
        <w:t>11. The three months</w:t>
      </w:r>
    </w:p>
    <w:p>
      <w:r>
        <w:rPr>
          <w:rFonts w:ascii="Calibri" w:hAnsi="Calibri"/>
        </w:rPr>
        <w:t xml:space="preserve">Three months from kickoff, twelve working weeks. </w:t>
      </w:r>
      <w:r>
        <w:rPr>
          <w:rFonts w:ascii="Calibri" w:hAnsi="Calibri"/>
          <w:b/>
        </w:rPr>
        <w:t>Each month ends with a release you can use</w:t>
      </w:r>
      <w:r>
        <w:rPr>
          <w:rFonts w:ascii="Calibri" w:hAnsi="Calibri"/>
        </w:rPr>
        <w:t>, not a progress report — so the system is in front of its users from Month 1 and shaped by their feedback while there is still time to act on it.</w:t>
      </w:r>
    </w:p>
    <w:p>
      <w:r>
        <w:rPr>
          <w:rFonts w:ascii="Calibri" w:hAnsi="Calibri"/>
        </w:rPr>
        <w:t>That is only possible because we are not starting from an empty repository. We already operate a production platform for Observator that ingests weather-station files over SFTP, stores and aggregates them, evaluates alert rules and serves a responsive Next.js portal. The M1 system is a substantial extension of that platform — the pump supervision, the vigilance logic, the flood state machine and the corridor map are new — but the ingestion, storage, aggregation, authentication and charting foundations already exist and are proven in service.</w:t>
      </w:r>
    </w:p>
    <w:p>
      <w:r>
        <w:rPr>
          <w:rFonts w:ascii="Calibri" w:hAnsi="Calibri"/>
          <w:b/>
        </w:rPr>
        <w:t>What makes three months work.</w:t>
      </w:r>
      <w:r>
        <w:rPr>
          <w:rFonts w:ascii="Calibri" w:hAnsi="Calibri"/>
        </w:rPr>
        <w:t xml:space="preserve"> The schedule has no slack for waiting on answers, so the items in §13 marked </w:t>
      </w:r>
      <w:r>
        <w:rPr>
          <w:rFonts w:ascii="Calibri" w:hAnsi="Calibri"/>
        </w:rPr>
        <w:t>week 1</w:t>
      </w:r>
      <w:r>
        <w:rPr>
          <w:rFonts w:ascii="Calibri" w:hAnsi="Calibri"/>
        </w:rPr>
        <w:t xml:space="preserve"> are genuinely week 1. Give us the logger's real output format and the confirmed thresholds on time and this plan holds; a fortnight's delay on either moves the end date by the same fortnight. We would rather say that now than discover it in Month 3.</w:t>
      </w:r>
    </w:p>
    <w:p>
      <w:pPr>
        <w:pStyle w:val="Heading3"/>
      </w:pPr>
      <w:r>
        <w:t>Month 1 — Decisions, ingest and data</w:t>
      </w:r>
    </w:p>
    <w:p>
      <w:r>
        <w:rPr>
          <w:rFonts w:ascii="Calibri" w:hAnsi="Calibri"/>
          <w:b/>
        </w:rPr>
        <w:t>Release 1: readings from all eight loggers, arriving and visible.</w:t>
      </w:r>
    </w:p>
    <w:p>
      <w:r>
        <w:rPr>
          <w:rFonts w:ascii="Calibri" w:hAnsi="Calibri"/>
        </w:rPr>
        <w:t xml:space="preserve">Month 1 opens with </w:t>
      </w:r>
      <w:r>
        <w:rPr>
          <w:rFonts w:ascii="Calibri" w:hAnsi="Calibri"/>
          <w:b/>
        </w:rPr>
        <w:t>asking questions and writing the answers down</w:t>
      </w:r>
      <w:r>
        <w:rPr>
          <w:rFonts w:ascii="Calibri" w:hAnsi="Calibri"/>
        </w:rPr>
        <w:t>. Most of what goes wrong in a system like this is decided in the first fortnight and discovered in the last — a retention rule chosen carelessly, an alert path nobody agreed on, a data format assumed rather than seen.</w:t>
      </w:r>
    </w:p>
    <w:p>
      <w:r>
        <w:rPr>
          <w:rFonts w:ascii="Calibri" w:hAnsi="Calibri"/>
        </w:rPr>
        <w:t>Topics we will close out together in the first week:</w:t>
      </w:r>
    </w:p>
    <w:p>
      <w:pPr>
        <w:pStyle w:val="ListBullet"/>
      </w:pPr>
      <w:r>
        <w:rPr>
          <w:rFonts w:ascii="Calibri" w:hAnsi="Calibri"/>
          <w:b/>
        </w:rPr>
        <w:t>Data</w:t>
      </w:r>
      <w:r>
        <w:rPr>
          <w:rFonts w:ascii="Calibri" w:hAnsi="Calibri"/>
        </w:rPr>
        <w:t>: exact logger output format, transmission method, and what a "complete" message looks like.</w:t>
      </w:r>
    </w:p>
    <w:p>
      <w:pPr>
        <w:pStyle w:val="ListBullet"/>
      </w:pPr>
      <w:r>
        <w:rPr>
          <w:rFonts w:ascii="Calibri" w:hAnsi="Calibri"/>
          <w:b/>
        </w:rPr>
        <w:t>Retention</w:t>
      </w:r>
      <w:r>
        <w:rPr>
          <w:rFonts w:ascii="Calibri" w:hAnsi="Calibri"/>
        </w:rPr>
        <w:t>: confirmation of full detail for the contract term (see §4).</w:t>
      </w:r>
    </w:p>
    <w:p>
      <w:pPr>
        <w:pStyle w:val="ListBullet"/>
      </w:pPr>
      <w:r>
        <w:rPr>
          <w:rFonts w:ascii="Calibri" w:hAnsi="Calibri"/>
          <w:b/>
        </w:rPr>
        <w:t>Alerting</w:t>
      </w:r>
      <w:r>
        <w:rPr>
          <w:rFonts w:ascii="Calibri" w:hAnsi="Calibri"/>
        </w:rPr>
        <w:t>: every threshold, dwell timer, vigilance period and the exact wording — including the values currently marked "pending confirmation".</w:t>
      </w:r>
    </w:p>
    <w:p>
      <w:pPr>
        <w:pStyle w:val="ListBullet"/>
      </w:pPr>
      <w:r>
        <w:rPr>
          <w:rFonts w:ascii="Calibri" w:hAnsi="Calibri"/>
          <w:b/>
        </w:rPr>
        <w:t>Failure behaviour</w:t>
      </w:r>
      <w:r>
        <w:rPr>
          <w:rFonts w:ascii="Calibri" w:hAnsi="Calibri"/>
        </w:rPr>
        <w:t>: what the system should do when a sensor, a link or the database is unavailable, and what it must never do.</w:t>
      </w:r>
    </w:p>
    <w:p>
      <w:pPr>
        <w:pStyle w:val="ListBullet"/>
      </w:pPr>
      <w:r>
        <w:rPr>
          <w:rFonts w:ascii="Calibri" w:hAnsi="Calibri"/>
          <w:b/>
        </w:rPr>
        <w:t>Security and residency</w:t>
      </w:r>
      <w:r>
        <w:rPr>
          <w:rFonts w:ascii="Calibri" w:hAnsi="Calibri"/>
        </w:rPr>
        <w:t>: AWS region, data residency, any MTS cyber standard to be assessed against, and MFA policy.</w:t>
      </w:r>
    </w:p>
    <w:p>
      <w:pPr>
        <w:pStyle w:val="ListBullet"/>
      </w:pPr>
      <w:r>
        <w:rPr>
          <w:rFonts w:ascii="Calibri" w:hAnsi="Calibri"/>
          <w:b/>
        </w:rPr>
        <w:t>Roles</w:t>
      </w:r>
      <w:r>
        <w:rPr>
          <w:rFonts w:ascii="Calibri" w:hAnsi="Calibri"/>
        </w:rPr>
        <w:t>: who may see what, who may acknowledge, and who may operate a pump.</w:t>
      </w:r>
    </w:p>
    <w:p>
      <w:pPr>
        <w:pStyle w:val="ListBullet"/>
      </w:pPr>
      <w:r>
        <w:rPr>
          <w:rFonts w:ascii="Calibri" w:hAnsi="Calibri"/>
          <w:b/>
        </w:rPr>
        <w:t>Integration</w:t>
      </w:r>
      <w:r>
        <w:rPr>
          <w:rFonts w:ascii="Calibri" w:hAnsi="Calibri"/>
        </w:rPr>
        <w:t>: PTZ camera access and the pump panel interface.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4F81BD"/>
          <w:left w:val="single" w:sz="8" w:color="4F81BD"/>
          <w:bottom w:val="single" w:sz="8" w:color="4F81BD"/>
          <w:right w:val="single" w:sz="8" w:color="4F81BD"/>
          <w:insideH w:val="single" w:sz="4" w:color="4F81BD"/>
          <w:insideV w:val="single" w:sz="4" w:color="4F81BD"/>
        </w:tblBorders>
        <w:tblLayout w:type="fixed"/>
      </w:tblPr>
      <w:tblGrid>
        <w:gridCol w:w="819"/>
        <w:gridCol w:w="9710"/>
      </w:tblGrid>
      <w:tr>
        <w:trPr>
          <w:cantSplit/>
          <w:tblHeader w:val="true"/>
        </w:trPr>
        <w:tc>
          <w:tcPr>
            <w:tcW w:type="dxa" w:w="81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Week</w:t>
            </w:r>
          </w:p>
        </w:tc>
        <w:tc>
          <w:tcPr>
            <w:tcW w:type="dxa" w:w="971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Deliverable</w:t>
            </w:r>
          </w:p>
        </w:tc>
      </w:tr>
      <w:tr>
        <w:trPr>
          <w:cantSplit/>
        </w:trPr>
        <w:tc>
          <w:tcPr>
            <w:tcW w:type="dxa" w:w="819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1</w:t>
            </w:r>
          </w:p>
        </w:tc>
        <w:tc>
          <w:tcPr>
            <w:tcW w:type="dxa" w:w="9710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 xml:space="preserve">Kickoff; </w:t>
            </w:r>
            <w:r>
              <w:rPr>
                <w:rFonts w:ascii="Calibri" w:hAnsi="Calibri"/>
                <w:b/>
                <w:sz w:val="18"/>
              </w:rPr>
              <w:t>architecture workshop — open questions raised and answered</w:t>
            </w:r>
            <w:r>
              <w:rPr>
                <w:rFonts w:ascii="Calibri" w:hAnsi="Calibri"/>
                <w:sz w:val="18"/>
              </w:rPr>
              <w:t>; decisions recorded with rationale; AWS accounts, environments, CI/CD; security baseline</w:t>
            </w:r>
          </w:p>
        </w:tc>
      </w:tr>
      <w:tr>
        <w:trPr>
          <w:cantSplit/>
        </w:trPr>
        <w:tc>
          <w:tcPr>
            <w:tcW w:type="dxa" w:w="81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2</w:t>
            </w:r>
          </w:p>
        </w:tc>
        <w:tc>
          <w:tcPr>
            <w:tcW w:type="dxa" w:w="9710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Lightsail SFTP box hardened: per-site chroot, key-only auth, no inbound port; ingest agent with stability gates, atomic staging, retry with backoff and permanent archive</w:t>
            </w:r>
          </w:p>
        </w:tc>
      </w:tr>
      <w:tr>
        <w:trPr>
          <w:cantSplit/>
        </w:trPr>
        <w:tc>
          <w:tcPr>
            <w:tcW w:type="dxa" w:w="819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3</w:t>
            </w:r>
          </w:p>
        </w:tc>
        <w:tc>
          <w:tcPr>
            <w:tcW w:type="dxa" w:w="9710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Rain, level, float, temperature, humidity, wind and battery/solar telemetry all parsed and stored; per-station configuration, units, calibration offsets</w:t>
            </w:r>
          </w:p>
        </w:tc>
      </w:tr>
      <w:tr>
        <w:trPr>
          <w:cantSplit/>
        </w:trPr>
        <w:tc>
          <w:tcPr>
            <w:tcW w:type="dxa" w:w="81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4</w:t>
            </w:r>
          </w:p>
        </w:tc>
        <w:tc>
          <w:tcPr>
            <w:tcW w:type="dxa" w:w="9710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 xml:space="preserve">Time-series schema, indexes, rolling minute/hour/day aggregates; </w:t>
            </w:r>
            <w:r>
              <w:rPr>
                <w:rFonts w:ascii="Calibri" w:hAnsi="Calibri"/>
                <w:b/>
                <w:sz w:val="18"/>
              </w:rPr>
              <w:t>failure drills</w:t>
            </w:r>
            <w:r>
              <w:rPr>
                <w:rFonts w:ascii="Calibri" w:hAnsi="Calibri"/>
                <w:sz w:val="18"/>
              </w:rPr>
              <w:t xml:space="preserve"> — kill the API mid-batch, take the database offline, disconnect the box, and prove nothing is lost. </w:t>
            </w:r>
            <w:r>
              <w:rPr>
                <w:rFonts w:ascii="Calibri" w:hAnsi="Calibri"/>
                <w:b/>
                <w:sz w:val="18"/>
              </w:rPr>
              <w:t>Release 1</w:t>
            </w:r>
          </w:p>
        </w:tc>
      </w:tr>
    </w:tbl>
    <w:p/>
    <w:p>
      <w:pPr>
        <w:pStyle w:val="Heading3"/>
      </w:pPr>
      <w:r>
        <w:t>Month 2 — Portal and alerting</w:t>
      </w:r>
    </w:p>
    <w:p>
      <w:r>
        <w:rPr>
          <w:rFonts w:ascii="Calibri" w:hAnsi="Calibri"/>
          <w:b/>
        </w:rPr>
        <w:t>Release 2: the corridor map, station screens, and alerts arriving on a phone.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4F81BD"/>
          <w:left w:val="single" w:sz="8" w:color="4F81BD"/>
          <w:bottom w:val="single" w:sz="8" w:color="4F81BD"/>
          <w:right w:val="single" w:sz="8" w:color="4F81BD"/>
          <w:insideH w:val="single" w:sz="4" w:color="4F81BD"/>
          <w:insideV w:val="single" w:sz="4" w:color="4F81BD"/>
        </w:tblBorders>
        <w:tblLayout w:type="fixed"/>
      </w:tblPr>
      <w:tblGrid>
        <w:gridCol w:w="839"/>
        <w:gridCol w:w="9690"/>
      </w:tblGrid>
      <w:tr>
        <w:trPr>
          <w:cantSplit/>
          <w:tblHeader w:val="true"/>
        </w:trPr>
        <w:tc>
          <w:tcPr>
            <w:tcW w:type="dxa" w:w="83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Week</w:t>
            </w:r>
          </w:p>
        </w:tc>
        <w:tc>
          <w:tcPr>
            <w:tcW w:type="dxa" w:w="969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Deliverable</w:t>
            </w:r>
          </w:p>
        </w:tc>
      </w:tr>
      <w:tr>
        <w:trPr>
          <w:cantSplit/>
        </w:trPr>
        <w:tc>
          <w:tcPr>
            <w:tcW w:type="dxa" w:w="839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1</w:t>
            </w:r>
          </w:p>
        </w:tc>
        <w:tc>
          <w:tcPr>
            <w:tcW w:type="dxa" w:w="9690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Portal shell, authentication, RBAC, station scoping, MFA; responsive layout down to phone width</w:t>
            </w:r>
          </w:p>
        </w:tc>
      </w:tr>
      <w:tr>
        <w:trPr>
          <w:cantSplit/>
        </w:trPr>
        <w:tc>
          <w:tcPr>
            <w:tcW w:type="dxa" w:w="83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2</w:t>
            </w:r>
          </w:p>
        </w:tc>
        <w:tc>
          <w:tcPr>
            <w:tcW w:type="dxa" w:w="969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Corridor map</w:t>
            </w:r>
            <w:r>
              <w:rPr>
                <w:rFonts w:ascii="Calibri" w:hAnsi="Calibri"/>
                <w:sz w:val="18"/>
              </w:rPr>
              <w:t xml:space="preserve"> with live status and click-through; station detail and trends with thresholds drawn</w:t>
            </w:r>
          </w:p>
        </w:tc>
      </w:tr>
      <w:tr>
        <w:trPr>
          <w:cantSplit/>
        </w:trPr>
        <w:tc>
          <w:tcPr>
            <w:tcW w:type="dxa" w:w="839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3</w:t>
            </w:r>
          </w:p>
        </w:tc>
        <w:tc>
          <w:tcPr>
            <w:tcW w:type="dxa" w:w="9690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Configurable threshold and wording table — every value a setting, not code; wind and temperature logic with dwell timers and rising/falling hysteresis; system-fault detection</w:t>
            </w:r>
          </w:p>
        </w:tc>
      </w:tr>
      <w:tr>
        <w:trPr>
          <w:cantSplit/>
        </w:trPr>
        <w:tc>
          <w:tcPr>
            <w:tcW w:type="dxa" w:w="83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4</w:t>
            </w:r>
          </w:p>
        </w:tc>
        <w:tc>
          <w:tcPr>
            <w:tcW w:type="dxa" w:w="9690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 xml:space="preserve">Delivery: on-screen, </w:t>
            </w:r>
            <w:r>
              <w:rPr>
                <w:rFonts w:ascii="Calibri" w:hAnsi="Calibri"/>
                <w:b/>
                <w:sz w:val="18"/>
              </w:rPr>
              <w:t>web push</w:t>
            </w:r>
            <w:r>
              <w:rPr>
                <w:rFonts w:ascii="Calibri" w:hAnsi="Calibri"/>
                <w:sz w:val="18"/>
              </w:rPr>
              <w:t xml:space="preserve">, email; PTZ links in all three; alert lifecycle, acknowledgement and audit. </w:t>
            </w:r>
            <w:r>
              <w:rPr>
                <w:rFonts w:ascii="Calibri" w:hAnsi="Calibri"/>
                <w:b/>
                <w:sz w:val="18"/>
              </w:rPr>
              <w:t>Release 2</w:t>
            </w:r>
          </w:p>
        </w:tc>
      </w:tr>
    </w:tbl>
    <w:p/>
    <w:p>
      <w:pPr>
        <w:pStyle w:val="Heading3"/>
      </w:pPr>
      <w:r>
        <w:t>Month 3 — Rainfall, flood, pumps and handover</w:t>
      </w:r>
    </w:p>
    <w:p>
      <w:r>
        <w:rPr>
          <w:rFonts w:ascii="Calibri" w:hAnsi="Calibri"/>
          <w:b/>
        </w:rPr>
        <w:t>Release 3: the complete system.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4F81BD"/>
          <w:left w:val="single" w:sz="8" w:color="4F81BD"/>
          <w:bottom w:val="single" w:sz="8" w:color="4F81BD"/>
          <w:right w:val="single" w:sz="8" w:color="4F81BD"/>
          <w:insideH w:val="single" w:sz="4" w:color="4F81BD"/>
          <w:insideV w:val="single" w:sz="4" w:color="4F81BD"/>
        </w:tblBorders>
        <w:tblLayout w:type="fixed"/>
      </w:tblPr>
      <w:tblGrid>
        <w:gridCol w:w="768"/>
        <w:gridCol w:w="9761"/>
      </w:tblGrid>
      <w:tr>
        <w:trPr>
          <w:cantSplit/>
          <w:tblHeader w:val="true"/>
        </w:trPr>
        <w:tc>
          <w:tcPr>
            <w:tcW w:type="dxa" w:w="76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Week</w:t>
            </w:r>
          </w:p>
        </w:tc>
        <w:tc>
          <w:tcPr>
            <w:tcW w:type="dxa" w:w="9761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Deliverable</w:t>
            </w:r>
          </w:p>
        </w:tc>
      </w:tr>
      <w:tr>
        <w:trPr>
          <w:cantSplit/>
        </w:trPr>
        <w:tc>
          <w:tcPr>
            <w:tcW w:type="dxa" w:w="768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1</w:t>
            </w:r>
          </w:p>
        </w:tc>
        <w:tc>
          <w:tcPr>
            <w:tcW w:type="dxa" w:w="9761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Rainfall rolling 1 h / 3 h / 3-day accumulation; vigilance timers (6/12/48 h) with restart-on-new-rain and automatic all-clear, surviving restarts; redundancy fallback with automatic re-wording</w:t>
            </w:r>
          </w:p>
        </w:tc>
      </w:tr>
      <w:tr>
        <w:trPr>
          <w:cantSplit/>
        </w:trPr>
        <w:tc>
          <w:tcPr>
            <w:tcW w:type="dxa" w:w="76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2</w:t>
            </w:r>
          </w:p>
        </w:tc>
        <w:tc>
          <w:tcPr>
            <w:tcW w:type="dxa" w:w="9761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 xml:space="preserve">Flood state machine with staged reinstatement; </w:t>
            </w:r>
            <w:r>
              <w:rPr>
                <w:rFonts w:ascii="Calibri" w:hAnsi="Calibri"/>
                <w:b/>
                <w:sz w:val="18"/>
              </w:rPr>
              <w:t>Marrickville pump screen</w:t>
            </w:r>
            <w:r>
              <w:rPr>
                <w:rFonts w:ascii="Calibri" w:hAnsi="Calibri"/>
                <w:sz w:val="18"/>
              </w:rPr>
              <w:t xml:space="preserve"> — </w:t>
            </w:r>
            <w:r>
              <w:rPr>
                <w:rFonts w:ascii="Calibri" w:hAnsi="Calibri"/>
                <w:b/>
                <w:sz w:val="18"/>
              </w:rPr>
              <w:t>AUTO/MANUAL and supervised START/STOP</w:t>
            </w:r>
            <w:r>
              <w:rPr>
                <w:rFonts w:ascii="Calibri" w:hAnsi="Calibri"/>
                <w:sz w:val="18"/>
              </w:rPr>
              <w:t>, role-gated and fully audited; flood-event screen with pump markers and event log</w:t>
            </w:r>
          </w:p>
        </w:tc>
      </w:tr>
      <w:tr>
        <w:trPr>
          <w:cantSplit/>
        </w:trPr>
        <w:tc>
          <w:tcPr>
            <w:tcW w:type="dxa" w:w="768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3</w:t>
            </w:r>
          </w:p>
        </w:tc>
        <w:tc>
          <w:tcPr>
            <w:tcW w:type="dxa" w:w="9761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System-health dashboard (≤10-minute refresh); historical query engine with paged results and CSV export; administration screens for users, roles, thresholds and recipients</w:t>
            </w:r>
          </w:p>
        </w:tc>
      </w:tr>
      <w:tr>
        <w:trPr>
          <w:cantSplit/>
        </w:trPr>
        <w:tc>
          <w:tcPr>
            <w:tcW w:type="dxa" w:w="76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4</w:t>
            </w:r>
          </w:p>
        </w:tc>
        <w:tc>
          <w:tcPr>
            <w:tcW w:type="dxa" w:w="9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Load test</w:t>
            </w:r>
            <w:r>
              <w:rPr>
                <w:rFonts w:ascii="Calibri" w:hAnsi="Calibri"/>
                <w:sz w:val="18"/>
              </w:rPr>
              <w:t xml:space="preserve"> including burst replay of a multi-day backlog; </w:t>
            </w:r>
            <w:r>
              <w:rPr>
                <w:rFonts w:ascii="Calibri" w:hAnsi="Calibri"/>
                <w:b/>
                <w:sz w:val="18"/>
              </w:rPr>
              <w:t>security review and penetration test</w:t>
            </w:r>
            <w:r>
              <w:rPr>
                <w:rFonts w:ascii="Calibri" w:hAnsi="Calibri"/>
                <w:sz w:val="18"/>
              </w:rPr>
              <w:t xml:space="preserve">; backup and </w:t>
            </w:r>
            <w:r>
              <w:rPr>
                <w:rFonts w:ascii="Calibri" w:hAnsi="Calibri"/>
                <w:b/>
                <w:sz w:val="18"/>
              </w:rPr>
              <w:t>restore rehearsal</w:t>
            </w:r>
            <w:r>
              <w:rPr>
                <w:rFonts w:ascii="Calibri" w:hAnsi="Calibri"/>
                <w:sz w:val="18"/>
              </w:rPr>
              <w:t xml:space="preserve">; end-to-end alert timing measured against the 5-minute obligation; documentation, runbooks, training, SAT support, handover. </w:t>
            </w:r>
            <w:r>
              <w:rPr>
                <w:rFonts w:ascii="Calibri" w:hAnsi="Calibri"/>
                <w:b/>
                <w:sz w:val="18"/>
              </w:rPr>
              <w:t>Release 3</w:t>
            </w:r>
          </w:p>
        </w:tc>
      </w:tr>
    </w:tbl>
    <w:p/>
    <w:p>
      <w:pPr>
        <w:pStyle w:val="Heading2"/>
      </w:pPr>
      <w:r>
        <w:t>12. Requirement traceability</w:t>
      </w:r>
    </w:p>
    <w:p>
      <w:r>
        <w:rPr>
          <w:rFonts w:ascii="Calibri" w:hAnsi="Calibri"/>
        </w:rPr>
        <w:t>Every item in the Statement of Requirements, mapped to the month that delivers it. Nothing is left unassigned.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4F81BD"/>
          <w:left w:val="single" w:sz="8" w:color="4F81BD"/>
          <w:bottom w:val="single" w:sz="8" w:color="4F81BD"/>
          <w:right w:val="single" w:sz="8" w:color="4F81BD"/>
          <w:insideH w:val="single" w:sz="4" w:color="4F81BD"/>
          <w:insideV w:val="single" w:sz="4" w:color="4F81BD"/>
        </w:tblBorders>
        <w:tblLayout w:type="fixed"/>
      </w:tblPr>
      <w:tblGrid>
        <w:gridCol w:w="7675"/>
        <w:gridCol w:w="2854"/>
      </w:tblGrid>
      <w:tr>
        <w:trPr>
          <w:cantSplit/>
          <w:tblHeader w:val="true"/>
        </w:trPr>
        <w:tc>
          <w:tcPr>
            <w:tcW w:type="dxa" w:w="767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Requirement</w:t>
            </w:r>
          </w:p>
        </w:tc>
        <w:tc>
          <w:tcPr>
            <w:tcW w:type="dxa" w:w="285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Delivered in</w:t>
            </w:r>
          </w:p>
        </w:tc>
      </w:tr>
      <w:tr>
        <w:trPr>
          <w:cantSplit/>
        </w:trPr>
        <w:tc>
          <w:tcPr>
            <w:tcW w:type="dxa" w:w="7675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Rainfall measurement, accumulation windows, thresholds</w:t>
            </w:r>
          </w:p>
        </w:tc>
        <w:tc>
          <w:tcPr>
            <w:tcW w:type="dxa" w:w="2854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M1, M3</w:t>
            </w:r>
          </w:p>
        </w:tc>
      </w:tr>
      <w:tr>
        <w:trPr>
          <w:cantSplit/>
        </w:trPr>
        <w:tc>
          <w:tcPr>
            <w:tcW w:type="dxa" w:w="767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Rainfall vigilance timers (6/12/48 h) and all-clear</w:t>
            </w:r>
          </w:p>
        </w:tc>
        <w:tc>
          <w:tcPr>
            <w:tcW w:type="dxa" w:w="2854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M3</w:t>
            </w:r>
          </w:p>
        </w:tc>
      </w:tr>
      <w:tr>
        <w:trPr>
          <w:cantSplit/>
        </w:trPr>
        <w:tc>
          <w:tcPr>
            <w:tcW w:type="dxa" w:w="7675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Flood level, float switch verification, staged reinstatement</w:t>
            </w:r>
          </w:p>
        </w:tc>
        <w:tc>
          <w:tcPr>
            <w:tcW w:type="dxa" w:w="2854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M1, M3</w:t>
            </w:r>
          </w:p>
        </w:tc>
      </w:tr>
      <w:tr>
        <w:trPr>
          <w:cantSplit/>
        </w:trPr>
        <w:tc>
          <w:tcPr>
            <w:tcW w:type="dxa" w:w="767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Temperature thresholds with dwell timers</w:t>
            </w:r>
          </w:p>
        </w:tc>
        <w:tc>
          <w:tcPr>
            <w:tcW w:type="dxa" w:w="2854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M2</w:t>
            </w:r>
          </w:p>
        </w:tc>
      </w:tr>
      <w:tr>
        <w:trPr>
          <w:cantSplit/>
        </w:trPr>
        <w:tc>
          <w:tcPr>
            <w:tcW w:type="dxa" w:w="7675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Wind thresholds and TSR/block-line wording</w:t>
            </w:r>
          </w:p>
        </w:tc>
        <w:tc>
          <w:tcPr>
            <w:tcW w:type="dxa" w:w="2854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M2</w:t>
            </w:r>
          </w:p>
        </w:tc>
      </w:tr>
      <w:tr>
        <w:trPr>
          <w:cantSplit/>
        </w:trPr>
        <w:tc>
          <w:tcPr>
            <w:tcW w:type="dxa" w:w="767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Pump status, alarms and leading indicators</w:t>
            </w:r>
          </w:p>
        </w:tc>
        <w:tc>
          <w:tcPr>
            <w:tcW w:type="dxa" w:w="2854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M2, M3</w:t>
            </w:r>
          </w:p>
        </w:tc>
      </w:tr>
      <w:tr>
        <w:trPr>
          <w:cantSplit/>
        </w:trPr>
        <w:tc>
          <w:tcPr>
            <w:tcW w:type="dxa" w:w="7675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Supervised manual pump control</w:t>
            </w:r>
          </w:p>
        </w:tc>
        <w:tc>
          <w:tcPr>
            <w:tcW w:type="dxa" w:w="2854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M3</w:t>
            </w:r>
          </w:p>
        </w:tc>
      </w:tr>
      <w:tr>
        <w:trPr>
          <w:cantSplit/>
        </w:trPr>
        <w:tc>
          <w:tcPr>
            <w:tcW w:type="dxa" w:w="767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Configurable threshold and wording table</w:t>
            </w:r>
          </w:p>
        </w:tc>
        <w:tc>
          <w:tcPr>
            <w:tcW w:type="dxa" w:w="2854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M2</w:t>
            </w:r>
          </w:p>
        </w:tc>
      </w:tr>
      <w:tr>
        <w:trPr>
          <w:cantSplit/>
        </w:trPr>
        <w:tc>
          <w:tcPr>
            <w:tcW w:type="dxa" w:w="7675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Redundancy and fallback with re-wording</w:t>
            </w:r>
          </w:p>
        </w:tc>
        <w:tc>
          <w:tcPr>
            <w:tcW w:type="dxa" w:w="2854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M3</w:t>
            </w:r>
          </w:p>
        </w:tc>
      </w:tr>
      <w:tr>
        <w:trPr>
          <w:cantSplit/>
        </w:trPr>
        <w:tc>
          <w:tcPr>
            <w:tcW w:type="dxa" w:w="767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Screen, web push and email within 5 minutes</w:t>
            </w:r>
          </w:p>
        </w:tc>
        <w:tc>
          <w:tcPr>
            <w:tcW w:type="dxa" w:w="2854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M2</w:t>
            </w:r>
            <w:r>
              <w:rPr>
                <w:rFonts w:ascii="Calibri" w:hAnsi="Calibri"/>
                <w:sz w:val="18"/>
              </w:rPr>
              <w:t>, measured M3</w:t>
            </w:r>
          </w:p>
        </w:tc>
      </w:tr>
      <w:tr>
        <w:trPr>
          <w:cantSplit/>
        </w:trPr>
        <w:tc>
          <w:tcPr>
            <w:tcW w:type="dxa" w:w="7675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System-fault alerts within 30 minutes</w:t>
            </w:r>
          </w:p>
        </w:tc>
        <w:tc>
          <w:tcPr>
            <w:tcW w:type="dxa" w:w="2854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M2</w:t>
            </w:r>
          </w:p>
        </w:tc>
      </w:tr>
      <w:tr>
        <w:trPr>
          <w:cantSplit/>
        </w:trPr>
        <w:tc>
          <w:tcPr>
            <w:tcW w:type="dxa" w:w="767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Alert content: date, time, track, rail, kilometrage, hyperlink</w:t>
            </w:r>
          </w:p>
        </w:tc>
        <w:tc>
          <w:tcPr>
            <w:tcW w:type="dxa" w:w="2854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M2</w:t>
            </w:r>
          </w:p>
        </w:tc>
      </w:tr>
      <w:tr>
        <w:trPr>
          <w:cantSplit/>
        </w:trPr>
        <w:tc>
          <w:tcPr>
            <w:tcW w:type="dxa" w:w="7675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PTZ camera verification links</w:t>
            </w:r>
          </w:p>
        </w:tc>
        <w:tc>
          <w:tcPr>
            <w:tcW w:type="dxa" w:w="2854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M2</w:t>
            </w:r>
          </w:p>
        </w:tc>
      </w:tr>
      <w:tr>
        <w:trPr>
          <w:cantSplit/>
        </w:trPr>
        <w:tc>
          <w:tcPr>
            <w:tcW w:type="dxa" w:w="767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Alert and notification history, acknowledgement, export</w:t>
            </w:r>
          </w:p>
        </w:tc>
        <w:tc>
          <w:tcPr>
            <w:tcW w:type="dxa" w:w="2854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M2, M3</w:t>
            </w:r>
          </w:p>
        </w:tc>
      </w:tr>
      <w:tr>
        <w:trPr>
          <w:cantSplit/>
        </w:trPr>
        <w:tc>
          <w:tcPr>
            <w:tcW w:type="dxa" w:w="7675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Corridor map with click-through detail</w:t>
            </w:r>
          </w:p>
        </w:tc>
        <w:tc>
          <w:tcPr>
            <w:tcW w:type="dxa" w:w="2854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M2</w:t>
            </w:r>
          </w:p>
        </w:tc>
      </w:tr>
      <w:tr>
        <w:trPr>
          <w:cantSplit/>
        </w:trPr>
        <w:tc>
          <w:tcPr>
            <w:tcW w:type="dxa" w:w="767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Trends and per-station screens</w:t>
            </w:r>
          </w:p>
        </w:tc>
        <w:tc>
          <w:tcPr>
            <w:tcW w:type="dxa" w:w="2854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M2</w:t>
            </w:r>
          </w:p>
        </w:tc>
      </w:tr>
      <w:tr>
        <w:trPr>
          <w:cantSplit/>
        </w:trPr>
        <w:tc>
          <w:tcPr>
            <w:tcW w:type="dxa" w:w="7675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Flood-event screen</w:t>
            </w:r>
          </w:p>
        </w:tc>
        <w:tc>
          <w:tcPr>
            <w:tcW w:type="dxa" w:w="2854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M3</w:t>
            </w:r>
          </w:p>
        </w:tc>
      </w:tr>
      <w:tr>
        <w:trPr>
          <w:cantSplit/>
        </w:trPr>
        <w:tc>
          <w:tcPr>
            <w:tcW w:type="dxa" w:w="767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System health, ≤10-minute refresh</w:t>
            </w:r>
          </w:p>
        </w:tc>
        <w:tc>
          <w:tcPr>
            <w:tcW w:type="dxa" w:w="2854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M3</w:t>
            </w:r>
          </w:p>
        </w:tc>
      </w:tr>
      <w:tr>
        <w:trPr>
          <w:cantSplit/>
        </w:trPr>
        <w:tc>
          <w:tcPr>
            <w:tcW w:type="dxa" w:w="7675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Historical query engine and CSV export</w:t>
            </w:r>
          </w:p>
        </w:tc>
        <w:tc>
          <w:tcPr>
            <w:tcW w:type="dxa" w:w="2854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M3</w:t>
            </w:r>
          </w:p>
        </w:tc>
      </w:tr>
      <w:tr>
        <w:trPr>
          <w:cantSplit/>
        </w:trPr>
        <w:tc>
          <w:tcPr>
            <w:tcW w:type="dxa" w:w="767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20+ named logins, RBAC, six standard roles, station scoping</w:t>
            </w:r>
          </w:p>
        </w:tc>
        <w:tc>
          <w:tcPr>
            <w:tcW w:type="dxa" w:w="2854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M2</w:t>
            </w:r>
          </w:p>
        </w:tc>
      </w:tr>
      <w:tr>
        <w:trPr>
          <w:cantSplit/>
        </w:trPr>
        <w:tc>
          <w:tcPr>
            <w:tcW w:type="dxa" w:w="7675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Custom roles, multiple roles per user, least privilege</w:t>
            </w:r>
          </w:p>
        </w:tc>
        <w:tc>
          <w:tcPr>
            <w:tcW w:type="dxa" w:w="2854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M2</w:t>
            </w:r>
          </w:p>
        </w:tc>
      </w:tr>
      <w:tr>
        <w:trPr>
          <w:cantSplit/>
        </w:trPr>
        <w:tc>
          <w:tcPr>
            <w:tcW w:type="dxa" w:w="767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User administration — add, edit, suspend, remove</w:t>
            </w:r>
          </w:p>
        </w:tc>
        <w:tc>
          <w:tcPr>
            <w:tcW w:type="dxa" w:w="2854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M2</w:t>
            </w:r>
          </w:p>
        </w:tc>
      </w:tr>
      <w:tr>
        <w:trPr>
          <w:cantSplit/>
        </w:trPr>
        <w:tc>
          <w:tcPr>
            <w:tcW w:type="dxa" w:w="7675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Named accountability and permission re-check on every action</w:t>
            </w:r>
          </w:p>
        </w:tc>
        <w:tc>
          <w:tcPr>
            <w:tcW w:type="dxa" w:w="2854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M2</w:t>
            </w:r>
          </w:p>
        </w:tc>
      </w:tr>
      <w:tr>
        <w:trPr>
          <w:cantSplit/>
        </w:trPr>
        <w:tc>
          <w:tcPr>
            <w:tcW w:type="dxa" w:w="767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MFA</w:t>
            </w:r>
          </w:p>
        </w:tc>
        <w:tc>
          <w:tcPr>
            <w:tcW w:type="dxa" w:w="2854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M2</w:t>
            </w:r>
          </w:p>
        </w:tc>
      </w:tr>
      <w:tr>
        <w:trPr>
          <w:cantSplit/>
        </w:trPr>
        <w:tc>
          <w:tcPr>
            <w:tcW w:type="dxa" w:w="7675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Audit trail</w:t>
            </w:r>
          </w:p>
        </w:tc>
        <w:tc>
          <w:tcPr>
            <w:tcW w:type="dxa" w:w="2854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M2</w:t>
            </w:r>
          </w:p>
        </w:tc>
      </w:tr>
      <w:tr>
        <w:trPr>
          <w:cantSplit/>
        </w:trPr>
        <w:tc>
          <w:tcPr>
            <w:tcW w:type="dxa" w:w="767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Responsive HMI, phone to desktop</w:t>
            </w:r>
          </w:p>
        </w:tc>
        <w:tc>
          <w:tcPr>
            <w:tcW w:type="dxa" w:w="2854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M2</w:t>
            </w:r>
          </w:p>
        </w:tc>
      </w:tr>
      <w:tr>
        <w:trPr>
          <w:cantSplit/>
        </w:trPr>
        <w:tc>
          <w:tcPr>
            <w:tcW w:type="dxa" w:w="7675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Mobile access with push notification</w:t>
            </w:r>
          </w:p>
        </w:tc>
        <w:tc>
          <w:tcPr>
            <w:tcW w:type="dxa" w:w="2854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M2</w:t>
            </w:r>
          </w:p>
        </w:tc>
      </w:tr>
      <w:tr>
        <w:trPr>
          <w:cantSplit/>
        </w:trPr>
        <w:tc>
          <w:tcPr>
            <w:tcW w:type="dxa" w:w="767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Solar/battery telemetry displayed and alarmed</w:t>
            </w:r>
          </w:p>
        </w:tc>
        <w:tc>
          <w:tcPr>
            <w:tcW w:type="dxa" w:w="2854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M1, M3</w:t>
            </w:r>
          </w:p>
        </w:tc>
      </w:tr>
      <w:tr>
        <w:trPr>
          <w:cantSplit/>
        </w:trPr>
        <w:tc>
          <w:tcPr>
            <w:tcW w:type="dxa" w:w="7675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Data transmission security</w:t>
            </w:r>
          </w:p>
        </w:tc>
        <w:tc>
          <w:tcPr>
            <w:tcW w:type="dxa" w:w="2854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M1</w:t>
            </w:r>
          </w:p>
        </w:tc>
      </w:tr>
      <w:tr>
        <w:trPr>
          <w:cantSplit/>
        </w:trPr>
        <w:tc>
          <w:tcPr>
            <w:tcW w:type="dxa" w:w="767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No data loss on any failure</w:t>
            </w:r>
          </w:p>
        </w:tc>
        <w:tc>
          <w:tcPr>
            <w:tcW w:type="dxa" w:w="2854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M1</w:t>
            </w:r>
          </w:p>
        </w:tc>
      </w:tr>
      <w:tr>
        <w:trPr>
          <w:cantSplit/>
        </w:trPr>
        <w:tc>
          <w:tcPr>
            <w:tcW w:type="dxa" w:w="7675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Availability and planned-maintenance obligations</w:t>
            </w:r>
          </w:p>
        </w:tc>
        <w:tc>
          <w:tcPr>
            <w:tcW w:type="dxa" w:w="2854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M3</w:t>
            </w:r>
          </w:p>
        </w:tc>
      </w:tr>
      <w:tr>
        <w:trPr>
          <w:cantSplit/>
        </w:trPr>
        <w:tc>
          <w:tcPr>
            <w:tcW w:type="dxa" w:w="767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Performance at scale</w:t>
            </w:r>
          </w:p>
        </w:tc>
        <w:tc>
          <w:tcPr>
            <w:tcW w:type="dxa" w:w="2854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M1, M3</w:t>
            </w:r>
          </w:p>
        </w:tc>
      </w:tr>
      <w:tr>
        <w:trPr>
          <w:cantSplit/>
        </w:trPr>
        <w:tc>
          <w:tcPr>
            <w:tcW w:type="dxa" w:w="7675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Backup, restore and failover</w:t>
            </w:r>
          </w:p>
        </w:tc>
        <w:tc>
          <w:tcPr>
            <w:tcW w:type="dxa" w:w="2854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M3</w:t>
            </w:r>
          </w:p>
        </w:tc>
      </w:tr>
      <w:tr>
        <w:trPr>
          <w:cantSplit/>
        </w:trPr>
        <w:tc>
          <w:tcPr>
            <w:tcW w:type="dxa" w:w="767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Documentation, runbooks, training</w:t>
            </w:r>
          </w:p>
        </w:tc>
        <w:tc>
          <w:tcPr>
            <w:tcW w:type="dxa" w:w="2854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M3</w:t>
            </w:r>
          </w:p>
        </w:tc>
      </w:tr>
    </w:tbl>
    <w:p/>
    <w:p>
      <w:pPr>
        <w:pStyle w:val="Heading2"/>
      </w:pPr>
      <w:r>
        <w:t>13. What we need from you</w:t>
      </w:r>
    </w:p>
    <w:p>
      <w:r>
        <w:rPr>
          <w:rFonts w:ascii="Calibri" w:hAnsi="Calibri"/>
        </w:rPr>
        <w:t>Three months is a short programme with no slack for waiting, so these dates are firm rather than indicative. Development can start without them, but each becomes blocking at the point shown.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4F81BD"/>
          <w:left w:val="single" w:sz="8" w:color="4F81BD"/>
          <w:bottom w:val="single" w:sz="8" w:color="4F81BD"/>
          <w:right w:val="single" w:sz="8" w:color="4F81BD"/>
          <w:insideH w:val="single" w:sz="4" w:color="4F81BD"/>
          <w:insideV w:val="single" w:sz="4" w:color="4F81BD"/>
        </w:tblBorders>
        <w:tblLayout w:type="fixed"/>
      </w:tblPr>
      <w:tblGrid>
        <w:gridCol w:w="833"/>
        <w:gridCol w:w="8179"/>
        <w:gridCol w:w="1517"/>
      </w:tblGrid>
      <w:tr>
        <w:trPr>
          <w:cantSplit/>
          <w:tblHeader w:val="true"/>
        </w:trPr>
        <w:tc>
          <w:tcPr>
            <w:tcW w:type="dxa" w:w="83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817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Needed</w:t>
            </w:r>
          </w:p>
        </w:tc>
        <w:tc>
          <w:tcPr>
            <w:tcW w:type="dxa" w:w="151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By</w:t>
            </w:r>
          </w:p>
        </w:tc>
      </w:tr>
      <w:tr>
        <w:trPr>
          <w:cantSplit/>
        </w:trPr>
        <w:tc>
          <w:tcPr>
            <w:tcW w:type="dxa" w:w="833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1</w:t>
            </w:r>
          </w:p>
        </w:tc>
        <w:tc>
          <w:tcPr>
            <w:tcW w:type="dxa" w:w="8179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The logger's output format</w:t>
            </w:r>
            <w:r>
              <w:rPr>
                <w:rFonts w:ascii="Calibri" w:hAnsi="Calibri"/>
                <w:sz w:val="18"/>
              </w:rPr>
              <w:t xml:space="preserve"> — a real sample file per sensor type, and confirmation of the transmission method</w:t>
            </w:r>
          </w:p>
        </w:tc>
        <w:tc>
          <w:tcPr>
            <w:tcW w:type="dxa" w:w="1517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M1, week 1</w:t>
            </w:r>
          </w:p>
        </w:tc>
      </w:tr>
      <w:tr>
        <w:trPr>
          <w:cantSplit/>
        </w:trPr>
        <w:tc>
          <w:tcPr>
            <w:tcW w:type="dxa" w:w="83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2</w:t>
            </w:r>
          </w:p>
        </w:tc>
        <w:tc>
          <w:tcPr>
            <w:tcW w:type="dxa" w:w="8179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 xml:space="preserve">AWS region and any </w:t>
            </w:r>
            <w:r>
              <w:rPr>
                <w:rFonts w:ascii="Calibri" w:hAnsi="Calibri"/>
                <w:b/>
                <w:sz w:val="18"/>
              </w:rPr>
              <w:t>data-residency</w:t>
            </w:r>
            <w:r>
              <w:rPr>
                <w:rFonts w:ascii="Calibri" w:hAnsi="Calibri"/>
                <w:sz w:val="18"/>
              </w:rPr>
              <w:t xml:space="preserve"> requirement</w:t>
            </w:r>
          </w:p>
        </w:tc>
        <w:tc>
          <w:tcPr>
            <w:tcW w:type="dxa" w:w="151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M1, week 1</w:t>
            </w:r>
          </w:p>
        </w:tc>
      </w:tr>
      <w:tr>
        <w:trPr>
          <w:cantSplit/>
        </w:trPr>
        <w:tc>
          <w:tcPr>
            <w:tcW w:type="dxa" w:w="833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3</w:t>
            </w:r>
          </w:p>
        </w:tc>
        <w:tc>
          <w:tcPr>
            <w:tcW w:type="dxa" w:w="8179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 xml:space="preserve">Any MTS </w:t>
            </w:r>
            <w:r>
              <w:rPr>
                <w:rFonts w:ascii="Calibri" w:hAnsi="Calibri"/>
                <w:b/>
                <w:sz w:val="18"/>
              </w:rPr>
              <w:t>cyber-security standard</w:t>
            </w:r>
            <w:r>
              <w:rPr>
                <w:rFonts w:ascii="Calibri" w:hAnsi="Calibri"/>
                <w:sz w:val="18"/>
              </w:rPr>
              <w:t xml:space="preserve"> the system must be assessed against</w:t>
            </w:r>
          </w:p>
        </w:tc>
        <w:tc>
          <w:tcPr>
            <w:tcW w:type="dxa" w:w="1517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M1, week 1</w:t>
            </w:r>
          </w:p>
        </w:tc>
      </w:tr>
      <w:tr>
        <w:trPr>
          <w:cantSplit/>
        </w:trPr>
        <w:tc>
          <w:tcPr>
            <w:tcW w:type="dxa" w:w="83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4</w:t>
            </w:r>
          </w:p>
        </w:tc>
        <w:tc>
          <w:tcPr>
            <w:tcW w:type="dxa" w:w="8179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Retention confirmation and the data-handover format at contract end</w:t>
            </w:r>
          </w:p>
        </w:tc>
        <w:tc>
          <w:tcPr>
            <w:tcW w:type="dxa" w:w="1517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M1</w:t>
            </w:r>
          </w:p>
        </w:tc>
      </w:tr>
      <w:tr>
        <w:trPr>
          <w:cantSplit/>
        </w:trPr>
        <w:tc>
          <w:tcPr>
            <w:tcW w:type="dxa" w:w="833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5</w:t>
            </w:r>
          </w:p>
        </w:tc>
        <w:tc>
          <w:tcPr>
            <w:tcW w:type="dxa" w:w="8179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Confirmed threshold values and exact alert wording currently marked "pending confirmation"</w:t>
            </w:r>
          </w:p>
        </w:tc>
        <w:tc>
          <w:tcPr>
            <w:tcW w:type="dxa" w:w="1517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M2, week 1</w:t>
            </w:r>
          </w:p>
        </w:tc>
      </w:tr>
      <w:tr>
        <w:trPr>
          <w:cantSplit/>
        </w:trPr>
        <w:tc>
          <w:tcPr>
            <w:tcW w:type="dxa" w:w="83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6</w:t>
            </w:r>
          </w:p>
        </w:tc>
        <w:tc>
          <w:tcPr>
            <w:tcW w:type="dxa" w:w="81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Kilometrage, track and rail</w:t>
            </w:r>
            <w:r>
              <w:rPr>
                <w:rFonts w:ascii="Calibri" w:hAnsi="Calibri"/>
                <w:sz w:val="18"/>
              </w:rPr>
              <w:t xml:space="preserve"> designations per station, and GPS positions</w:t>
            </w:r>
          </w:p>
        </w:tc>
        <w:tc>
          <w:tcPr>
            <w:tcW w:type="dxa" w:w="1517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M2</w:t>
            </w:r>
          </w:p>
        </w:tc>
      </w:tr>
      <w:tr>
        <w:trPr>
          <w:cantSplit/>
        </w:trPr>
        <w:tc>
          <w:tcPr>
            <w:tcW w:type="dxa" w:w="833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7</w:t>
            </w:r>
          </w:p>
        </w:tc>
        <w:tc>
          <w:tcPr>
            <w:tcW w:type="dxa" w:w="8179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The 20 portal users, their roles, and their station scope</w:t>
            </w:r>
          </w:p>
        </w:tc>
        <w:tc>
          <w:tcPr>
            <w:tcW w:type="dxa" w:w="1517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M2</w:t>
            </w:r>
          </w:p>
        </w:tc>
      </w:tr>
      <w:tr>
        <w:trPr>
          <w:cantSplit/>
        </w:trPr>
        <w:tc>
          <w:tcPr>
            <w:tcW w:type="dxa" w:w="83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8</w:t>
            </w:r>
          </w:p>
        </w:tc>
        <w:tc>
          <w:tcPr>
            <w:tcW w:type="dxa" w:w="8179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Notification recipient list, and who receives which severity</w:t>
            </w:r>
          </w:p>
        </w:tc>
        <w:tc>
          <w:tcPr>
            <w:tcW w:type="dxa" w:w="1517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M2</w:t>
            </w:r>
          </w:p>
        </w:tc>
      </w:tr>
      <w:tr>
        <w:trPr>
          <w:cantSplit/>
        </w:trPr>
        <w:tc>
          <w:tcPr>
            <w:tcW w:type="dxa" w:w="833"/>
            <w:shd w:val="clear" w:fill="D3DF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9</w:t>
            </w:r>
          </w:p>
        </w:tc>
        <w:tc>
          <w:tcPr>
            <w:tcW w:type="dxa" w:w="8179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PTZ camera URLs</w:t>
            </w:r>
            <w:r>
              <w:rPr>
                <w:rFonts w:ascii="Calibri" w:hAnsi="Calibri"/>
                <w:sz w:val="18"/>
              </w:rPr>
              <w:t xml:space="preserve"> plus any authentication and network access needed to reach them</w:t>
            </w:r>
          </w:p>
        </w:tc>
        <w:tc>
          <w:tcPr>
            <w:tcW w:type="dxa" w:w="1517"/>
            <w:shd w:val="clear" w:fill="D3DFEE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M2</w:t>
            </w:r>
          </w:p>
        </w:tc>
      </w:tr>
      <w:tr>
        <w:trPr>
          <w:cantSplit/>
        </w:trPr>
        <w:tc>
          <w:tcPr>
            <w:tcW w:type="dxa" w:w="83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10</w:t>
            </w:r>
          </w:p>
        </w:tc>
        <w:tc>
          <w:tcPr>
            <w:tcW w:type="dxa" w:w="8179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Pump panel interface details — remote start/stop demand, run and fault status</w:t>
            </w:r>
          </w:p>
        </w:tc>
        <w:tc>
          <w:tcPr>
            <w:tcW w:type="dxa" w:w="151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M3, week 1</w:t>
            </w:r>
          </w:p>
        </w:tc>
      </w:tr>
    </w:tbl>
    <w:p/>
    <w:p>
      <w:pPr>
        <w:pStyle w:val="Heading2"/>
      </w:pPr>
      <w:r>
        <w:t>14. Assumptions</w:t>
      </w:r>
    </w:p>
    <w:p>
      <w:pPr>
        <w:pStyle w:val="ListBullet"/>
      </w:pPr>
      <w:r>
        <w:rPr>
          <w:rFonts w:ascii="Calibri" w:hAnsi="Calibri"/>
        </w:rPr>
        <w:t>The logger performs its own real-time pump control locally; the server supervises, records and alerts, and offers manual override. This is what makes a batched server interval appropriate.</w:t>
      </w:r>
    </w:p>
    <w:p>
      <w:pPr>
        <w:pStyle w:val="ListBullet"/>
      </w:pPr>
      <w:r>
        <w:rPr>
          <w:rFonts w:ascii="Calibri" w:hAnsi="Calibri"/>
        </w:rPr>
        <w:t>The logger logs 1-minute data and transmits in batches, with immediate transmission on a threshold breach. If a faster interval is later required, the ingestion path accommodates it without redesign; only the storage sizing changes.</w:t>
      </w:r>
    </w:p>
    <w:p>
      <w:pPr>
        <w:pStyle w:val="ListBullet"/>
      </w:pPr>
      <w:r>
        <w:rPr>
          <w:rFonts w:ascii="Calibri" w:hAnsi="Calibri"/>
        </w:rPr>
        <w:t>Sensors, loggers, masts, power, installation, EMC compliance and calibration are supplied and certified by Observator. Our scope is the software platform.</w:t>
      </w:r>
    </w:p>
    <w:p>
      <w:pPr>
        <w:pStyle w:val="ListBullet"/>
      </w:pPr>
      <w:r>
        <w:rPr>
          <w:rFonts w:ascii="Calibri" w:hAnsi="Calibri"/>
        </w:rPr>
        <w:t>Cellular connectivity to each station is provided and maintained by Observator.</w:t>
      </w:r>
    </w:p>
    <w:p>
      <w:pPr>
        <w:pStyle w:val="ListBullet"/>
      </w:pPr>
      <w:r>
        <w:rPr>
          <w:rFonts w:ascii="Calibri" w:hAnsi="Calibri"/>
        </w:rPr>
        <w:t>The trackside pump control panel accepts a remote start/stop demand and provides run and fault status.</w:t>
      </w:r>
    </w:p>
    <w:p>
      <w:pPr>
        <w:pStyle w:val="ListBullet"/>
      </w:pPr>
      <w:r>
        <w:rPr>
          <w:rFonts w:ascii="Calibri" w:hAnsi="Calibri"/>
        </w:rPr>
        <w:t>Cloud infrastructure is billed to Observator or MTS directly; our estimates exclude hosting fees.</w:t>
      </w:r>
    </w:p>
    <w:p>
      <w:pPr>
        <w:pStyle w:val="ListBullet"/>
      </w:pPr>
      <w:r>
        <w:rPr>
          <w:rFonts w:ascii="Calibri" w:hAnsi="Calibri"/>
        </w:rPr>
        <w:t>Notification recipients use a browser supporting web push, and iOS users add the portal to their Home Screen once (see §10).</w:t>
      </w:r>
    </w:p>
    <w:p>
      <w:pPr>
        <w:pStyle w:val="Heading2"/>
      </w:pPr>
      <w:r>
        <w:t>15. Ways of working</w:t>
      </w:r>
    </w:p>
    <w:p>
      <w:pPr>
        <w:pStyle w:val="ListBullet"/>
      </w:pPr>
      <w:r>
        <w:rPr>
          <w:rFonts w:ascii="Calibri" w:hAnsi="Calibri"/>
          <w:b/>
        </w:rPr>
        <w:t>Monthly releases</w:t>
      </w:r>
      <w:r>
        <w:rPr>
          <w:rFonts w:ascii="Calibri" w:hAnsi="Calibri"/>
        </w:rPr>
        <w:t xml:space="preserve"> — every month ends with a version deployed for MTS to use, not a document describing progress.</w:t>
      </w:r>
    </w:p>
    <w:p>
      <w:pPr>
        <w:pStyle w:val="ListBullet"/>
      </w:pPr>
      <w:r>
        <w:rPr>
          <w:rFonts w:ascii="Calibri" w:hAnsi="Calibri"/>
          <w:b/>
        </w:rPr>
        <w:t>Two-week sprints</w:t>
      </w:r>
      <w:r>
        <w:rPr>
          <w:rFonts w:ascii="Calibri" w:hAnsi="Calibri"/>
        </w:rPr>
        <w:t xml:space="preserve"> inside each month, with a working demonstration at the end of each.</w:t>
      </w:r>
    </w:p>
    <w:p>
      <w:pPr>
        <w:pStyle w:val="ListBullet"/>
      </w:pPr>
      <w:r>
        <w:rPr>
          <w:rFonts w:ascii="Calibri" w:hAnsi="Calibri"/>
          <w:b/>
        </w:rPr>
        <w:t>Fortnightly progress reports</w:t>
      </w:r>
      <w:r>
        <w:rPr>
          <w:rFonts w:ascii="Calibri" w:hAnsi="Calibri"/>
        </w:rPr>
        <w:t xml:space="preserve"> and a review at each release.</w:t>
      </w:r>
    </w:p>
    <w:p>
      <w:pPr>
        <w:pStyle w:val="ListBullet"/>
      </w:pPr>
      <w:r>
        <w:rPr>
          <w:rFonts w:ascii="Calibri" w:hAnsi="Calibri"/>
          <w:b/>
        </w:rPr>
        <w:t>Automated tests</w:t>
      </w:r>
      <w:r>
        <w:rPr>
          <w:rFonts w:ascii="Calibri" w:hAnsi="Calibri"/>
        </w:rPr>
        <w:t xml:space="preserve"> on every change: unit, integration and end-to-end.</w:t>
      </w:r>
    </w:p>
    <w:p>
      <w:pPr>
        <w:pStyle w:val="ListBullet"/>
      </w:pPr>
      <w:r>
        <w:rPr>
          <w:rFonts w:ascii="Calibri" w:hAnsi="Calibri"/>
          <w:b/>
        </w:rPr>
        <w:t>Every alert path tested against real recorded data</w:t>
      </w:r>
      <w:r>
        <w:rPr>
          <w:rFonts w:ascii="Calibri" w:hAnsi="Calibri"/>
        </w:rPr>
        <w:t>, not synthetic input.</w:t>
      </w:r>
    </w:p>
    <w:p>
      <w:pPr>
        <w:pStyle w:val="ListBullet"/>
      </w:pPr>
      <w:r>
        <w:rPr>
          <w:rFonts w:ascii="Calibri" w:hAnsi="Calibri"/>
          <w:b/>
        </w:rPr>
        <w:t>Code review on every change</w:t>
      </w:r>
      <w:r>
        <w:rPr>
          <w:rFonts w:ascii="Calibri" w:hAnsi="Calibri"/>
        </w:rPr>
        <w:t>, with security-sensitive changes reviewed twice.</w:t>
      </w:r>
    </w:p>
    <w:p>
      <w:pPr>
        <w:pStyle w:val="ListBullet"/>
      </w:pPr>
      <w:r>
        <w:rPr>
          <w:rFonts w:ascii="Calibri" w:hAnsi="Calibri"/>
          <w:b/>
        </w:rPr>
        <w:t>Documentation written as we go</w:t>
      </w:r>
      <w:r>
        <w:rPr>
          <w:rFonts w:ascii="Calibri" w:hAnsi="Calibri"/>
        </w:rPr>
        <w:t>, not assembled at the end.</w:t>
      </w:r>
    </w:p>
    <w:p>
      <w:pPr>
        <w:pStyle w:val="Heading2"/>
      </w:pPr>
      <w:r>
        <w:t>16. Acceptance criteria</w:t>
      </w:r>
    </w:p>
    <w:p>
      <w:r>
        <w:rPr>
          <w:rFonts w:ascii="Calibri" w:hAnsi="Calibri"/>
        </w:rPr>
        <w:t>The system is complete when, demonstrably:</w:t>
      </w:r>
    </w:p>
    <w:p>
      <w:pPr>
        <w:pStyle w:val="ListNumber"/>
      </w:pPr>
      <w:r>
        <w:rPr>
          <w:rFonts w:ascii="Calibri" w:hAnsi="Calibri"/>
        </w:rPr>
        <w:t>Every reading from every logger reaches the database, proven by a failure drill that takes the API and the database offline mid-flight and reconnects them.</w:t>
      </w:r>
    </w:p>
    <w:p>
      <w:pPr>
        <w:pStyle w:val="ListNumber"/>
      </w:pPr>
      <w:r>
        <w:rPr>
          <w:rFonts w:ascii="Calibri" w:hAnsi="Calibri"/>
        </w:rPr>
        <w:t xml:space="preserve">A threshold breach produces screen, web push and email alerts </w:t>
      </w:r>
      <w:r>
        <w:rPr>
          <w:rFonts w:ascii="Calibri" w:hAnsi="Calibri"/>
          <w:b/>
        </w:rPr>
        <w:t>within 5 minutes</w:t>
      </w:r>
      <w:r>
        <w:rPr>
          <w:rFonts w:ascii="Calibri" w:hAnsi="Calibri"/>
        </w:rPr>
        <w:t>, measured end to end from the event-triggered transmission.</w:t>
      </w:r>
    </w:p>
    <w:p>
      <w:pPr>
        <w:pStyle w:val="ListNumber"/>
      </w:pPr>
      <w:r>
        <w:rPr>
          <w:rFonts w:ascii="Calibri" w:hAnsi="Calibri"/>
        </w:rPr>
        <w:t>A web push notification arrives on a phone with the portal closed and the device locked.</w:t>
      </w:r>
    </w:p>
    <w:p>
      <w:pPr>
        <w:pStyle w:val="ListNumber"/>
      </w:pPr>
      <w:r>
        <w:rPr>
          <w:rFonts w:ascii="Calibri" w:hAnsi="Calibri"/>
        </w:rPr>
        <w:t>Rainfall vigilance holds, restarts and clears correctly across a simulated multi-day event.</w:t>
      </w:r>
    </w:p>
    <w:p>
      <w:pPr>
        <w:pStyle w:val="ListNumber"/>
      </w:pPr>
      <w:r>
        <w:rPr>
          <w:rFonts w:ascii="Calibri" w:hAnsi="Calibri"/>
        </w:rPr>
        <w:t>A sensor failure moves alerting to its fallback source and re-words the alert automatically.</w:t>
      </w:r>
    </w:p>
    <w:p>
      <w:pPr>
        <w:pStyle w:val="ListNumber"/>
      </w:pPr>
      <w:r>
        <w:rPr>
          <w:rFonts w:ascii="Calibri" w:hAnsi="Calibri"/>
        </w:rPr>
        <w:t>An authorised operator can start and stop the Marrickville pumps from the portal, on desktop and phone, with the action recorded against their name.</w:t>
      </w:r>
    </w:p>
    <w:p>
      <w:pPr>
        <w:pStyle w:val="ListNumber"/>
      </w:pPr>
      <w:r>
        <w:rPr>
          <w:rFonts w:ascii="Calibri" w:hAnsi="Calibri"/>
        </w:rPr>
        <w:t>Years of history can be queried and charted without degradation.</w:t>
      </w:r>
    </w:p>
    <w:p>
      <w:pPr>
        <w:pStyle w:val="ListNumber"/>
      </w:pPr>
      <w:r>
        <w:rPr>
          <w:rFonts w:ascii="Calibri" w:hAnsi="Calibri"/>
        </w:rPr>
        <w:t>Twenty users can work concurrently with role and station scoping enforced.</w:t>
      </w:r>
    </w:p>
    <w:p>
      <w:pPr>
        <w:pStyle w:val="ListNumber"/>
      </w:pPr>
      <w:r>
        <w:rPr>
          <w:rFonts w:ascii="Calibri" w:hAnsi="Calibri"/>
        </w:rPr>
        <w:t>A penetration test is passed with no unresolved high-severity findings.</w:t>
      </w:r>
    </w:p>
    <w:p>
      <w:pPr>
        <w:pStyle w:val="ListNumber"/>
      </w:pPr>
      <w:r>
        <w:rPr>
          <w:rFonts w:ascii="Calibri" w:hAnsi="Calibri"/>
        </w:rPr>
        <w:t xml:space="preserve">A backup has been </w:t>
      </w:r>
      <w:r>
        <w:rPr>
          <w:rFonts w:ascii="Calibri" w:hAnsi="Calibri"/>
          <w:b/>
        </w:rPr>
        <w:t>restored</w:t>
      </w:r>
      <w:r>
        <w:rPr>
          <w:rFonts w:ascii="Calibri" w:hAnsi="Calibri"/>
        </w:rPr>
        <w:t xml:space="preserve"> and verified, not merely taken.</w:t>
      </w:r>
    </w:p>
    <w:p>
      <w:pPr>
        <w:pStyle w:val="Heading2"/>
      </w:pPr>
      <w:r>
        <w:t>17. In short</w:t>
      </w:r>
    </w:p>
    <w:p>
      <w:pPr>
        <w:pStyle w:val="ListBullet"/>
      </w:pPr>
      <w:r>
        <w:rPr>
          <w:rFonts w:ascii="Calibri" w:hAnsi="Calibri"/>
          <w:b/>
        </w:rPr>
        <w:t>3 months</w:t>
      </w:r>
      <w:r>
        <w:rPr>
          <w:rFonts w:ascii="Calibri" w:hAnsi="Calibri"/>
        </w:rPr>
        <w:t>, three deliverables, nothing in the Statement of Requirements left unassigned.</w:t>
      </w:r>
    </w:p>
    <w:p>
      <w:pPr>
        <w:pStyle w:val="ListBullet"/>
      </w:pPr>
      <w:r>
        <w:rPr>
          <w:rFonts w:ascii="Calibri" w:hAnsi="Calibri"/>
          <w:b/>
        </w:rPr>
        <w:t>A release every month</w:t>
      </w:r>
      <w:r>
        <w:rPr>
          <w:rFonts w:ascii="Calibri" w:hAnsi="Calibri"/>
        </w:rPr>
        <w:t xml:space="preserve"> — the system is in front of its users from Month 1, not demonstrated at the end.</w:t>
      </w:r>
    </w:p>
    <w:p>
      <w:pPr>
        <w:pStyle w:val="ListBullet"/>
      </w:pPr>
      <w:r>
        <w:rPr>
          <w:rFonts w:ascii="Calibri" w:hAnsi="Calibri"/>
          <w:b/>
        </w:rPr>
        <w:t>Month 1 is questions and answers</w:t>
      </w:r>
      <w:r>
        <w:rPr>
          <w:rFonts w:ascii="Calibri" w:hAnsi="Calibri"/>
        </w:rPr>
        <w:t xml:space="preserve"> as well as code, and the answers are needed in week 1 for the schedule to hold.</w:t>
      </w:r>
    </w:p>
    <w:p>
      <w:pPr>
        <w:pStyle w:val="ListBullet"/>
      </w:pPr>
      <w:r>
        <w:rPr>
          <w:rFonts w:ascii="Calibri" w:hAnsi="Calibri"/>
          <w:b/>
        </w:rPr>
        <w:t>One responsive application</w:t>
      </w:r>
      <w:r>
        <w:rPr>
          <w:rFonts w:ascii="Calibri" w:hAnsi="Calibri"/>
        </w:rPr>
        <w:t xml:space="preserve"> for desktop and phone. No separate app to build, submit or maintain.</w:t>
      </w:r>
    </w:p>
    <w:p>
      <w:pPr>
        <w:pStyle w:val="ListBullet"/>
      </w:pPr>
      <w:r>
        <w:rPr>
          <w:rFonts w:ascii="Calibri" w:hAnsi="Calibri"/>
          <w:b/>
        </w:rPr>
        <w:t>Web push</w:t>
      </w:r>
      <w:r>
        <w:rPr>
          <w:rFonts w:ascii="Calibri" w:hAnsi="Calibri"/>
        </w:rPr>
        <w:t xml:space="preserve"> delivers alerts with the browser closed, so SMS is not required — with the delivery layer built so SMS can be added later without redesign.</w:t>
      </w:r>
    </w:p>
    <w:p>
      <w:pPr>
        <w:pStyle w:val="ListBullet"/>
      </w:pPr>
      <w:r>
        <w:rPr>
          <w:rFonts w:ascii="Calibri" w:hAnsi="Calibri"/>
          <w:b/>
        </w:rPr>
        <w:t>Two components, not four.</w:t>
      </w:r>
      <w:r>
        <w:rPr>
          <w:rFonts w:ascii="Calibri" w:hAnsi="Calibri"/>
        </w:rPr>
        <w:t xml:space="preserve"> The queue and the cache went with the one-second requirement; three independent buffers already protect the data, and the file on disk outlasts any queue's retention.</w:t>
      </w:r>
    </w:p>
    <w:p>
      <w:pPr>
        <w:pStyle w:val="ListBullet"/>
      </w:pPr>
      <w:r>
        <w:rPr>
          <w:rFonts w:ascii="Calibri" w:hAnsi="Calibri"/>
          <w:b/>
        </w:rPr>
        <w:t>Nothing is ever lost and nothing is ever deleted</w:t>
      </w:r>
      <w:r>
        <w:rPr>
          <w:rFonts w:ascii="Calibri" w:hAnsi="Calibri"/>
        </w:rPr>
        <w:t xml:space="preserve"> — the standard the whole ingestion design is built to.</w:t>
      </w:r>
    </w:p>
    <w:sectPr w:rsidR="00FC693F" w:rsidRPr="0006063C" w:rsidSect="00034616">
      <w:pgSz w:w="12240" w:h="15840"/>
      <w:pgMar w:top="1253" w:right="1253" w:bottom="1253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59595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