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8.png" ContentType="image/png"/>
  <Override PartName="/word/media/rId45.png" ContentType="image/png"/>
  <Override PartName="/word/media/rId58.png" ContentType="image/png"/>
  <Override PartName="/word/media/rId2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Mapping the Field: Learnings from a Quarter-Century of Consumer-Technology Research</w:t>
      </w:r>
    </w:p>
    <w:p>
      <w:pPr>
        <w:pStyle w:val="Author"/>
      </w:pPr>
      <w:r>
        <w:t xml:space="preserve"> </w:t>
      </w:r>
    </w:p>
    <w:p>
      <w:pPr>
        <w:pStyle w:val="Author"/>
      </w:pPr>
      <w:r>
        <w:t xml:space="preserve">Sabou Rani Stocker</w:t>
      </w:r>
      <w:r>
        <w:rPr>
          <w:vertAlign w:val="superscript"/>
        </w:rPr>
        <w:t xml:space="preserve">1</w:t>
      </w:r>
      <w:r>
        <w:t xml:space="preserve">, Emanuel de Bellis</w:t>
      </w:r>
      <w:r>
        <w:rPr>
          <w:vertAlign w:val="superscript"/>
        </w:rPr>
        <w:t xml:space="preserve">1</w:t>
      </w:r>
      <w:r>
        <w:t xml:space="preserve">, Ana Valenzuela</w:t>
      </w:r>
      <w:r>
        <w:rPr>
          <w:vertAlign w:val="superscript"/>
        </w:rPr>
        <w:t xml:space="preserve">2</w:t>
      </w:r>
      <w:r>
        <w:t xml:space="preserve">, and Anne-Kathrin Klesse</w:t>
      </w:r>
      <w:r>
        <w:rPr>
          <w:vertAlign w:val="superscript"/>
        </w:rPr>
        <w:t xml:space="preserve">3</w:t>
      </w:r>
    </w:p>
    <w:p>
      <w:pPr>
        <w:pStyle w:val="Author"/>
      </w:pPr>
      <w:r>
        <w:rPr>
          <w:vertAlign w:val="superscript"/>
        </w:rPr>
        <w:t xml:space="preserve">1</w:t>
      </w:r>
      <w:r>
        <w:t xml:space="preserve">University of St. Gallen</w:t>
      </w:r>
    </w:p>
    <w:p>
      <w:pPr>
        <w:pStyle w:val="Author"/>
      </w:pPr>
      <w:r>
        <w:rPr>
          <w:vertAlign w:val="superscript"/>
        </w:rPr>
        <w:t xml:space="preserve">2</w:t>
      </w:r>
      <w:r>
        <w:t xml:space="preserve">ESADE Business School</w:t>
      </w:r>
    </w:p>
    <w:p>
      <w:pPr>
        <w:pStyle w:val="Author"/>
      </w:pPr>
      <w:r>
        <w:rPr>
          <w:vertAlign w:val="superscript"/>
        </w:rPr>
        <w:t xml:space="preserve">3</w:t>
      </w:r>
      <w:r>
        <w:t xml:space="preserve">Erasmus University Rotterdam</w:t>
      </w:r>
    </w:p>
    <w:p>
      <w:pPr>
        <w:pStyle w:val="BodyText"/>
      </w:pPr>
      <w:r>
        <w:t xml:space="preserve"> </w:t>
      </w:r>
    </w:p>
    <w:p>
      <w:pPr>
        <w:pStyle w:val="BodyText"/>
      </w:pPr>
      <w:r>
        <w:t xml:space="preserve"> </w:t>
      </w:r>
    </w:p>
    <w:bookmarkEnd w:id="20"/>
    <w:bookmarkStart w:id="22" w:name="author-note"/>
    <w:p>
      <w:pPr>
        <w:pStyle w:val="Heading1"/>
      </w:pPr>
      <w:r>
        <w:t xml:space="preserve">Author Note</w:t>
      </w:r>
    </w:p>
    <w:p>
      <w:pPr>
        <w:pStyle w:val="FirstParagraph"/>
      </w:pPr>
      <w:r>
        <w:t xml:space="preserve">Correspondence concerning this article should be addressed to Sabou Rani Stocker, University of St. Gallen, Email:</w:t>
      </w:r>
      <w:r>
        <w:t xml:space="preserve"> </w:t>
      </w:r>
      <w:hyperlink r:id="rId21">
        <w:r>
          <w:rPr>
            <w:rStyle w:val="Hyperlink"/>
          </w:rPr>
          <w:t xml:space="preserve">sabourani.stocker@unisg.ch</w:t>
        </w:r>
      </w:hyperlink>
    </w:p>
    <w:p>
      <w:r>
        <w:br w:type="page"/>
      </w:r>
    </w:p>
    <w:bookmarkEnd w:id="22"/>
    <w:bookmarkStart w:id="23" w:name="abstract"/>
    <w:p>
      <w:pPr>
        <w:pStyle w:val="Heading1"/>
      </w:pPr>
      <w:r>
        <w:t xml:space="preserve">Abstract</w:t>
      </w:r>
    </w:p>
    <w:p>
      <w:pPr>
        <w:pStyle w:val="AbstractFirstParagraph"/>
      </w:pPr>
      <w:r>
        <w:t xml:space="preserve">Consumer technology research continually shifts as new technologies emerge, challenging cumulative science in a domain where the empirical object itself keeps changing. We build a quarter-century overview of how the field adapts and accumulates knowledge by screening 10,000 articles from seven leading marketing and consumer research journals and mapping out 16 technology clusters through semantic modeling. Specifically, we (1) map how academic attention moves across successive technology waves, (2) examine co-citation, historiographic coupling, and journal citation patterns to determine whether domains build on shared intellectual foundations, and (3) compare these trajectories with media attention to assess whether the field redirects its attention toward technologies that become salient in its external environment. We find distinct academic waves that are generally weakly aligned with media attention but remain substantially intellectually interconnected. Benchmarking Generative AI against these historical patterns, we find that it has been adopted across journals at unprecedented speed, yet rests on a comparatively narrow intellectual foundation and draws on earlier technology clusters less than those clusters already draw on it. We derive implications for researchers, and for journals, whose agenda-setting role makes them central to ensuring that attention to emerging technologies advances cumulative rather than merely novel knowledge.</w:t>
      </w:r>
    </w:p>
    <w:p>
      <w:pPr>
        <w:pStyle w:val="BodyText"/>
      </w:pPr>
      <w:r>
        <w:rPr>
          <w:i/>
          <w:iCs/>
        </w:rPr>
        <w:t xml:space="preserve">Keywords</w:t>
      </w:r>
      <w:r>
        <w:t xml:space="preserve">: new consumer technologies, generative AI, semantic modeling, bibliometric analysis, media attention</w:t>
      </w:r>
    </w:p>
    <w:p>
      <w:r>
        <w:br w:type="page"/>
      </w:r>
    </w:p>
    <w:bookmarkEnd w:id="23"/>
    <w:bookmarkStart w:id="24" w:name="firstheader"/>
    <w:p>
      <w:pPr>
        <w:pStyle w:val="Heading1"/>
      </w:pPr>
      <w:r>
        <w:t xml:space="preserve">Mapping the Field: Learnings from a Quarter-Century of Consumer-Technology Research</w:t>
      </w:r>
    </w:p>
    <w:bookmarkEnd w:id="24"/>
    <w:bookmarkStart w:id="25" w:name="introduction"/>
    <w:p>
      <w:pPr>
        <w:pStyle w:val="Heading1"/>
      </w:pPr>
      <w:r>
        <w:t xml:space="preserve">Introduction</w:t>
      </w:r>
    </w:p>
    <w:p>
      <w:pPr>
        <w:pStyle w:val="FirstParagraph"/>
      </w:pPr>
      <w:r>
        <w:t xml:space="preserve">Over the past quarter-century, marketing and consumer research has shown increased interest and publication output in new consumer technologies</w:t>
      </w:r>
      <w:r>
        <w:t xml:space="preserve"> </w:t>
      </w:r>
      <w:r>
        <w:t xml:space="preserve">(</w:t>
      </w:r>
      <w:hyperlink w:anchor="ref-hoffmanRiseNewTechnologies2022">
        <w:r>
          <w:rPr>
            <w:rStyle w:val="Hyperlink"/>
          </w:rPr>
          <w:t xml:space="preserve">Hoffman et al., 2022</w:t>
        </w:r>
      </w:hyperlink>
      <w:r>
        <w:t xml:space="preserve">)</w:t>
      </w:r>
      <w:r>
        <w:t xml:space="preserve">, with Generative Artificial Intelligence (Generative AI) latest in line. Generative AI has permeated many aspects of individuals’, marketers’, and researchers’ experience at an unprecedented impact and pace</w:t>
      </w:r>
      <w:r>
        <w:t xml:space="preserve"> </w:t>
      </w:r>
      <w:r>
        <w:t xml:space="preserve">(</w:t>
      </w:r>
      <w:hyperlink w:anchor="ref-cilloGenerativeAIInnovation2025">
        <w:r>
          <w:rPr>
            <w:rStyle w:val="Hyperlink"/>
          </w:rPr>
          <w:t xml:space="preserve">Cillo &amp; Rubera, 2025</w:t>
        </w:r>
      </w:hyperlink>
      <w:r>
        <w:t xml:space="preserve">;</w:t>
      </w:r>
      <w:r>
        <w:t xml:space="preserve"> </w:t>
      </w:r>
      <w:hyperlink w:anchor="ref-grewalHowGenerativeAI2025">
        <w:r>
          <w:rPr>
            <w:rStyle w:val="Hyperlink"/>
          </w:rPr>
          <w:t xml:space="preserve">Grewal et al., 2025</w:t>
        </w:r>
      </w:hyperlink>
      <w:r>
        <w:t xml:space="preserve">;</w:t>
      </w:r>
      <w:r>
        <w:t xml:space="preserve"> </w:t>
      </w:r>
      <w:hyperlink w:anchor="ref-wangEditorialChangingLandscape2026">
        <w:r>
          <w:rPr>
            <w:rStyle w:val="Hyperlink"/>
          </w:rPr>
          <w:t xml:space="preserve">C. L. Wang, 2026</w:t>
        </w:r>
      </w:hyperlink>
      <w:r>
        <w:t xml:space="preserve">)</w:t>
      </w:r>
      <w:r>
        <w:t xml:space="preserve">. Demonstrating rapid adoption rates</w:t>
      </w:r>
      <w:r>
        <w:t xml:space="preserve"> </w:t>
      </w:r>
      <w:r>
        <w:t xml:space="preserve">(</w:t>
      </w:r>
      <w:hyperlink w:anchor="ref-huChatGPTSetsRecord2023">
        <w:r>
          <w:rPr>
            <w:rStyle w:val="Hyperlink"/>
          </w:rPr>
          <w:t xml:space="preserve">Hu &amp; Hu, 2023</w:t>
        </w:r>
      </w:hyperlink>
      <w:r>
        <w:t xml:space="preserve">;</w:t>
      </w:r>
      <w:r>
        <w:t xml:space="preserve"> </w:t>
      </w:r>
      <w:hyperlink w:anchor="ref-MostVisitedWebsites">
        <w:r>
          <w:rPr>
            <w:rStyle w:val="Hyperlink"/>
          </w:rPr>
          <w:t xml:space="preserve">Semrush, 2026</w:t>
        </w:r>
      </w:hyperlink>
      <w:r>
        <w:t xml:space="preserve">)</w:t>
      </w:r>
      <w:r>
        <w:t xml:space="preserve"> </w:t>
      </w:r>
      <w:r>
        <w:t xml:space="preserve">and implementation proliferation across many technologies and processes</w:t>
      </w:r>
      <w:r>
        <w:t xml:space="preserve"> </w:t>
      </w:r>
      <w:r>
        <w:t xml:space="preserve">(</w:t>
      </w:r>
      <w:hyperlink w:anchor="ref-cilloGenerativeAIInnovation2025">
        <w:r>
          <w:rPr>
            <w:rStyle w:val="Hyperlink"/>
          </w:rPr>
          <w:t xml:space="preserve">Cillo &amp; Rubera, 2025</w:t>
        </w:r>
      </w:hyperlink>
      <w:r>
        <w:t xml:space="preserve">;</w:t>
      </w:r>
      <w:r>
        <w:t xml:space="preserve"> </w:t>
      </w:r>
      <w:hyperlink w:anchor="ref-grewalHowGenerativeAI2025">
        <w:r>
          <w:rPr>
            <w:rStyle w:val="Hyperlink"/>
          </w:rPr>
          <w:t xml:space="preserve">Grewal et al., 2025</w:t>
        </w:r>
      </w:hyperlink>
      <w:r>
        <w:t xml:space="preserve">)</w:t>
      </w:r>
      <w:r>
        <w:t xml:space="preserve">, it is unsurprising that this new consumer technology is salient in both business and academic discourse</w:t>
      </w:r>
      <w:r>
        <w:t xml:space="preserve"> </w:t>
      </w:r>
      <w:r>
        <w:t xml:space="preserve">(</w:t>
      </w:r>
      <w:hyperlink w:anchor="ref-specialissue2026">
        <w:r>
          <w:rPr>
            <w:rStyle w:val="Hyperlink"/>
          </w:rPr>
          <w:t xml:space="preserve">Bart et al., 2026</w:t>
        </w:r>
      </w:hyperlink>
      <w:r>
        <w:t xml:space="preserve">;</w:t>
      </w:r>
      <w:r>
        <w:t xml:space="preserve"> </w:t>
      </w:r>
      <w:hyperlink w:anchor="ref-kennedyHowAmericansView2025">
        <w:r>
          <w:rPr>
            <w:rStyle w:val="Hyperlink"/>
          </w:rPr>
          <w:t xml:space="preserve">Kennedy et al., 2025</w:t>
        </w:r>
      </w:hyperlink>
      <w:r>
        <w:t xml:space="preserve">;</w:t>
      </w:r>
      <w:r>
        <w:t xml:space="preserve"> </w:t>
      </w:r>
      <w:hyperlink w:anchor="ref-wangEditorialChangingLandscape2026">
        <w:r>
          <w:rPr>
            <w:rStyle w:val="Hyperlink"/>
          </w:rPr>
          <w:t xml:space="preserve">C. L. Wang, 2026</w:t>
        </w:r>
      </w:hyperlink>
      <w:r>
        <w:t xml:space="preserve">)</w:t>
      </w:r>
      <w:r>
        <w:t xml:space="preserve">. At the same time, critical voices warn that the</w:t>
      </w:r>
      <w:r>
        <w:t xml:space="preserve"> </w:t>
      </w:r>
      <w:r>
        <w:t xml:space="preserve">“AI hype”</w:t>
      </w:r>
      <w:r>
        <w:t xml:space="preserve"> </w:t>
      </w:r>
      <w:r>
        <w:t xml:space="preserve">is not a revolution, but merely the next step in technological evolution</w:t>
      </w:r>
      <w:r>
        <w:t xml:space="preserve"> </w:t>
      </w:r>
      <w:r>
        <w:t xml:space="preserve">(</w:t>
      </w:r>
      <w:hyperlink w:anchor="ref-moschellaAIMuchMore2025">
        <w:r>
          <w:rPr>
            <w:rStyle w:val="Hyperlink"/>
          </w:rPr>
          <w:t xml:space="preserve">Moschella, 2025</w:t>
        </w:r>
      </w:hyperlink>
      <w:r>
        <w:t xml:space="preserve">;</w:t>
      </w:r>
      <w:r>
        <w:t xml:space="preserve"> </w:t>
      </w:r>
      <w:hyperlink w:anchor="ref-zacharyAIRevolutionLatest2026">
        <w:r>
          <w:rPr>
            <w:rStyle w:val="Hyperlink"/>
          </w:rPr>
          <w:t xml:space="preserve">Zachary, 2026</w:t>
        </w:r>
      </w:hyperlink>
      <w:r>
        <w:t xml:space="preserve">)</w:t>
      </w:r>
      <w:r>
        <w:t xml:space="preserve">. While other work discusses how Generative AI disrupts patterns in consumers’ usage of technologies [source], or marketers’ approach to integrating new technologies into their business</w:t>
      </w:r>
      <w:r>
        <w:t xml:space="preserve"> </w:t>
      </w:r>
      <w:r>
        <w:t xml:space="preserve">(</w:t>
      </w:r>
      <w:hyperlink w:anchor="ref-cilloGenerativeAIInnovation2025">
        <w:r>
          <w:rPr>
            <w:rStyle w:val="Hyperlink"/>
          </w:rPr>
          <w:t xml:space="preserve">Cillo &amp; Rubera, 2025</w:t>
        </w:r>
      </w:hyperlink>
      <w:r>
        <w:t xml:space="preserve">)</w:t>
      </w:r>
      <w:r>
        <w:t xml:space="preserve">, in this paper we turn the perspective towards ourselves as researchers in the domain of consumer technology research, and ask: Is Generative AI as a new consumer technology different than what our field has studied before?</w:t>
      </w:r>
      <w:r>
        <w:t xml:space="preserve"> </w:t>
      </w:r>
    </w:p>
    <w:p>
      <w:pPr>
        <w:pStyle w:val="BodyText"/>
      </w:pPr>
      <w:r>
        <w:t xml:space="preserve">We consider the answer to this question is consequential on three grounds: First, researchers in marketing and consumer research can have substantive impact on consumer wellbeing, policymaking and regulations [source]. Generative AI has undoubtedly had a profound impact in a relatively short amount of time, warranting the attention devoted to it by both academics and the public. Yet we must ask if this comes at a cost: The attention we can devote as a field is limited due to factors such as the publishing and review process [], funding [], and – at the end of the day – simply the researcher’s time. The question is therefore not only how much attention we pay to Generative AI, but also at the cost of what else. We therefore ask: How does our field allocate attention to consumer technologies, and does Generative AI disrupt these patterns?</w:t>
      </w:r>
    </w:p>
    <w:p>
      <w:pPr>
        <w:pStyle w:val="BodyText"/>
      </w:pPr>
      <w:r>
        <w:t xml:space="preserve">Second, research on consumer technologies is fast-paced and evolving as fast as the technologies themselves</w:t>
      </w:r>
      <w:r>
        <w:t xml:space="preserve"> </w:t>
      </w:r>
      <w:r>
        <w:t xml:space="preserve">(</w:t>
      </w:r>
      <w:hyperlink w:anchor="ref-hoffmanRiseNewTechnologies2022">
        <w:r>
          <w:rPr>
            <w:rStyle w:val="Hyperlink"/>
          </w:rPr>
          <w:t xml:space="preserve">Hoffman et al., 2022</w:t>
        </w:r>
      </w:hyperlink>
      <w:r>
        <w:t xml:space="preserve">;</w:t>
      </w:r>
      <w:r>
        <w:t xml:space="preserve"> </w:t>
      </w:r>
      <w:hyperlink w:anchor="ref-malterPresentFutureConsumer2020">
        <w:r>
          <w:rPr>
            <w:rStyle w:val="Hyperlink"/>
          </w:rPr>
          <w:t xml:space="preserve">Malter et al., 2020</w:t>
        </w:r>
      </w:hyperlink>
      <w:r>
        <w:t xml:space="preserve">)</w:t>
      </w:r>
      <w:r>
        <w:t xml:space="preserve">. To produce scientific output that is relevant, we must focus on the essence of these technologies</w:t>
      </w:r>
      <w:r>
        <w:t xml:space="preserve"> </w:t>
      </w:r>
      <w:r>
        <w:t xml:space="preserve">(</w:t>
      </w:r>
      <w:hyperlink w:anchor="ref-VisibleMeasurableImmediate">
        <w:r>
          <w:rPr>
            <w:rStyle w:val="Hyperlink"/>
          </w:rPr>
          <w:t xml:space="preserve">de Bellis et al., 2026</w:t>
        </w:r>
      </w:hyperlink>
      <w:r>
        <w:t xml:space="preserve">)</w:t>
      </w:r>
      <w:r>
        <w:t xml:space="preserve">, and we must build a scientific agenda that is cumulative instead of isolated to be able to keep up, but also to understand the fundamental similarities and differences between many fast-paced iterations within and across technologies</w:t>
      </w:r>
      <w:r>
        <w:t xml:space="preserve"> </w:t>
      </w:r>
      <w:r>
        <w:t xml:space="preserve">(</w:t>
      </w:r>
      <w:hyperlink w:anchor="ref-VisibleMeasurableImmediate">
        <w:r>
          <w:rPr>
            <w:rStyle w:val="Hyperlink"/>
          </w:rPr>
          <w:t xml:space="preserve">de Bellis et al., 2026</w:t>
        </w:r>
      </w:hyperlink>
      <w:r>
        <w:t xml:space="preserve">;</w:t>
      </w:r>
      <w:r>
        <w:t xml:space="preserve"> </w:t>
      </w:r>
      <w:hyperlink w:anchor="ref-malterPresentFutureConsumer2020">
        <w:r>
          <w:rPr>
            <w:rStyle w:val="Hyperlink"/>
          </w:rPr>
          <w:t xml:space="preserve">Malter et al., 2020</w:t>
        </w:r>
      </w:hyperlink>
      <w:r>
        <w:t xml:space="preserve">)</w:t>
      </w:r>
      <w:r>
        <w:t xml:space="preserve">. Especially with a technology such as Generative AI, we must carefully investigate our fields response, as its adoption and proliferation happens at unprecedented speed</w:t>
      </w:r>
      <w:r>
        <w:t xml:space="preserve"> </w:t>
      </w:r>
      <w:r>
        <w:t xml:space="preserve">(</w:t>
      </w:r>
      <w:hyperlink w:anchor="ref-grewalHowGenerativeAI2025">
        <w:r>
          <w:rPr>
            <w:rStyle w:val="Hyperlink"/>
          </w:rPr>
          <w:t xml:space="preserve">Grewal et al., 2025</w:t>
        </w:r>
      </w:hyperlink>
      <w:r>
        <w:t xml:space="preserve">;</w:t>
      </w:r>
      <w:r>
        <w:t xml:space="preserve"> </w:t>
      </w:r>
      <w:hyperlink w:anchor="ref-MostVisitedWebsites">
        <w:r>
          <w:rPr>
            <w:rStyle w:val="Hyperlink"/>
          </w:rPr>
          <w:t xml:space="preserve">Semrush, 2026</w:t>
        </w:r>
      </w:hyperlink>
      <w:r>
        <w:t xml:space="preserve">)</w:t>
      </w:r>
      <w:r>
        <w:t xml:space="preserve">, but also its scope [source]. Without relying on what we already know, we will not be able to build a cumulative understanding of what is to come, limiting our ability to offer value to consumers and policymakers (point 1). We therefore ask: How does our field connect its research within and across technologies, what theories do we build on, and does Generative AI demonstrate a different type of connectedness than we produced before?</w:t>
      </w:r>
    </w:p>
    <w:p>
      <w:pPr>
        <w:pStyle w:val="BodyText"/>
      </w:pPr>
      <w:r>
        <w:t xml:space="preserve">Third, research does not happen in isolation. The attention we devote to consumer technologies must match the importance given to these technologies by the public at least to a certain extent, as our research has value to offer, and we must direct our limited attention to the areas that matter to the public [some sources]. In the context of Generative AI, it is easy to be fooled into thinking that it is all consumers talk about. But is this truly the case, and if not, what else has mattered in the past, and matters now in the current landscape of consumer technologies? Understanding where the public puts its attention may also help us understand if the cost we pay to study Generative AI (point 1) is set in the right place. We therefore ask: How strongly is our research agenda influenced by what matters to the public, and is it different for Generative AI?</w:t>
      </w:r>
    </w:p>
    <w:p>
      <w:pPr>
        <w:pStyle w:val="BodyText"/>
      </w:pPr>
      <w:r>
        <w:t xml:space="preserve">Understanding how Generative AI compares to earlier consumer technologies is relevant for stakeholders across the scientific ecosystem: Journals are influential in how they set their agendas, and therefore substantively shape where researchers put their attention. Researchers on the other hand side are both motivated by what type of research is called for in journals, but also by what calls for attention in the public domain. At the same time, demands for innovation and novelty may disincentivize research on so-called hype topics [sources]. Lastly, institutions and funding bodies are called to allocate resources to research that has impact and matters to the public, but also to ensure that our field advances cumulatively over building many isolated streams of research, missing out on vital learnings from each other.</w:t>
      </w:r>
    </w:p>
    <w:p>
      <w:pPr>
        <w:pStyle w:val="BodyText"/>
      </w:pPr>
      <w:r>
        <w:t xml:space="preserve">All of our questions are inherently comparative, and cannot be answered by looking at Generative AI in isolation. Resultingly, in this paper, we follow two objectives: First, we aim to get a comprehensive overview of how consumer technology research has evolved at large, understanding diffusion patterns of attention to individual consumer technologies, the research domains’ intellectual foundation and interconnectedness, and how academic attention towards consumer technologies tracks against public salience. Second, we aim to use this overview as a baseline and contrast it with the case of Generative AI across all three dimensions. As we argue that journals play a major role in how a research agenda evolves, we additionally aim to understand the influence of individual leading marketing journals on the trajectory of consumer technology research as a whole, and the case of Generative AI specifically.</w:t>
      </w:r>
    </w:p>
    <w:p>
      <w:pPr>
        <w:pStyle w:val="BodyText"/>
      </w:pPr>
      <w:r>
        <w:t xml:space="preserve">This paper contributes to the understanding of our field in three ways: While several studies demonstrate the speed and breadth of publications disseminating Generative AI</w:t>
      </w:r>
      <w:r>
        <w:t xml:space="preserve"> </w:t>
      </w:r>
      <w:r>
        <w:t xml:space="preserve">(</w:t>
      </w:r>
      <w:hyperlink w:anchor="ref-ramanUnveilingDynamicsAI2024">
        <w:r>
          <w:rPr>
            <w:rStyle w:val="Hyperlink"/>
          </w:rPr>
          <w:t xml:space="preserve">Raman et al., 2024</w:t>
        </w:r>
      </w:hyperlink>
      <w:r>
        <w:t xml:space="preserve">;</w:t>
      </w:r>
      <w:r>
        <w:t xml:space="preserve"> </w:t>
      </w:r>
      <w:hyperlink w:anchor="ref-riandhiAIConsumerBehavior2025">
        <w:r>
          <w:rPr>
            <w:rStyle w:val="Hyperlink"/>
          </w:rPr>
          <w:t xml:space="preserve">Riandhi et al., 2025</w:t>
        </w:r>
      </w:hyperlink>
      <w:r>
        <w:t xml:space="preserve">)</w:t>
      </w:r>
      <w:r>
        <w:t xml:space="preserve">, to the best of our knowledge, there is currently no study systematically comparing our fields response to Generative AI with earlier technologies. We address this by building an overview of a quarter-century of empirical consumer technology research in marketing and classifying consumer technologies into clusters, thereby providing a baseline against which we can compare our fields reaction to previous technology clusters to the one to Generative AI (analysis 1). Second, we conduct a bibliometric analysis on this overview, highlighting the interconnectedness of our field within and across research on specific clusters of consumer technologies. We again highlight where the reaction to Generative AI falls within the established connectedness and theoretical foundation of our field, and where it breaks out (analysis 3). Lastly, we contribute to literature by extending our perspective from looking within our field, to looking at public salience of consumer technologies discussed in academic literature by constructing a public attention benchmark by using media mentions as a proxy for public salience. We contrast academic and public attention overall and across time, and again highlight how Generative AI breaks previous patterns.</w:t>
      </w:r>
    </w:p>
    <w:p>
      <w:r>
        <w:br w:type="page"/>
      </w:r>
    </w:p>
    <w:bookmarkEnd w:id="25"/>
    <w:bookmarkStart w:id="36" w:name="Xe0edb79da80fb455bcf5cb4a9ff2c106b5eea2e"/>
    <w:p>
      <w:pPr>
        <w:pStyle w:val="Heading1"/>
      </w:pPr>
      <w:r>
        <w:t xml:space="preserve">Tracking the Field of Consumer-Technology Interaction</w:t>
      </w:r>
    </w:p>
    <w:p>
      <w:pPr>
        <w:pStyle w:val="FirstParagraph"/>
      </w:pPr>
      <w:r>
        <w:t xml:space="preserve">Research on consumer technologies is difficult to track: its empirical body is constantly evolving, which makes a comprehensive search strategy hard to define, and technologies can be grouped differently depending on use case and application, which makes them hard to categorize. A financial trading app, for example, could be classified as both an App technology and a Financial technology. The field therefore has no naturally built-in unit of analysis at which its accumulated knowledge can be described.</w:t>
      </w:r>
    </w:p>
    <w:p>
      <w:pPr>
        <w:pStyle w:val="BodyText"/>
      </w:pPr>
      <w:r>
        <w:t xml:space="preserve">To build our overview of consumer technologies studied over the past 26 years, we therefore rely on a different toolset from traditional systematic literature reviews, or meta-analyses, and combine approaches from semantic modeling with bibliometric analyses: Using a combined approach of LLM pipelines to identify relevant articles, creating context-sensitive embedding representations of consumer technologies using SBERT-based embedding models</w:t>
      </w:r>
      <w:r>
        <w:t xml:space="preserve"> </w:t>
      </w:r>
      <w:r>
        <w:t xml:space="preserve">(</w:t>
      </w:r>
      <w:hyperlink w:anchor="ref-reimers2019sentencebert">
        <w:r>
          <w:rPr>
            <w:rStyle w:val="Hyperlink"/>
          </w:rPr>
          <w:t xml:space="preserve">Reimers &amp; Gurevych, 2019</w:t>
        </w:r>
      </w:hyperlink>
      <w:r>
        <w:t xml:space="preserve">)</w:t>
      </w:r>
      <w:r>
        <w:t xml:space="preserve">, UMAP</w:t>
      </w:r>
      <w:r>
        <w:t xml:space="preserve"> </w:t>
      </w:r>
      <w:r>
        <w:t xml:space="preserve">(</w:t>
      </w:r>
      <w:hyperlink w:anchor="ref-mcinnesUMAPUniformManifold2018">
        <w:r>
          <w:rPr>
            <w:rStyle w:val="Hyperlink"/>
          </w:rPr>
          <w:t xml:space="preserve">McInnes et al., 2018</w:t>
        </w:r>
      </w:hyperlink>
      <w:r>
        <w:t xml:space="preserve">)</w:t>
      </w:r>
      <w:r>
        <w:t xml:space="preserve"> </w:t>
      </w:r>
      <w:r>
        <w:t xml:space="preserve">and k-means clustering</w:t>
      </w:r>
      <w:r>
        <w:t xml:space="preserve"> </w:t>
      </w:r>
      <w:r>
        <w:t xml:space="preserve">(</w:t>
      </w:r>
      <w:hyperlink w:anchor="ref-daviesClusterSeparationMeasure1979">
        <w:r>
          <w:rPr>
            <w:rStyle w:val="Hyperlink"/>
          </w:rPr>
          <w:t xml:space="preserve">Davies &amp; Bouldin, 1979</w:t>
        </w:r>
      </w:hyperlink>
      <w:r>
        <w:t xml:space="preserve">)</w:t>
      </w:r>
      <w:r>
        <w:t xml:space="preserve">, we identify</w:t>
      </w:r>
      <w:r>
        <w:t xml:space="preserve"> </w:t>
      </w:r>
      <m:oMath>
        <m:r>
          <m:t>901</m:t>
        </m:r>
      </m:oMath>
      <w:r>
        <w:t xml:space="preserve"> </w:t>
      </w:r>
      <w:r>
        <w:t xml:space="preserve">consumer technologies and cluster them into</w:t>
      </w:r>
      <w:r>
        <w:t xml:space="preserve"> </w:t>
      </w:r>
      <m:oMath>
        <m:r>
          <m:t>16</m:t>
        </m:r>
      </m:oMath>
      <w:r>
        <w:t xml:space="preserve"> </w:t>
      </w:r>
      <w:r>
        <w:t xml:space="preserve">technology clusters. We justify this method following earlier work that shows that semantic similarities and differences can carry meaningful implications for construct-level differences and similarities</w:t>
      </w:r>
      <w:r>
        <w:t xml:space="preserve"> </w:t>
      </w:r>
      <w:r>
        <w:t xml:space="preserve">(</w:t>
      </w:r>
      <w:hyperlink w:anchor="ref-fischerReuseNeedlePay2024">
        <w:r>
          <w:rPr>
            <w:rStyle w:val="Hyperlink"/>
          </w:rPr>
          <w:t xml:space="preserve">Fischer et al., 2024</w:t>
        </w:r>
      </w:hyperlink>
      <w:r>
        <w:t xml:space="preserve">;</w:t>
      </w:r>
      <w:r>
        <w:t xml:space="preserve"> </w:t>
      </w:r>
      <w:hyperlink w:anchor="ref-wulffEscapingJingleJangleJungle2026">
        <w:r>
          <w:rPr>
            <w:rStyle w:val="Hyperlink"/>
          </w:rPr>
          <w:t xml:space="preserve">Wulff &amp; Mata, 2026</w:t>
        </w:r>
      </w:hyperlink>
      <w:r>
        <w:t xml:space="preserve">)</w:t>
      </w:r>
      <w:r>
        <w:t xml:space="preserve">. We then use bibliometric approaches such as historiographic plots and analyses, and co-citation clusters</w:t>
      </w:r>
      <w:r>
        <w:t xml:space="preserve"> </w:t>
      </w:r>
      <w:r>
        <w:t xml:space="preserve">(</w:t>
      </w:r>
      <w:hyperlink w:anchor="X77c6a6fb7e9371a37a306d4adddd389bde7954b">
        <w:r>
          <w:rPr>
            <w:rStyle w:val="Hyperlink"/>
          </w:rPr>
          <w:t xml:space="preserve">Aria &amp; Cuccurullo, 2017</w:t>
        </w:r>
      </w:hyperlink>
      <w:r>
        <w:t xml:space="preserve">;</w:t>
      </w:r>
      <w:r>
        <w:t xml:space="preserve"> </w:t>
      </w:r>
      <w:hyperlink w:anchor="ref-donthuHowConductBibliometric2021">
        <w:r>
          <w:rPr>
            <w:rStyle w:val="Hyperlink"/>
          </w:rPr>
          <w:t xml:space="preserve">Donthu et al., 2021</w:t>
        </w:r>
      </w:hyperlink>
      <w:r>
        <w:t xml:space="preserve">)</w:t>
      </w:r>
      <w:r>
        <w:t xml:space="preserve"> </w:t>
      </w:r>
      <w:r>
        <w:t xml:space="preserve">to generalize patterns in our corpus. Lastly, we supplement our semantic and bibliometric analysis with an external media comparison, relying on the open-source MediaCloud collection</w:t>
      </w:r>
      <w:r>
        <w:t xml:space="preserve"> </w:t>
      </w:r>
      <w:r>
        <w:t xml:space="preserve">(</w:t>
      </w:r>
      <w:hyperlink w:anchor="ref-bermejoMediaCloud202026">
        <w:r>
          <w:rPr>
            <w:rStyle w:val="Hyperlink"/>
          </w:rPr>
          <w:t xml:space="preserve">Bermejo et al., 2026</w:t>
        </w:r>
      </w:hyperlink>
      <w:r>
        <w:t xml:space="preserve">)</w:t>
      </w:r>
      <w:r>
        <w:t xml:space="preserve">.</w:t>
      </w:r>
    </w:p>
    <w:bookmarkStart w:id="30" w:name="inclusion-and-exclusion-of-articles"/>
    <w:p>
      <w:pPr>
        <w:pStyle w:val="Heading2"/>
      </w:pPr>
      <w:r>
        <w:t xml:space="preserve">Inclusion and Exclusion of Articles</w:t>
      </w:r>
    </w:p>
    <w:p>
      <w:pPr>
        <w:pStyle w:val="FirstParagraph"/>
      </w:pPr>
      <w:r>
        <w:t xml:space="preserve">Using SCOPUS and Web of Science, we collect all papers published between January 1st, 2000 and June 30th, 2026 in the seven leading marketing journals</w:t>
      </w:r>
      <w:r>
        <w:t xml:space="preserve"> </w:t>
      </w:r>
      <w:r>
        <w:rPr>
          <w:i/>
          <w:iCs/>
        </w:rPr>
        <w:t xml:space="preserve">Journal of the Academy of Marketing Science (JAMS)</w:t>
      </w:r>
      <w:r>
        <w:t xml:space="preserve">,</w:t>
      </w:r>
      <w:r>
        <w:t xml:space="preserve"> </w:t>
      </w:r>
      <w:r>
        <w:rPr>
          <w:i/>
          <w:iCs/>
        </w:rPr>
        <w:t xml:space="preserve">Journal of Consumer Psychology (JCP)</w:t>
      </w:r>
      <w:r>
        <w:t xml:space="preserve">,</w:t>
      </w:r>
      <w:r>
        <w:t xml:space="preserve"> </w:t>
      </w:r>
      <w:r>
        <w:rPr>
          <w:i/>
          <w:iCs/>
        </w:rPr>
        <w:t xml:space="preserve">Journal of Consumer Research (JCR)</w:t>
      </w:r>
      <w:r>
        <w:t xml:space="preserve">,</w:t>
      </w:r>
      <w:r>
        <w:t xml:space="preserve"> </w:t>
      </w:r>
      <w:r>
        <w:rPr>
          <w:i/>
          <w:iCs/>
        </w:rPr>
        <w:t xml:space="preserve">Journal of Marketing (JM)</w:t>
      </w:r>
      <w:r>
        <w:t xml:space="preserve">,</w:t>
      </w:r>
      <w:r>
        <w:t xml:space="preserve"> </w:t>
      </w:r>
      <w:r>
        <w:rPr>
          <w:i/>
          <w:iCs/>
        </w:rPr>
        <w:t xml:space="preserve">Journal of Marketing Research (JMR)</w:t>
      </w:r>
      <w:r>
        <w:t xml:space="preserve">,</w:t>
      </w:r>
      <w:r>
        <w:t xml:space="preserve"> </w:t>
      </w:r>
      <w:r>
        <w:rPr>
          <w:i/>
          <w:iCs/>
        </w:rPr>
        <w:t xml:space="preserve">Marketing Science (MS)</w:t>
      </w:r>
      <w:r>
        <w:t xml:space="preserve">, and the</w:t>
      </w:r>
      <w:r>
        <w:t xml:space="preserve"> </w:t>
      </w:r>
      <w:r>
        <w:rPr>
          <w:i/>
          <w:iCs/>
        </w:rPr>
        <w:t xml:space="preserve">International Journal of Research in Marketing (IJRM)</w:t>
      </w:r>
      <w:r>
        <w:t xml:space="preserve">. Merging and deduplicating the two databases with the bibliometrix package</w:t>
      </w:r>
      <w:r>
        <w:t xml:space="preserve"> </w:t>
      </w:r>
      <w:r>
        <w:t xml:space="preserve">(</w:t>
      </w:r>
      <w:hyperlink w:anchor="X77c6a6fb7e9371a37a306d4adddd389bde7954b">
        <w:r>
          <w:rPr>
            <w:rStyle w:val="Hyperlink"/>
          </w:rPr>
          <w:t xml:space="preserve">Aria &amp; Cuccurullo, 2017</w:t>
        </w:r>
      </w:hyperlink>
      <w:r>
        <w:t xml:space="preserve">)</w:t>
      </w:r>
      <w:r>
        <w:t xml:space="preserve">, we identify</w:t>
      </w:r>
      <w:r>
        <w:t xml:space="preserve"> </w:t>
      </w:r>
      <m:oMath>
        <m:r>
          <m:t>10</m:t>
        </m:r>
        <m:r>
          <m:rPr>
            <m:sty m:val="p"/>
          </m:rPr>
          <m:t>,</m:t>
        </m:r>
        <m:r>
          <m:t>140</m:t>
        </m:r>
      </m:oMath>
      <w:r>
        <w:t xml:space="preserve"> </w:t>
      </w:r>
      <w:r>
        <w:t xml:space="preserve">unique articles. We screen every article on its indexed title and abstract with a two-stage LLM pipeline (GPT-4.1-mini, temperature = 0, JSON outputs), using a positive-worded prompt in the first pass (</w:t>
      </w:r>
      <w:r>
        <w:t xml:space="preserve">“Does this article discuss a technology?”</w:t>
      </w:r>
      <w:r>
        <w:t xml:space="preserve">) and a negative-worded prompt in the second (</w:t>
      </w:r>
      <w:r>
        <w:t xml:space="preserve">“Does this article</w:t>
      </w:r>
      <w:r>
        <w:t xml:space="preserve"> </w:t>
      </w:r>
      <w:r>
        <w:rPr>
          <w:i/>
          <w:iCs/>
        </w:rPr>
        <w:t xml:space="preserve">not</w:t>
      </w:r>
      <w:r>
        <w:t xml:space="preserve"> </w:t>
      </w:r>
      <w:r>
        <w:t xml:space="preserve">discuss a technology?”</w:t>
      </w:r>
      <w:r>
        <w:t xml:space="preserve">), with the LLM listing all technologies where an article discusses several. A human rater validates every article on which the two passes disagree and we carry the human decision forward, retaining</w:t>
      </w:r>
      <w:r>
        <w:t xml:space="preserve"> </w:t>
      </w:r>
      <m:oMath>
        <m:r>
          <m:t>1</m:t>
        </m:r>
        <m:r>
          <m:rPr>
            <m:sty m:val="p"/>
          </m:rPr>
          <m:t>,</m:t>
        </m:r>
        <m:r>
          <m:t>762</m:t>
        </m:r>
      </m:oMath>
      <w:r>
        <w:t xml:space="preserve"> </w:t>
      </w:r>
      <w:r>
        <w:t xml:space="preserve">articles mentioning</w:t>
      </w:r>
      <w:r>
        <w:t xml:space="preserve"> </w:t>
      </w:r>
      <m:oMath>
        <m:r>
          <m:t>2</m:t>
        </m:r>
        <m:r>
          <m:rPr>
            <m:sty m:val="p"/>
          </m:rPr>
          <m:t>,</m:t>
        </m:r>
        <m:r>
          <m:t>713</m:t>
        </m:r>
      </m:oMath>
      <w:r>
        <w:t xml:space="preserve"> </w:t>
      </w:r>
      <w:r>
        <w:t xml:space="preserve">technologies. A third prompt with the same configuration classifies each candidate technology on whether it is consumer-facing and whether the study is empirical; a human rater evaluates a random 20% of titles and abstracts, with 91% agreement. The final inclusion produces</w:t>
      </w:r>
      <w:r>
        <w:t xml:space="preserve"> </w:t>
      </w:r>
      <m:oMath>
        <m:r>
          <m:t>1</m:t>
        </m:r>
        <m:r>
          <m:rPr>
            <m:sty m:val="p"/>
          </m:rPr>
          <m:t>,</m:t>
        </m:r>
        <m:r>
          <m:t>583</m:t>
        </m:r>
      </m:oMath>
      <w:r>
        <w:t xml:space="preserve"> </w:t>
      </w:r>
      <w:r>
        <w:t xml:space="preserve">technology mentions in</w:t>
      </w:r>
      <w:r>
        <w:t xml:space="preserve"> </w:t>
      </w:r>
      <m:oMath>
        <m:r>
          <m:t>1</m:t>
        </m:r>
        <m:r>
          <m:rPr>
            <m:sty m:val="p"/>
          </m:rPr>
          <m:t>,</m:t>
        </m:r>
        <m:r>
          <m:t>155</m:t>
        </m:r>
      </m:oMath>
      <w:r>
        <w:t xml:space="preserve"> </w:t>
      </w:r>
      <w:r>
        <w:t xml:space="preserve">empirical articles.</w:t>
      </w:r>
      <w:r>
        <w:t xml:space="preserve"> </w:t>
      </w:r>
      <w:hyperlink w:anchor="fig-inclusion">
        <w:r>
          <w:rPr>
            <w:rStyle w:val="Hyperlink"/>
          </w:rPr>
          <w:t xml:space="preserve">Figure 1</w:t>
        </w:r>
      </w:hyperlink>
      <w:r>
        <w:t xml:space="preserve"> </w:t>
      </w:r>
      <w:r>
        <w:t xml:space="preserve">describes the full inclusion and exclusion pipeline. Following Hoffman et al.</w:t>
      </w:r>
      <w:r>
        <w:t xml:space="preserve"> </w:t>
      </w:r>
      <w:r>
        <w:t xml:space="preserve">(</w:t>
      </w:r>
      <w:hyperlink w:anchor="ref-hoffmanRiseNewTechnologies2022">
        <w:r>
          <w:rPr>
            <w:rStyle w:val="Hyperlink"/>
          </w:rPr>
          <w:t xml:space="preserve">2022</w:t>
        </w:r>
      </w:hyperlink>
      <w:r>
        <w:t xml:space="preserve">)</w:t>
      </w:r>
      <w:r>
        <w:t xml:space="preserve">, we define new [consumer] technologies as</w:t>
      </w:r>
      <w:r>
        <w:t xml:space="preserve"> </w:t>
      </w:r>
      <w:r>
        <w:t xml:space="preserve">“scientific knowledge and/or its application in the early adoption cycle for firms and/or consumers with the potential to influence the activity, institutions, and processes for creating, communicating, delivering, and exchanging offerings that have value for customers, clients, partners, and society at large”</w:t>
      </w:r>
      <w:r>
        <w:t xml:space="preserve">. These technologies have changed the world of consumers and firms, but also how we as researchers operate within this space.</w:t>
      </w:r>
    </w:p>
    <w:bookmarkStart w:id="29" w:name="fig-inclusion"/>
    <w:p>
      <w:pPr>
        <w:pStyle w:val="FigureTitle"/>
      </w:pPr>
      <w:r>
        <w:t xml:space="preserve">Figure 1</w:t>
      </w:r>
    </w:p>
    <w:p>
      <w:pPr>
        <w:pStyle w:val="Caption"/>
      </w:pPr>
      <w:r>
        <w:t xml:space="preserve">Inclusion and exclusion pipeline.</w:t>
      </w:r>
      <w:r>
        <w:t xml:space="preserve"> </w:t>
      </w:r>
      <m:oMath>
        <m:sSub>
          <m:e>
            <m:r>
              <m:t>n</m:t>
            </m:r>
          </m:e>
          <m:sub>
            <m:r>
              <m:rPr>
                <m:nor/>
                <m:sty m:val="p"/>
              </m:rPr>
              <m:t>articles</m:t>
            </m:r>
          </m:sub>
        </m:sSub>
      </m:oMath>
      <w:r>
        <w:t xml:space="preserve"> </w:t>
      </w:r>
      <w:r>
        <w:t xml:space="preserve">describes the number of articles included in the respective steps,</w:t>
      </w:r>
      <w:r>
        <w:t xml:space="preserve"> </w:t>
      </w:r>
      <m:oMath>
        <m:sSub>
          <m:e>
            <m:r>
              <m:t>n</m:t>
            </m:r>
          </m:e>
          <m:sub>
            <m:r>
              <m:rPr>
                <m:nor/>
                <m:sty m:val="p"/>
              </m:rPr>
              <m:t>articles+</m:t>
            </m:r>
          </m:sub>
        </m:sSub>
      </m:oMath>
      <w:r>
        <w:t xml:space="preserve"> </w:t>
      </w:r>
      <w:r>
        <w:t xml:space="preserve">describes the number of articles fitting the positive inclusion criterion,</w:t>
      </w:r>
      <w:r>
        <w:t xml:space="preserve"> </w:t>
      </w:r>
      <m:oMath>
        <m:sSub>
          <m:e>
            <m:r>
              <m:t>n</m:t>
            </m:r>
          </m:e>
          <m:sub>
            <m:r>
              <m:rPr>
                <m:nor/>
                <m:sty m:val="p"/>
              </m:rPr>
              <m:t>articles-</m:t>
            </m:r>
          </m:sub>
        </m:sSub>
      </m:oMath>
      <w:r>
        <w:t xml:space="preserve"> </w:t>
      </w:r>
      <w:r>
        <w:t xml:space="preserve">describes the number of articles fitting the negative exclusion criterion (no technology).</w:t>
      </w:r>
      <w:r>
        <w:t xml:space="preserve"> </w:t>
      </w:r>
      <m:oMath>
        <m:sSub>
          <m:e>
            <m:r>
              <m:t>n</m:t>
            </m:r>
          </m:e>
          <m:sub>
            <m:r>
              <m:rPr>
                <m:nor/>
                <m:sty m:val="p"/>
              </m:rPr>
              <m:t>tech-mentions</m:t>
            </m:r>
          </m:sub>
        </m:sSub>
      </m:oMath>
      <w:r>
        <w:t xml:space="preserve"> </w:t>
      </w:r>
      <w:r>
        <w:t xml:space="preserve">describes the number of technology mentions for each step, as one article can mention more than one technology in its title and abstract.</w:t>
      </w:r>
    </w:p>
    <w:p>
      <w:pPr>
        <w:pStyle w:val="FigureWithoutNote"/>
      </w:pPr>
      <w:r>
        <w:drawing>
          <wp:inline>
            <wp:extent cx="5943600" cy="874422"/>
            <wp:effectExtent b="0" l="0" r="0" t="0"/>
            <wp:docPr descr="" title="" id="27" name="Picture"/>
            <a:graphic>
              <a:graphicData uri="http://schemas.openxmlformats.org/drawingml/2006/picture">
                <pic:pic>
                  <pic:nvPicPr>
                    <pic:cNvPr descr="..\99_writing/figures/inclusionexclusion.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943600" cy="874422"/>
                    </a:xfrm>
                    <a:prstGeom prst="rect">
                      <a:avLst/>
                    </a:prstGeom>
                    <a:noFill/>
                    <a:ln w="9525">
                      <a:noFill/>
                      <a:headEnd/>
                      <a:tailEnd/>
                    </a:ln>
                  </pic:spPr>
                </pic:pic>
              </a:graphicData>
            </a:graphic>
          </wp:inline>
        </w:drawing>
      </w:r>
    </w:p>
    <w:bookmarkEnd w:id="29"/>
    <w:bookmarkEnd w:id="30"/>
    <w:bookmarkStart w:id="31" w:name="semantic-deduplication-and-clustering"/>
    <w:p>
      <w:pPr>
        <w:pStyle w:val="Heading2"/>
      </w:pPr>
      <w:r>
        <w:t xml:space="preserve">Semantic Deduplication and Clustering</w:t>
      </w:r>
    </w:p>
    <w:p>
      <w:pPr>
        <w:pStyle w:val="FirstParagraph"/>
      </w:pPr>
      <w:r>
        <w:t xml:space="preserve">We clean and standardize the</w:t>
      </w:r>
      <w:r>
        <w:t xml:space="preserve"> </w:t>
      </w:r>
      <m:oMath>
        <m:r>
          <m:t>1</m:t>
        </m:r>
        <m:r>
          <m:rPr>
            <m:sty m:val="p"/>
          </m:rPr>
          <m:t>,</m:t>
        </m:r>
        <m:r>
          <m:t>583</m:t>
        </m:r>
      </m:oMath>
      <w:r>
        <w:t xml:space="preserve"> </w:t>
      </w:r>
      <w:r>
        <w:t xml:space="preserve">mentions by lowercasing them, removing abbreviations, hyphens, slashes, and other special characters, and singularizing them, and then deduplicate them semantically on pairwise cosine similarities derived from all-MiniLM-L6-v2</w:t>
      </w:r>
      <w:r>
        <w:t xml:space="preserve"> </w:t>
      </w:r>
      <w:r>
        <w:t xml:space="preserve">(</w:t>
      </w:r>
      <w:hyperlink w:anchor="ref-reimers2019sentencebert">
        <w:r>
          <w:rPr>
            <w:rStyle w:val="Hyperlink"/>
          </w:rPr>
          <w:t xml:space="preserve">Reimers &amp; Gurevych, 2019</w:t>
        </w:r>
      </w:hyperlink>
      <w:r>
        <w:t xml:space="preserve">;</w:t>
      </w:r>
      <w:r>
        <w:t xml:space="preserve"> </w:t>
      </w:r>
      <w:hyperlink w:anchor="ref-sentenceTransformersAllMiniLML6v2">
        <w:r>
          <w:rPr>
            <w:rStyle w:val="Hyperlink"/>
          </w:rPr>
          <w:t xml:space="preserve">Sentence Transformers, 2026</w:t>
        </w:r>
      </w:hyperlink>
      <w:r>
        <w:t xml:space="preserve">;</w:t>
      </w:r>
      <w:r>
        <w:t xml:space="preserve"> </w:t>
      </w:r>
      <w:hyperlink w:anchor="ref-wang2020minilm">
        <w:r>
          <w:rPr>
            <w:rStyle w:val="Hyperlink"/>
          </w:rPr>
          <w:t xml:space="preserve">W. Wang et al., 2020</w:t>
        </w:r>
      </w:hyperlink>
      <w:r>
        <w:t xml:space="preserve">)</w:t>
      </w:r>
      <w:r>
        <w:t xml:space="preserve">, collapsing any pair with a cosine similarity</w:t>
      </w:r>
      <w:r>
        <w:t xml:space="preserve"> </w:t>
      </w:r>
      <m:oMath>
        <m:r>
          <m:rPr>
            <m:sty m:val="p"/>
          </m:rPr>
          <m:t>≥</m:t>
        </m:r>
        <m:r>
          <m:t>.90</m:t>
        </m:r>
      </m:oMath>
      <w:r>
        <w:t xml:space="preserve"> </w:t>
      </w:r>
      <w:r>
        <w:t xml:space="preserve">and retaining the most central term as the canonical technology label. We reduce the 384 embedding dimensions with UMAP on cosine distance, 15 neighbors and a minimum distance of 0</w:t>
      </w:r>
      <w:r>
        <w:t xml:space="preserve"> </w:t>
      </w:r>
      <w:r>
        <w:t xml:space="preserve">(</w:t>
      </w:r>
      <w:hyperlink w:anchor="ref-mcinnesUMAPUniformManifold2018">
        <w:r>
          <w:rPr>
            <w:rStyle w:val="Hyperlink"/>
          </w:rPr>
          <w:t xml:space="preserve">McInnes et al., 2018</w:t>
        </w:r>
      </w:hyperlink>
      <w:r>
        <w:t xml:space="preserve">)</w:t>
      </w:r>
      <w:r>
        <w:t xml:space="preserve">, testing UMAP dimensions between 2 and 50 and deduplication thresholds between 0.90 and 0.95, and aggregate the embeddings into clusters with k-means</w:t>
      </w:r>
      <w:r>
        <w:t xml:space="preserve"> </w:t>
      </w:r>
      <w:r>
        <w:t xml:space="preserve">(</w:t>
      </w:r>
      <w:hyperlink w:anchor="X1ee6c0be2793064c85ed6527d182657f89961b8">
        <w:r>
          <w:rPr>
            <w:rStyle w:val="Hyperlink"/>
          </w:rPr>
          <w:t xml:space="preserve">MacQueen, 1967</w:t>
        </w:r>
      </w:hyperlink>
      <w:r>
        <w:t xml:space="preserve">)</w:t>
      </w:r>
      <w:r>
        <w:t xml:space="preserve">, testing solutions between 10 and 20 clusters. We select the final configuration on a systematic comparison of trustworthiness scores for the dimensionality reduction</w:t>
      </w:r>
      <w:r>
        <w:t xml:space="preserve"> </w:t>
      </w:r>
      <w:r>
        <w:t xml:space="preserve">(</w:t>
      </w:r>
      <w:hyperlink w:anchor="X19b8dd2f280f6120269f36e58656b3b5b75516c">
        <w:r>
          <w:rPr>
            <w:rStyle w:val="Hyperlink"/>
          </w:rPr>
          <w:t xml:space="preserve">Venna &amp; Kaski, 2001</w:t>
        </w:r>
      </w:hyperlink>
      <w:r>
        <w:t xml:space="preserve">)</w:t>
      </w:r>
      <w:r>
        <w:t xml:space="preserve">, Silhouette</w:t>
      </w:r>
      <w:r>
        <w:t xml:space="preserve"> </w:t>
      </w:r>
      <w:r>
        <w:t xml:space="preserve">(</w:t>
      </w:r>
      <w:hyperlink w:anchor="ref-rousseeuwSilhouettesGraphicalAid1987">
        <w:r>
          <w:rPr>
            <w:rStyle w:val="Hyperlink"/>
          </w:rPr>
          <w:t xml:space="preserve">Rousseeuw, 1987</w:t>
        </w:r>
      </w:hyperlink>
      <w:r>
        <w:t xml:space="preserve">)</w:t>
      </w:r>
      <w:r>
        <w:t xml:space="preserve">, Davies-Bouldin</w:t>
      </w:r>
      <w:r>
        <w:t xml:space="preserve"> </w:t>
      </w:r>
      <w:r>
        <w:t xml:space="preserve">(</w:t>
      </w:r>
      <w:hyperlink w:anchor="ref-daviesClusterSeparationMeasure1979">
        <w:r>
          <w:rPr>
            <w:rStyle w:val="Hyperlink"/>
          </w:rPr>
          <w:t xml:space="preserve">Davies &amp; Bouldin, 1979</w:t>
        </w:r>
      </w:hyperlink>
      <w:r>
        <w:t xml:space="preserve">)</w:t>
      </w:r>
      <w:r>
        <w:t xml:space="preserve"> </w:t>
      </w:r>
      <w:r>
        <w:t xml:space="preserve">and Calinski-Harabasz scores</w:t>
      </w:r>
      <w:r>
        <w:t xml:space="preserve"> </w:t>
      </w:r>
      <w:r>
        <w:t xml:space="preserve">(</w:t>
      </w:r>
      <w:hyperlink w:anchor="ref-calinskiDendriteMethodCluster1974">
        <w:r>
          <w:rPr>
            <w:rStyle w:val="Hyperlink"/>
          </w:rPr>
          <w:t xml:space="preserve">Caliński &amp; Harabasz, 1974</w:t>
        </w:r>
      </w:hyperlink>
      <w:r>
        <w:t xml:space="preserve">)</w:t>
      </w:r>
      <w:r>
        <w:t xml:space="preserve">, inertia</w:t>
      </w:r>
      <w:r>
        <w:t xml:space="preserve"> </w:t>
      </w:r>
      <w:r>
        <w:t xml:space="preserve">(</w:t>
      </w:r>
      <w:hyperlink w:anchor="X1ee6c0be2793064c85ed6527d182657f89961b8">
        <w:r>
          <w:rPr>
            <w:rStyle w:val="Hyperlink"/>
          </w:rPr>
          <w:t xml:space="preserve">MacQueen, 1967</w:t>
        </w:r>
      </w:hyperlink>
      <w:r>
        <w:t xml:space="preserve">)</w:t>
      </w:r>
      <w:r>
        <w:t xml:space="preserve">, and the human interpretability of the resulting clusters, which we then check and label manually.</w:t>
      </w:r>
    </w:p>
    <w:bookmarkEnd w:id="31"/>
    <w:bookmarkStart w:id="32" w:name="bibliometric-analysis"/>
    <w:p>
      <w:pPr>
        <w:pStyle w:val="Heading2"/>
      </w:pPr>
      <w:r>
        <w:t xml:space="preserve">Bibliometric Analysis</w:t>
      </w:r>
    </w:p>
    <w:p>
      <w:pPr>
        <w:pStyle w:val="FirstParagraph"/>
      </w:pPr>
      <w:r>
        <w:t xml:space="preserve">Using the bibliometrix package</w:t>
      </w:r>
      <w:r>
        <w:t xml:space="preserve"> </w:t>
      </w:r>
      <w:r>
        <w:t xml:space="preserve">(</w:t>
      </w:r>
      <w:hyperlink w:anchor="X77c6a6fb7e9371a37a306d4adddd389bde7954b">
        <w:r>
          <w:rPr>
            <w:rStyle w:val="Hyperlink"/>
          </w:rPr>
          <w:t xml:space="preserve">Aria &amp; Cuccurullo, 2017</w:t>
        </w:r>
      </w:hyperlink>
      <w:r>
        <w:t xml:space="preserve">)</w:t>
      </w:r>
      <w:r>
        <w:t xml:space="preserve">, we assess the interconnectedness of the sixteen technology clusters with historiographic plots (histplot) and co-citation analyses (biblionetwork) using Louvain clustering algorithms.</w:t>
      </w:r>
    </w:p>
    <w:p>
      <w:pPr>
        <w:pStyle w:val="BodyText"/>
      </w:pPr>
      <w:r>
        <w:t xml:space="preserve">The historiographic analysis is a chronolgical network analysis and map of citations within a bibliographic collection</w:t>
      </w:r>
      <w:r>
        <w:t xml:space="preserve"> </w:t>
      </w:r>
      <w:r>
        <w:t xml:space="preserve">(</w:t>
      </w:r>
      <w:hyperlink w:anchor="X77c6a6fb7e9371a37a306d4adddd389bde7954b">
        <w:r>
          <w:rPr>
            <w:rStyle w:val="Hyperlink"/>
          </w:rPr>
          <w:t xml:space="preserve">Aria &amp; Cuccurullo, 2017</w:t>
        </w:r>
      </w:hyperlink>
      <w:r>
        <w:t xml:space="preserve">;</w:t>
      </w:r>
      <w:r>
        <w:t xml:space="preserve"> </w:t>
      </w:r>
      <w:hyperlink w:anchor="X18974fea3fe182b56cf39c321495ac6ff97ecd7">
        <w:r>
          <w:rPr>
            <w:rStyle w:val="Hyperlink"/>
          </w:rPr>
          <w:t xml:space="preserve">Garfield, 2004</w:t>
        </w:r>
      </w:hyperlink>
      <w:r>
        <w:t xml:space="preserve">)</w:t>
      </w:r>
      <w:r>
        <w:t xml:space="preserve">. We aggregate citation ties per direction (forward citations: articles being cited by later articles in the corpus; and backward citations: articles citing earlier articles in the corpus) within and across clusters on a technology cluster mention level, meaning that articles discussing several technology clusters are counted once under each of them. We assess how frequently different technology clusters co-occur within the same article, and we compare the cross-citation links</w:t>
      </w:r>
      <w:r>
        <w:t xml:space="preserve"> </w:t>
      </w:r>
      <m:oMath>
        <m:sSub>
          <m:e>
            <m:r>
              <m:rPr>
                <m:nor/>
                <m:sty m:val="p"/>
              </m:rPr>
              <m:t>CC</m:t>
            </m:r>
          </m:e>
          <m:sub>
            <m:sSub>
              <m:e>
                <m:r>
                  <m:rPr>
                    <m:nor/>
                    <m:sty m:val="p"/>
                  </m:rPr>
                  <m:t>Cluster</m:t>
                </m:r>
              </m:e>
              <m:sub>
                <m:r>
                  <m:t>i</m:t>
                </m:r>
              </m:sub>
            </m:sSub>
            <m:r>
              <m:rPr>
                <m:sty m:val="p"/>
              </m:rPr>
              <m:t>,</m:t>
            </m:r>
            <m:sSub>
              <m:e>
                <m:r>
                  <m:rPr>
                    <m:nor/>
                    <m:sty m:val="p"/>
                  </m:rPr>
                  <m:t>Cluster</m:t>
                </m:r>
              </m:e>
              <m:sub>
                <m:r>
                  <m:t>j</m:t>
                </m:r>
              </m:sub>
            </m:sSub>
          </m:sub>
        </m:sSub>
        <m:r>
          <m:rPr>
            <m:sty m:val="p"/>
          </m:rPr>
          <m:t>=</m:t>
        </m:r>
        <m:f>
          <m:fPr>
            <m:type m:val="bar"/>
          </m:fPr>
          <m:num>
            <m:sSub>
              <m:e>
                <m:r>
                  <m:rPr>
                    <m:nor/>
                    <m:sty m:val="p"/>
                  </m:rPr>
                  <m:t>Links</m:t>
                </m:r>
              </m:e>
              <m:sub>
                <m:r>
                  <m:t>i</m:t>
                </m:r>
                <m:r>
                  <m:t>j</m:t>
                </m:r>
              </m:sub>
            </m:sSub>
          </m:num>
          <m:den>
            <m:nary>
              <m:naryPr>
                <m:chr m:val="∑"/>
                <m:limLoc m:val="undOvr"/>
                <m:subHide m:val="off"/>
                <m:supHide m:val="off"/>
              </m:naryPr>
              <m:sub>
                <m:r>
                  <m:t>k</m:t>
                </m:r>
                <m:r>
                  <m:rPr>
                    <m:sty m:val="p"/>
                  </m:rPr>
                  <m:t>=</m:t>
                </m:r>
                <m:r>
                  <m:t>1</m:t>
                </m:r>
              </m:sub>
              <m:sup>
                <m:r>
                  <m:t>16</m:t>
                </m:r>
              </m:sup>
              <m:e>
                <m:sSub>
                  <m:e>
                    <m:r>
                      <m:rPr>
                        <m:nor/>
                        <m:sty m:val="p"/>
                      </m:rPr>
                      <m:t>Links</m:t>
                    </m:r>
                  </m:e>
                  <m:sub>
                    <m:r>
                      <m:t>i</m:t>
                    </m:r>
                    <m:r>
                      <m:t>k</m:t>
                    </m:r>
                  </m:sub>
                </m:sSub>
              </m:e>
            </m:nary>
          </m:den>
        </m:f>
      </m:oMath>
      <w:r>
        <w:t xml:space="preserve"> </w:t>
      </w:r>
      <w:r>
        <w:t xml:space="preserve">that is, the share of cluster</w:t>
      </w:r>
      <w:r>
        <w:t xml:space="preserve"> </w:t>
      </w:r>
      <m:oMath>
        <m:r>
          <m:t>i</m:t>
        </m:r>
      </m:oMath>
      <w:r>
        <w:t xml:space="preserve">’s links that go to cluster</w:t>
      </w:r>
      <w:r>
        <w:t xml:space="preserve"> </w:t>
      </w:r>
      <m:oMath>
        <m:r>
          <m:t>j</m:t>
        </m:r>
      </m:oMath>
      <w:r>
        <w:t xml:space="preserve">, against the share that all other clusters direct at</w:t>
      </w:r>
      <w:r>
        <w:t xml:space="preserve"> </w:t>
      </w:r>
      <m:oMath>
        <m:r>
          <m:t>j</m:t>
        </m:r>
      </m:oMath>
      <w:r>
        <w:t xml:space="preserve"> </w:t>
      </w:r>
      <w:r>
        <w:t xml:space="preserve">on average (</w:t>
      </w:r>
      <m:oMath>
        <m:sSub>
          <m:e>
            <m:bar>
              <m:barPr>
                <m:pos m:val="top"/>
              </m:barPr>
              <m:e>
                <m:r>
                  <m:rPr>
                    <m:nor/>
                    <m:sty m:val="p"/>
                  </m:rPr>
                  <m:t>CC</m:t>
                </m:r>
              </m:e>
            </m:bar>
          </m:e>
          <m:sub>
            <m:sSub>
              <m:e>
                <m:r>
                  <m:rPr>
                    <m:nor/>
                    <m:sty m:val="p"/>
                  </m:rPr>
                  <m:t>Cluster</m:t>
                </m:r>
              </m:e>
              <m:sub>
                <m:r>
                  <m:t>j</m:t>
                </m:r>
              </m:sub>
            </m:sSub>
          </m:sub>
        </m:sSub>
        <m:r>
          <m:rPr>
            <m:sty m:val="p"/>
          </m:rPr>
          <m:t>=</m:t>
        </m:r>
        <m:f>
          <m:fPr>
            <m:type m:val="bar"/>
          </m:fPr>
          <m:num>
            <m:r>
              <m:t>1</m:t>
            </m:r>
          </m:num>
          <m:den>
            <m:r>
              <m:t>15</m:t>
            </m:r>
          </m:den>
        </m:f>
        <m:nary>
          <m:naryPr>
            <m:chr m:val="∑"/>
            <m:limLoc m:val="undOvr"/>
            <m:subHide m:val="off"/>
            <m:supHide m:val="on"/>
          </m:naryPr>
          <m:sub>
            <m:r>
              <m:t>i</m:t>
            </m:r>
            <m:r>
              <m:rPr>
                <m:sty m:val="p"/>
              </m:rPr>
              <m:t>≠</m:t>
            </m:r>
            <m:r>
              <m:t>j</m:t>
            </m:r>
          </m:sub>
          <m:sup>
            <m:r>
              <m:t>​</m:t>
            </m:r>
          </m:sup>
          <m:e>
            <m:sSub>
              <m:e>
                <m:r>
                  <m:rPr>
                    <m:nor/>
                    <m:sty m:val="p"/>
                  </m:rPr>
                  <m:t>CC</m:t>
                </m:r>
              </m:e>
              <m:sub>
                <m:r>
                  <m:t>i</m:t>
                </m:r>
                <m:r>
                  <m:t>j</m:t>
                </m:r>
              </m:sub>
            </m:sSub>
          </m:e>
        </m:nary>
      </m:oMath>
      <w:r>
        <w:t xml:space="preserve">). The ratio</w:t>
      </w:r>
      <w:r>
        <w:t xml:space="preserve"> </w:t>
      </w:r>
      <m:oMath>
        <m:sSub>
          <m:e>
            <m:r>
              <m:t>r</m:t>
            </m:r>
          </m:e>
          <m:sub>
            <m:r>
              <m:t>i</m:t>
            </m:r>
            <m:r>
              <m:t>j</m:t>
            </m:r>
          </m:sub>
        </m:sSub>
        <m:r>
          <m:rPr>
            <m:sty m:val="p"/>
          </m:rPr>
          <m:t>=</m:t>
        </m:r>
        <m:f>
          <m:fPr>
            <m:type m:val="bar"/>
          </m:fPr>
          <m:num>
            <m:r>
              <m:t>C</m:t>
            </m:r>
            <m:sSub>
              <m:e>
                <m:r>
                  <m:t>C</m:t>
                </m:r>
              </m:e>
              <m:sub>
                <m:r>
                  <m:t>i</m:t>
                </m:r>
                <m:r>
                  <m:t>j</m:t>
                </m:r>
              </m:sub>
            </m:sSub>
          </m:num>
          <m:den>
            <m:sSub>
              <m:e>
                <m:bar>
                  <m:barPr>
                    <m:pos m:val="top"/>
                  </m:barPr>
                  <m:e>
                    <m:r>
                      <m:t>C</m:t>
                    </m:r>
                    <m:r>
                      <m:t>C</m:t>
                    </m:r>
                  </m:e>
                </m:bar>
              </m:e>
              <m:sub>
                <m:r>
                  <m:t>j</m:t>
                </m:r>
              </m:sub>
            </m:sSub>
          </m:den>
        </m:f>
      </m:oMath>
      <w:r>
        <w:t xml:space="preserve"> </w:t>
      </w:r>
      <w:r>
        <w:t xml:space="preserve">then states whether the links between cluster</w:t>
      </w:r>
      <w:r>
        <w:t xml:space="preserve"> </w:t>
      </w:r>
      <m:oMath>
        <m:r>
          <m:t>i</m:t>
        </m:r>
      </m:oMath>
      <w:r>
        <w:t xml:space="preserve"> </w:t>
      </w:r>
      <w:r>
        <w:t xml:space="preserve">and</w:t>
      </w:r>
      <w:r>
        <w:t xml:space="preserve"> </w:t>
      </w:r>
      <m:oMath>
        <m:r>
          <m:t>j</m:t>
        </m:r>
      </m:oMath>
      <w:r>
        <w:t xml:space="preserve"> </w:t>
      </w:r>
      <w:r>
        <w:t xml:space="preserve">are stronger (</w:t>
      </w:r>
      <m:oMath>
        <m:r>
          <m:t>r</m:t>
        </m:r>
        <m:r>
          <m:rPr>
            <m:sty m:val="p"/>
          </m:rPr>
          <m:t>&gt;</m:t>
        </m:r>
        <m:r>
          <m:t>1</m:t>
        </m:r>
      </m:oMath>
      <w:r>
        <w:t xml:space="preserve">), about as strong (</w:t>
      </w:r>
      <m:oMath>
        <m:r>
          <m:t>r</m:t>
        </m:r>
        <m:r>
          <m:rPr>
            <m:sty m:val="p"/>
          </m:rPr>
          <m:t>=</m:t>
        </m:r>
        <m:r>
          <m:t>1</m:t>
        </m:r>
      </m:oMath>
      <w:r>
        <w:t xml:space="preserve">), or weaker (</w:t>
      </w:r>
      <m:oMath>
        <m:r>
          <m:t>r</m:t>
        </m:r>
        <m:r>
          <m:rPr>
            <m:sty m:val="p"/>
          </m:rPr>
          <m:t>&lt;</m:t>
        </m:r>
        <m:r>
          <m:t>1</m:t>
        </m:r>
      </m:oMath>
      <w:r>
        <w:t xml:space="preserve">) than expected across the full corpus.</w:t>
      </w:r>
    </w:p>
    <w:p>
      <w:pPr>
        <w:pStyle w:val="BodyText"/>
      </w:pPr>
      <w:r>
        <w:t xml:space="preserve">We further analyse the co-citations among the references cited by the articles in our corpus. Two references are co-cited when a third article cites both</w:t>
      </w:r>
      <w:r>
        <w:t xml:space="preserve"> </w:t>
      </w:r>
      <w:r>
        <w:t xml:space="preserve">(</w:t>
      </w:r>
      <w:hyperlink w:anchor="X77c6a6fb7e9371a37a306d4adddd389bde7954b">
        <w:r>
          <w:rPr>
            <w:rStyle w:val="Hyperlink"/>
          </w:rPr>
          <w:t xml:space="preserve">Aria &amp; Cuccurullo, 2017, p. 969</w:t>
        </w:r>
      </w:hyperlink>
      <w:r>
        <w:t xml:space="preserve">)</w:t>
      </w:r>
      <w:r>
        <w:t xml:space="preserve">. Its primary purpose is to map the intellectual foundations of a corpus, as references that are frequently cited together are interpreted as evidence of shared themes underlying the corpus</w:t>
      </w:r>
      <w:r>
        <w:t xml:space="preserve"> </w:t>
      </w:r>
      <w:r>
        <w:t xml:space="preserve">(</w:t>
      </w:r>
      <w:hyperlink w:anchor="ref-smallCOCITATIONCONTEXTANALYSIS1980">
        <w:r>
          <w:rPr>
            <w:rStyle w:val="Hyperlink"/>
          </w:rPr>
          <w:t xml:space="preserve">Small, 1980</w:t>
        </w:r>
      </w:hyperlink>
      <w:r>
        <w:t xml:space="preserve">)</w:t>
      </w:r>
      <w:r>
        <w:t xml:space="preserve">. Before clustering, we manually screened the most cited references and removed pure method papers, that is, references concerned solely with a method and not with its application to any topic. We analyze the 500 most cited references across our corpus of consumer technology research, applying Louvain community detection with a minimum edge weight of 3 and a community repulsion of 0.8 using the bibliometrix package</w:t>
      </w:r>
      <w:r>
        <w:t xml:space="preserve"> </w:t>
      </w:r>
      <w:r>
        <w:t xml:space="preserve">(</w:t>
      </w:r>
      <w:hyperlink w:anchor="X77c6a6fb7e9371a37a306d4adddd389bde7954b">
        <w:r>
          <w:rPr>
            <w:rStyle w:val="Hyperlink"/>
          </w:rPr>
          <w:t xml:space="preserve">Aria &amp; Cuccurullo, 2017</w:t>
        </w:r>
      </w:hyperlink>
      <w:r>
        <w:t xml:space="preserve">)</w:t>
      </w:r>
      <w:r>
        <w:t xml:space="preserve">, and label the resulting communities by hand using the shared themes of their ten most cited references. We map each cluster’s references onto these foundations and compute the share of its references falling into each base for each of the sixteen clusters and for the corpus as a whole. For every cluster we then estimate a Dirichlet posterior over its share vector</w:t>
      </w:r>
      <w:r>
        <w:t xml:space="preserve"> </w:t>
      </w:r>
      <w:r>
        <w:t xml:space="preserve">(</w:t>
      </w:r>
      <w:hyperlink w:anchor="ref-andrewBayesianDataAnalysis">
        <w:r>
          <w:rPr>
            <w:rStyle w:val="Hyperlink"/>
          </w:rPr>
          <w:t xml:space="preserve">Andrew, 2010</w:t>
        </w:r>
      </w:hyperlink>
      <w:r>
        <w:t xml:space="preserve">)</w:t>
      </w:r>
      <w:r>
        <w:t xml:space="preserve">, using the overall corpus distribution as the prior, and treat a foundation as diverging from the corpus when the cluster’s 95% credible interval excludes the overall share of that foundation.</w:t>
      </w:r>
    </w:p>
    <w:p>
      <w:pPr>
        <w:pStyle w:val="BodyText"/>
      </w:pPr>
      <w:r>
        <w:t xml:space="preserve">In the Supplementary Materials, we provide additional bibliometric perspectives by computing bibliographic coupling metrics, and analyze the academic fields referenced by the consumer technology corpus using Scopus’ top-level field and broad subject area classification of the cited sources.</w:t>
      </w:r>
    </w:p>
    <w:bookmarkEnd w:id="32"/>
    <w:bookmarkStart w:id="35" w:name="media-benchmark"/>
    <w:p>
      <w:pPr>
        <w:pStyle w:val="Heading2"/>
      </w:pPr>
      <w:r>
        <w:t xml:space="preserve">Media Benchmark</w:t>
      </w:r>
    </w:p>
    <w:p>
      <w:pPr>
        <w:pStyle w:val="FirstParagraph"/>
      </w:pPr>
      <w:r>
        <w:t xml:space="preserve">To understand what matters to the beneficiaries of our research, we need to understand what the public devotes its attention to. Media presence influences what consumers think about, and in turn is influenced by what matters to consumers, i.e. what gets read</w:t>
      </w:r>
      <w:r>
        <w:t xml:space="preserve"> </w:t>
      </w:r>
      <w:r>
        <w:t xml:space="preserve">(</w:t>
      </w:r>
      <w:hyperlink w:anchor="ref-scheufeleFramingTheoryMedia1999">
        <w:r>
          <w:rPr>
            <w:rStyle w:val="Hyperlink"/>
          </w:rPr>
          <w:t xml:space="preserve">Scheufele, 1999</w:t>
        </w:r>
      </w:hyperlink>
      <w:r>
        <w:t xml:space="preserve">)</w:t>
      </w:r>
      <w:r>
        <w:t xml:space="preserve">. We construct a proxy for public attention using media stories on consumer technologies relying on MediaCloud, an open source collection of global news on the open web</w:t>
      </w:r>
      <w:r>
        <w:t xml:space="preserve"> </w:t>
      </w:r>
      <w:r>
        <w:t xml:space="preserve">(</w:t>
      </w:r>
      <w:hyperlink w:anchor="ref-roberts2021mediacloud">
        <w:r>
          <w:rPr>
            <w:rStyle w:val="Hyperlink"/>
          </w:rPr>
          <w:t xml:space="preserve">Roberts et al., 2021</w:t>
        </w:r>
      </w:hyperlink>
      <w:r>
        <w:t xml:space="preserve">)</w:t>
      </w:r>
      <w:r>
        <w:t xml:space="preserve">. For our analysis, we use the US News collection (ID: 34412234) indexing 247 US news sources</w:t>
      </w:r>
      <w:r>
        <w:t xml:space="preserve"> </w:t>
      </w:r>
      <w:r>
        <w:t xml:space="preserve">(</w:t>
      </w:r>
      <w:hyperlink w:anchor="ref-bermejoMediaCloud202026">
        <w:r>
          <w:rPr>
            <w:rStyle w:val="Hyperlink"/>
          </w:rPr>
          <w:t xml:space="preserve">Bermejo et al., 2026</w:t>
        </w:r>
      </w:hyperlink>
      <w:r>
        <w:t xml:space="preserve">)</w:t>
      </w:r>
      <w:r>
        <w:t xml:space="preserve">. We transform every consumer technology identified in our academic corpus (</w:t>
      </w:r>
      <m:oMath>
        <m:r>
          <m:t>n</m:t>
        </m:r>
        <m:r>
          <m:rPr>
            <m:sty m:val="p"/>
          </m:rPr>
          <m:t>=</m:t>
        </m:r>
        <m:r>
          <m:t>901</m:t>
        </m:r>
      </m:oMath>
      <w:r>
        <w:t xml:space="preserve">) into a regular-expression search query using wildcards and spelling alternatives, and query the MediaCloud API on all media story titles queried since 2008</w:t>
      </w:r>
      <w:r>
        <w:rPr>
          <w:rStyle w:val="FootnoteReference"/>
        </w:rPr>
        <w:footnoteReference w:id="33"/>
      </w:r>
      <w:r>
        <w:t xml:space="preserve">. We are interested in which consumer technologies hold focal attention in consumer’s minds, which is why we search for mentions of these technologies in the indexed story titles. We count the number of stories mentioning each consumer technology, removing duplicate-stories within technologies, and aggregate the counts to the clusters identified through semantic modeling.</w:t>
      </w:r>
    </w:p>
    <w:p>
      <w:pPr>
        <w:pStyle w:val="BodyText"/>
      </w:pPr>
      <w:r>
        <w:t xml:space="preserve">We then compare the share of attention devoted to each technology cluster in academic articles and media stories over the entire period from January 1st, 2008 until June 30th, 2026, by counting the mentions of that cluster across the whole period and dividing by the total number of hits across all sixteen clusters. We treat the media shares as the baseline and test whether the share of academic attention devoted to each cluster credibly diverges from it, using Dirichlet posteriors</w:t>
      </w:r>
      <w:r>
        <w:t xml:space="preserve"> </w:t>
      </w:r>
      <w:r>
        <w:t xml:space="preserve">(</w:t>
      </w:r>
      <w:hyperlink w:anchor="ref-andrewBayesianDataAnalysis">
        <w:r>
          <w:rPr>
            <w:rStyle w:val="Hyperlink"/>
          </w:rPr>
          <w:t xml:space="preserve">Andrew, 2010</w:t>
        </w:r>
      </w:hyperlink>
      <w:r>
        <w:t xml:space="preserve">)</w:t>
      </w:r>
      <w:r>
        <w:t xml:space="preserve"> </w:t>
      </w:r>
      <w:r>
        <w:t xml:space="preserve">with the media distribution as the prior. For each cluster we compute the ratio of its academic to its media share, and treat a cluster as diverging when the ratio’s 95% credible interval excludes 1, i.e. is credibly higher (</w:t>
      </w:r>
      <m:oMath>
        <m:r>
          <m:t>r</m:t>
        </m:r>
        <m:r>
          <m:rPr>
            <m:sty m:val="p"/>
          </m:rPr>
          <m:t>&gt;</m:t>
        </m:r>
        <m:r>
          <m:t>1</m:t>
        </m:r>
      </m:oMath>
      <w:r>
        <w:t xml:space="preserve">) or credibly lower (</w:t>
      </w:r>
      <m:oMath>
        <m:r>
          <m:t>r</m:t>
        </m:r>
        <m:r>
          <m:rPr>
            <m:sty m:val="p"/>
          </m:rPr>
          <m:t>&lt;</m:t>
        </m:r>
        <m:r>
          <m:t>1</m:t>
        </m:r>
      </m:oMath>
      <w:r>
        <w:t xml:space="preserve">) than the media representation.</w:t>
      </w:r>
    </w:p>
    <w:p>
      <w:pPr>
        <w:pStyle w:val="BodyText"/>
      </w:pPr>
      <w:r>
        <w:t xml:space="preserve">We compare the temporal trajectory of academic and media attention by correlating the annual academic and media share at lags ranging from</w:t>
      </w:r>
      <w:r>
        <w:t xml:space="preserve"> </w:t>
      </w:r>
      <m:oMath>
        <m:r>
          <m:rPr>
            <m:sty m:val="p"/>
          </m:rPr>
          <m:t>−</m:t>
        </m:r>
        <m:r>
          <m:t>5</m:t>
        </m:r>
      </m:oMath>
      <w:r>
        <w:t xml:space="preserve"> </w:t>
      </w:r>
      <w:r>
        <w:t xml:space="preserve">years (share of academic attention prior to media attention) to</w:t>
      </w:r>
      <w:r>
        <w:t xml:space="preserve"> </w:t>
      </w:r>
      <m:oMath>
        <m:r>
          <m:rPr>
            <m:sty m:val="p"/>
          </m:rPr>
          <m:t>+</m:t>
        </m:r>
        <m:r>
          <m:t>5</m:t>
        </m:r>
      </m:oMath>
      <w:r>
        <w:t xml:space="preserve"> </w:t>
      </w:r>
      <w:r>
        <w:t xml:space="preserve">years (share of academic attention following media attention), with</w:t>
      </w:r>
      <w:r>
        <w:t xml:space="preserve"> </w:t>
      </w:r>
      <m:oMath>
        <m:r>
          <m:t>0</m:t>
        </m:r>
      </m:oMath>
      <w:r>
        <w:t xml:space="preserve"> </w:t>
      </w:r>
      <w:r>
        <w:t xml:space="preserve">as concurrent attention. Because annual attention shares are autocorrelated, conventional tests of these correlations do not apply, and we instead compute an exact two-sided permutation test that shifts the media series circularly against the academic series, enumerating every available shift. The procedure is described in full in</w:t>
      </w:r>
      <w:r>
        <w:t xml:space="preserve"> </w:t>
      </w:r>
      <w:hyperlink r:id="rId34">
        <w:r>
          <w:rPr>
            <w:rStyle w:val="Hyperlink"/>
          </w:rPr>
          <w:t xml:space="preserve">Appendix E</w:t>
        </w:r>
      </w:hyperlink>
      <w:r>
        <w:t xml:space="preserve">Appendix E</w:t>
      </w:r>
      <w:r>
        <w:t xml:space="preserve">. At 19 lags, p-values for each permutation can range from</w:t>
      </w:r>
      <w:r>
        <w:t xml:space="preserve"> </w:t>
      </w:r>
      <m:oMath>
        <m:r>
          <m:t>.053</m:t>
        </m:r>
      </m:oMath>
      <w:r>
        <w:t xml:space="preserve"> </w:t>
      </w:r>
      <w:r>
        <w:t xml:space="preserve">at lag</w:t>
      </w:r>
      <w:r>
        <w:t xml:space="preserve"> </w:t>
      </w:r>
      <m:oMath>
        <m:r>
          <m:t>0</m:t>
        </m:r>
      </m:oMath>
      <w:r>
        <w:t xml:space="preserve"> </w:t>
      </w:r>
      <w:r>
        <w:t xml:space="preserve">to</w:t>
      </w:r>
      <w:r>
        <w:t xml:space="preserve"> </w:t>
      </w:r>
      <m:oMath>
        <m:r>
          <m:t>.071</m:t>
        </m:r>
      </m:oMath>
      <w:r>
        <w:t xml:space="preserve"> </w:t>
      </w:r>
      <w:r>
        <w:t xml:space="preserve">at the boundary lags, the tests are therefore only limitedly informative.</w:t>
      </w:r>
    </w:p>
    <w:p>
      <w:r>
        <w:br w:type="page"/>
      </w:r>
    </w:p>
    <w:bookmarkEnd w:id="35"/>
    <w:bookmarkEnd w:id="36"/>
    <w:bookmarkStart w:id="67" w:name="results"/>
    <w:p>
      <w:pPr>
        <w:pStyle w:val="Heading1"/>
      </w:pPr>
      <w:r>
        <w:t xml:space="preserve">Results</w:t>
      </w:r>
    </w:p>
    <w:p>
      <w:pPr>
        <w:pStyle w:val="FirstParagraph"/>
      </w:pPr>
      <w:r>
        <w:t xml:space="preserve">In what follows, we report three analyses. In</w:t>
      </w:r>
      <w:r>
        <w:t xml:space="preserve"> </w:t>
      </w:r>
      <w:hyperlink w:anchor="sec-analysis-1">
        <w:r>
          <w:rPr>
            <w:rStyle w:val="Hyperlink"/>
          </w:rPr>
          <w:t xml:space="preserve">Analysis 1</w:t>
        </w:r>
      </w:hyperlink>
      <w:r>
        <w:t xml:space="preserve">, we use context-sensitive language embeddings and semantic modeling techniques to cluster consumer technologies into sixteen clusters and track these clusters across 26 years of research. In</w:t>
      </w:r>
      <w:r>
        <w:t xml:space="preserve"> </w:t>
      </w:r>
      <w:hyperlink w:anchor="sec-analysis-2">
        <w:r>
          <w:rPr>
            <w:rStyle w:val="Hyperlink"/>
          </w:rPr>
          <w:t xml:space="preserve">Analysis 2</w:t>
        </w:r>
      </w:hyperlink>
      <w:r>
        <w:t xml:space="preserve">, we historiographically analyze and plot our corpus of consumer technology research, and complement this with a co-citation analysis investigating the shared intellectual foundation of our corpus. In</w:t>
      </w:r>
      <w:r>
        <w:t xml:space="preserve"> </w:t>
      </w:r>
      <w:hyperlink w:anchor="sec-analysis-3">
        <w:r>
          <w:rPr>
            <w:rStyle w:val="Hyperlink"/>
          </w:rPr>
          <w:t xml:space="preserve">Analysis 3</w:t>
        </w:r>
      </w:hyperlink>
      <w:r>
        <w:t xml:space="preserve">, we extend our analysis to contrast academic attention with media attention over time. For all three analyses, we first examine how consumer technology research has evolved at large over the past 26 years, and then ask: is Generative AI different?</w:t>
      </w:r>
    </w:p>
    <w:bookmarkStart w:id="51" w:name="sec-analysis-1"/>
    <w:p>
      <w:pPr>
        <w:pStyle w:val="Heading2"/>
      </w:pPr>
      <w:r>
        <w:t xml:space="preserve">Analysis 1. Modeling 26 years of consumer technology research</w:t>
      </w:r>
    </w:p>
    <w:p>
      <w:pPr>
        <w:pStyle w:val="FirstParagraph"/>
      </w:pPr>
      <w:r>
        <w:t xml:space="preserve">In Analysis 1, we pursue two goals: First, we semantically map a quarter-century of consumer technology research. We treat the language authors use to describe a technology as an indicator for its relatedness to other technologies, closer semantic similarity indicating closer relatedness. Second, we trace the resulting clusters of consumer technologies over time.</w:t>
      </w:r>
    </w:p>
    <w:bookmarkStart w:id="49" w:name="the-field-at-large"/>
    <w:p>
      <w:pPr>
        <w:pStyle w:val="Heading3"/>
      </w:pPr>
      <w:r>
        <w:t xml:space="preserve">The field at large</w:t>
      </w:r>
    </w:p>
    <w:p>
      <w:pPr>
        <w:pStyle w:val="FirstParagraph"/>
      </w:pPr>
      <w:r>
        <w:t xml:space="preserve">Using embeddings derived from all-MiniLM-L6-v2</w:t>
      </w:r>
      <w:r>
        <w:t xml:space="preserve"> </w:t>
      </w:r>
      <w:r>
        <w:t xml:space="preserve">(</w:t>
      </w:r>
      <w:hyperlink w:anchor="ref-reimers2019sentencebert">
        <w:r>
          <w:rPr>
            <w:rStyle w:val="Hyperlink"/>
          </w:rPr>
          <w:t xml:space="preserve">Reimers &amp; Gurevych, 2019</w:t>
        </w:r>
      </w:hyperlink>
      <w:r>
        <w:t xml:space="preserve">;</w:t>
      </w:r>
      <w:r>
        <w:t xml:space="preserve"> </w:t>
      </w:r>
      <w:hyperlink w:anchor="ref-sentenceTransformersAllMiniLML6v2">
        <w:r>
          <w:rPr>
            <w:rStyle w:val="Hyperlink"/>
          </w:rPr>
          <w:t xml:space="preserve">Sentence Transformers, 2026</w:t>
        </w:r>
      </w:hyperlink>
      <w:r>
        <w:t xml:space="preserve">;</w:t>
      </w:r>
      <w:r>
        <w:t xml:space="preserve"> </w:t>
      </w:r>
      <w:hyperlink w:anchor="ref-wang2020minilm">
        <w:r>
          <w:rPr>
            <w:rStyle w:val="Hyperlink"/>
          </w:rPr>
          <w:t xml:space="preserve">W. Wang et al., 2020</w:t>
        </w:r>
      </w:hyperlink>
      <w:r>
        <w:t xml:space="preserve">)</w:t>
      </w:r>
      <w:r>
        <w:t xml:space="preserve">, a similarity score of 0.90, 10 UMAP dimensions, and 16 clusters, the semantic deduplication reduced the</w:t>
      </w:r>
      <w:r>
        <w:t xml:space="preserve"> </w:t>
      </w:r>
      <m:oMath>
        <m:r>
          <m:t>1</m:t>
        </m:r>
        <m:r>
          <m:rPr>
            <m:sty m:val="p"/>
          </m:rPr>
          <m:t>,</m:t>
        </m:r>
        <m:r>
          <m:t>583</m:t>
        </m:r>
      </m:oMath>
      <w:r>
        <w:t xml:space="preserve"> </w:t>
      </w:r>
      <w:r>
        <w:t xml:space="preserve">consumer technologies to</w:t>
      </w:r>
      <w:r>
        <w:t xml:space="preserve"> </w:t>
      </w:r>
      <m:oMath>
        <m:r>
          <m:t>901</m:t>
        </m:r>
      </m:oMath>
      <w:r>
        <w:t xml:space="preserve"> </w:t>
      </w:r>
      <w:r>
        <w:t xml:space="preserve">unique consumer technologies. Our final model produces a trustworthiness of</w:t>
      </w:r>
      <w:r>
        <w:t xml:space="preserve"> </w:t>
      </w:r>
      <m:oMath>
        <m:r>
          <m:t>.924</m:t>
        </m:r>
      </m:oMath>
      <w:r>
        <w:t xml:space="preserve">, a silhouette score of</w:t>
      </w:r>
      <w:r>
        <w:t xml:space="preserve"> </w:t>
      </w:r>
      <m:oMath>
        <m:r>
          <m:t>.436</m:t>
        </m:r>
      </m:oMath>
      <w:r>
        <w:t xml:space="preserve">, a Davies-Bouldin score of</w:t>
      </w:r>
      <w:r>
        <w:t xml:space="preserve"> </w:t>
      </w:r>
      <m:oMath>
        <m:r>
          <m:t>.920</m:t>
        </m:r>
      </m:oMath>
      <w:r>
        <w:t xml:space="preserve">, a Calinski-Harabasz score of</w:t>
      </w:r>
      <w:r>
        <w:t xml:space="preserve"> </w:t>
      </w:r>
      <m:oMath>
        <m:r>
          <m:t>459.45</m:t>
        </m:r>
      </m:oMath>
      <w:r>
        <w:t xml:space="preserve">, and an inertia of</w:t>
      </w:r>
      <w:r>
        <w:t xml:space="preserve"> </w:t>
      </w:r>
      <m:oMath>
        <m:r>
          <m:t>421.49</m:t>
        </m:r>
      </m:oMath>
      <w:r>
        <w:t xml:space="preserve">. This model produced the best tradeoff between statistical adequacy and human interpretability, and we therefore carried it forward for all further analyses. We report all comparisons, including additional semantic models we tested against all-MiniLM-L6-v2, in</w:t>
      </w:r>
      <w:r>
        <w:t xml:space="preserve"> </w:t>
      </w:r>
      <w:hyperlink r:id="rId37">
        <w:r>
          <w:rPr>
            <w:rStyle w:val="Hyperlink"/>
          </w:rPr>
          <w:t xml:space="preserve">Appendix A</w:t>
        </w:r>
      </w:hyperlink>
      <w:r>
        <w:t xml:space="preserve">Appendix A</w:t>
      </w:r>
      <w:r>
        <w:t xml:space="preserve">. We manually analyzed and labeled every cluster, resulting in 16 final clusters, of which 15 had a clearly identifiable theme, and one cluster was labeled as Other to summarize miscellaneous technologies. All clusters are listed in</w:t>
      </w:r>
      <w:r>
        <w:t xml:space="preserve"> </w:t>
      </w:r>
      <w:hyperlink w:anchor="tbl-peaks">
        <w:r>
          <w:rPr>
            <w:rStyle w:val="Hyperlink"/>
          </w:rPr>
          <w:t xml:space="preserve">Table 1</w:t>
        </w:r>
      </w:hyperlink>
      <w:r>
        <w:t xml:space="preserve"> </w:t>
      </w:r>
      <w:r>
        <w:t xml:space="preserve">and visualized in</w:t>
      </w:r>
      <w:r>
        <w:t xml:space="preserve"> </w:t>
      </w:r>
      <w:hyperlink w:anchor="fig-map">
        <w:r>
          <w:rPr>
            <w:rStyle w:val="Hyperlink"/>
          </w:rPr>
          <w:t xml:space="preserve">Figure 2</w:t>
        </w:r>
      </w:hyperlink>
      <w:r>
        <w:t xml:space="preserve">.</w:t>
      </w:r>
    </w:p>
    <w:bookmarkStart w:id="41" w:name="fig-map"/>
    <w:p>
      <w:pPr>
        <w:pStyle w:val="FigureTitle"/>
      </w:pPr>
      <w:r>
        <w:t xml:space="preserve">Figure 2</w:t>
      </w:r>
    </w:p>
    <w:p>
      <w:pPr>
        <w:pStyle w:val="Caption"/>
      </w:pPr>
      <w:r>
        <w:t xml:space="preserve">Semantic map visualizing all 901 technologies through further reduction of 10 UMAP dimensions to two. Colors indicate the assignment to the respective clusters.</w:t>
      </w:r>
    </w:p>
    <w:p>
      <w:pPr>
        <w:pStyle w:val="FigureWithoutNote"/>
      </w:pPr>
      <w:r>
        <w:drawing>
          <wp:inline>
            <wp:extent cx="5943600" cy="2786062"/>
            <wp:effectExtent b="0" l="0" r="0" t="0"/>
            <wp:docPr descr="" title="" id="39" name="Picture"/>
            <a:graphic>
              <a:graphicData uri="http://schemas.openxmlformats.org/drawingml/2006/picture">
                <pic:pic>
                  <pic:nvPicPr>
                    <pic:cNvPr descr="..\11_semantic_mapping_output/1_semantic_map16.png" id="40" name="Picture"/>
                    <pic:cNvPicPr>
                      <a:picLocks noChangeArrowheads="1" noChangeAspect="1"/>
                    </pic:cNvPicPr>
                  </pic:nvPicPr>
                  <pic:blipFill>
                    <a:blip r:embed="rId38"/>
                    <a:stretch>
                      <a:fillRect/>
                    </a:stretch>
                  </pic:blipFill>
                  <pic:spPr bwMode="auto">
                    <a:xfrm>
                      <a:off x="0" y="0"/>
                      <a:ext cx="5943600" cy="2786062"/>
                    </a:xfrm>
                    <a:prstGeom prst="rect">
                      <a:avLst/>
                    </a:prstGeom>
                    <a:noFill/>
                    <a:ln w="9525">
                      <a:noFill/>
                      <a:headEnd/>
                      <a:tailEnd/>
                    </a:ln>
                  </pic:spPr>
                </pic:pic>
              </a:graphicData>
            </a:graphic>
          </wp:inline>
        </w:drawing>
      </w:r>
    </w:p>
    <w:bookmarkEnd w:id="41"/>
    <w:p>
      <w:pPr>
        <w:pStyle w:val="AfterWithoutNote"/>
      </w:pPr>
      <w:r>
        <w:t xml:space="preserve">Across the seven journals, we compare each journal’s focus on a technology cluster against the corpus-wide focus on that cluster, using Dirichlet posteriors with the overall distribution as the prior. Journal profiles are largely in line with the corpus, but some patterns emerge. MS dominates discussions of pricing and channel problems, holding credibly more than its expected share of Auctions &amp; Pricing (46%), Streaming, Audio &amp; Video (37%) and E-Commerce (33%). IJRM dominates technologies early in their adoption and diffusion cycle, credibly over-represented in Crypto &amp; Fintech (31%) and, descriptively though not credibly, in Generative AI (21%), but also credibly in Smartphones &amp; Apps (26%). Systematic under-representation is rarer; the clearest case is JCP, which falls credibly below its expected share for Gaming &amp; Digital Platforms, Social Media, and Streaming, Audio &amp; Video. Detailed results are reported in the</w:t>
      </w:r>
      <w:r>
        <w:t xml:space="preserve"> </w:t>
      </w:r>
      <w:hyperlink r:id="rId42">
        <w:r>
          <w:rPr>
            <w:rStyle w:val="Hyperlink"/>
          </w:rPr>
          <w:t xml:space="preserve">Appendix B</w:t>
        </w:r>
      </w:hyperlink>
      <w:r>
        <w:t xml:space="preserve">Appendix B</w:t>
      </w:r>
      <w:r>
        <w:t xml:space="preserve">.</w:t>
      </w:r>
    </w:p>
    <w:p>
      <w:pPr>
        <w:pStyle w:val="BodyText"/>
      </w:pPr>
      <w:r>
        <w:t xml:space="preserve">The share of technologies across time shows that empirical research discussing consumer technologies increased sharply from 2014 onwards, and received another wave of attention from 2022 onwards (</w:t>
      </w:r>
      <w:hyperlink w:anchor="fig-temp">
        <w:r>
          <w:rPr>
            <w:rStyle w:val="Hyperlink"/>
          </w:rPr>
          <w:t xml:space="preserve">Figure 3</w:t>
        </w:r>
      </w:hyperlink>
      <w:r>
        <w:t xml:space="preserve"> </w:t>
      </w:r>
      <w:r>
        <w:t xml:space="preserve">Panel A). Computers &amp; Software and Internet &amp; Broadcasting dominate early consumer technology research, give way to a strong focus on Smartphones, and shortly after also Social Media, which in turn are replaced by Generative AI from approximately 2022 onwards (</w:t>
      </w:r>
      <w:hyperlink w:anchor="fig-temp">
        <w:r>
          <w:rPr>
            <w:rStyle w:val="Hyperlink"/>
          </w:rPr>
          <w:t xml:space="preserve">Figure 3</w:t>
        </w:r>
      </w:hyperlink>
      <w:r>
        <w:t xml:space="preserve"> </w:t>
      </w:r>
      <w:r>
        <w:t xml:space="preserve">Panel B). The peak years corroborate these patterns statistically: Computers &amp; Software and Internet &amp; Broadcasting peak in 2000, the year in which they take up their comparatively largest share, and decline continuously thereafter (</w:t>
      </w:r>
      <m:oMath>
        <m:r>
          <m:t>p</m:t>
        </m:r>
        <m:r>
          <m:rPr>
            <m:sty m:val="p"/>
          </m:rPr>
          <m:t>&lt;</m:t>
        </m:r>
        <m:r>
          <m:t>.001</m:t>
        </m:r>
      </m:oMath>
      <w:r>
        <w:t xml:space="preserve">), whereas Smartphones &amp; Apps and Social Media peak in 2016 and 2017 (</w:t>
      </w:r>
      <m:oMath>
        <m:r>
          <m:t>p</m:t>
        </m:r>
        <m:r>
          <m:rPr>
            <m:sty m:val="p"/>
          </m:rPr>
          <m:t>&lt;</m:t>
        </m:r>
        <m:r>
          <m:t>.001</m:t>
        </m:r>
      </m:oMath>
      <w:r>
        <w:t xml:space="preserve">). Generative AI peaks in 2026 (</w:t>
      </w:r>
      <m:oMath>
        <m:r>
          <m:t>30.2</m:t>
        </m:r>
        <m:r>
          <m:rPr>
            <m:sty m:val="p"/>
          </m:rPr>
          <m:t>%</m:t>
        </m:r>
      </m:oMath>
      <w:r>
        <w:t xml:space="preserve">,</w:t>
      </w:r>
      <w:r>
        <w:t xml:space="preserve"> </w:t>
      </w:r>
      <m:oMath>
        <m:r>
          <m:t>p</m:t>
        </m:r>
        <m:r>
          <m:rPr>
            <m:sty m:val="p"/>
          </m:rPr>
          <m:t>&lt;</m:t>
        </m:r>
        <m:r>
          <m:t>.001</m:t>
        </m:r>
      </m:oMath>
      <w:r>
        <w:t xml:space="preserve">), rising throughout without cresting within it (see</w:t>
      </w:r>
      <w:r>
        <w:t xml:space="preserve"> </w:t>
      </w:r>
      <w:hyperlink w:anchor="tbl-peaks">
        <w:r>
          <w:rPr>
            <w:rStyle w:val="Hyperlink"/>
          </w:rPr>
          <w:t xml:space="preserve">Table 1</w:t>
        </w:r>
      </w:hyperlink>
      <w:r>
        <w:t xml:space="preserve">, and</w:t>
      </w:r>
      <w:r>
        <w:t xml:space="preserve"> </w:t>
      </w:r>
      <w:hyperlink r:id="rId42">
        <w:r>
          <w:rPr>
            <w:rStyle w:val="Hyperlink"/>
          </w:rPr>
          <w:t xml:space="preserve">Appendix B</w:t>
        </w:r>
      </w:hyperlink>
      <w:r>
        <w:t xml:space="preserve">Appendix B</w:t>
      </w:r>
      <w:r>
        <w:t xml:space="preserve"> </w:t>
      </w:r>
      <w:r>
        <w:t xml:space="preserve">for the fitted trajectories).</w:t>
      </w:r>
    </w:p>
    <w:bookmarkStart w:id="44" w:name="tbl-peaks"/>
    <w:p>
      <w:pPr>
        <w:pStyle w:val="FigureTitle"/>
      </w:pPr>
      <w:r>
        <w:t xml:space="preserve">Table 1</w:t>
      </w:r>
    </w:p>
    <w:p>
      <w:pPr>
        <w:pStyle w:val="Caption"/>
      </w:pPr>
      <w:r>
        <w:t xml:space="preserve">Total mentions, peak year and peak share of each technology cluster within consumer-technology research, estimated with a negative-binomial generalized additive model of yearly mentions on a smooth of publication year, offset by all technology mentions of that year. Mentions are the cluster’s total mentions across 2000-2026, counted once per article and technology. The peak is the maximum of the fitted curve; a peak in the first or last year of the observation period indicates a cluster that declines or rises throughout rather than one that crests within it. The</w:t>
      </w:r>
      <w:r>
        <w:t xml:space="preserve"> </w:t>
      </w:r>
      <m:oMath>
        <m:r>
          <m:t>p</m:t>
        </m:r>
      </m:oMath>
      <w:r>
        <w:t xml:space="preserve">-value tests the smooth against a flat trend. The fitted curves for all clusters are shown in Appendix B.</w:t>
      </w:r>
    </w:p>
    <w:bookmarkStart w:id="43" w:name="tbl-peaks"/>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Technology cluster</w:t>
            </w:r>
          </w:p>
        </w:tc>
        <w:tc>
          <w:tcPr/>
          <w:p>
            <w:pPr>
              <w:pStyle w:val="Compact"/>
              <w:jc w:val="right"/>
            </w:pPr>
            <w:r>
              <w:t xml:space="preserve">Mentions</w:t>
            </w:r>
          </w:p>
        </w:tc>
        <w:tc>
          <w:tcPr/>
          <w:p>
            <w:pPr>
              <w:pStyle w:val="Compact"/>
              <w:jc w:val="right"/>
            </w:pPr>
            <w:r>
              <w:t xml:space="preserve">Peak year</w:t>
            </w:r>
          </w:p>
        </w:tc>
        <w:tc>
          <w:tcPr/>
          <w:p>
            <w:pPr>
              <w:pStyle w:val="Compact"/>
              <w:jc w:val="right"/>
            </w:pPr>
            <w:r>
              <w:t xml:space="preserve">Peak share</w:t>
            </w:r>
          </w:p>
        </w:tc>
        <w:tc>
          <w:tcPr/>
          <w:p>
            <w:pPr>
              <w:pStyle w:val="Compact"/>
              <w:jc w:val="right"/>
            </w:pPr>
            <w:r>
              <w:rPr>
                <w:i/>
                <w:iCs/>
              </w:rPr>
              <w:t xml:space="preserve">p</w:t>
            </w:r>
          </w:p>
        </w:tc>
      </w:tr>
      <w:tr>
        <w:tc>
          <w:tcPr/>
          <w:p>
            <w:pPr>
              <w:pStyle w:val="Compact"/>
            </w:pPr>
            <w:r>
              <w:t xml:space="preserve">Algorithms &amp; Recommendations</w:t>
            </w:r>
          </w:p>
        </w:tc>
        <w:tc>
          <w:tcPr/>
          <w:p>
            <w:pPr>
              <w:pStyle w:val="Compact"/>
              <w:jc w:val="right"/>
            </w:pPr>
            <w:r>
              <w:t xml:space="preserve">103</w:t>
            </w:r>
          </w:p>
        </w:tc>
        <w:tc>
          <w:tcPr/>
          <w:p>
            <w:pPr>
              <w:pStyle w:val="Compact"/>
              <w:jc w:val="right"/>
            </w:pPr>
            <w:r>
              <w:t xml:space="preserve">2026</w:t>
            </w:r>
          </w:p>
        </w:tc>
        <w:tc>
          <w:tcPr/>
          <w:p>
            <w:pPr>
              <w:pStyle w:val="Compact"/>
              <w:jc w:val="right"/>
            </w:pPr>
            <w:r>
              <w:t xml:space="preserve">7.2%</w:t>
            </w:r>
          </w:p>
        </w:tc>
        <w:tc>
          <w:tcPr/>
          <w:p>
            <w:pPr>
              <w:pStyle w:val="Compact"/>
              <w:jc w:val="right"/>
            </w:pPr>
            <w:r>
              <w:t xml:space="preserve">.604</w:t>
            </w:r>
          </w:p>
        </w:tc>
      </w:tr>
      <w:tr>
        <w:tc>
          <w:tcPr/>
          <w:p>
            <w:pPr>
              <w:pStyle w:val="Compact"/>
            </w:pPr>
            <w:r>
              <w:t xml:space="preserve">AR, VR &amp; Robots</w:t>
            </w:r>
          </w:p>
        </w:tc>
        <w:tc>
          <w:tcPr/>
          <w:p>
            <w:pPr>
              <w:pStyle w:val="Compact"/>
              <w:jc w:val="right"/>
            </w:pPr>
            <w:r>
              <w:t xml:space="preserve">54</w:t>
            </w:r>
          </w:p>
        </w:tc>
        <w:tc>
          <w:tcPr/>
          <w:p>
            <w:pPr>
              <w:pStyle w:val="Compact"/>
              <w:jc w:val="right"/>
            </w:pPr>
            <w:r>
              <w:t xml:space="preserve">2026</w:t>
            </w:r>
          </w:p>
        </w:tc>
        <w:tc>
          <w:tcPr/>
          <w:p>
            <w:pPr>
              <w:pStyle w:val="Compact"/>
              <w:jc w:val="right"/>
            </w:pPr>
            <w:r>
              <w:t xml:space="preserve">6.0%</w:t>
            </w:r>
          </w:p>
        </w:tc>
        <w:tc>
          <w:tcPr/>
          <w:p>
            <w:pPr>
              <w:pStyle w:val="Compact"/>
              <w:jc w:val="right"/>
            </w:pPr>
            <w:r>
              <w:t xml:space="preserve">&lt; .001</w:t>
            </w:r>
          </w:p>
        </w:tc>
      </w:tr>
      <w:tr>
        <w:tc>
          <w:tcPr/>
          <w:p>
            <w:pPr>
              <w:pStyle w:val="Compact"/>
            </w:pPr>
            <w:r>
              <w:t xml:space="preserve">Auctions &amp; Pricing</w:t>
            </w:r>
          </w:p>
        </w:tc>
        <w:tc>
          <w:tcPr/>
          <w:p>
            <w:pPr>
              <w:pStyle w:val="Compact"/>
              <w:jc w:val="right"/>
            </w:pPr>
            <w:r>
              <w:t xml:space="preserve">26</w:t>
            </w:r>
          </w:p>
        </w:tc>
        <w:tc>
          <w:tcPr/>
          <w:p>
            <w:pPr>
              <w:pStyle w:val="Compact"/>
              <w:jc w:val="right"/>
            </w:pPr>
            <w:r>
              <w:t xml:space="preserve">2007</w:t>
            </w:r>
          </w:p>
        </w:tc>
        <w:tc>
          <w:tcPr/>
          <w:p>
            <w:pPr>
              <w:pStyle w:val="Compact"/>
              <w:jc w:val="right"/>
            </w:pPr>
            <w:r>
              <w:t xml:space="preserve">5.4%</w:t>
            </w:r>
          </w:p>
        </w:tc>
        <w:tc>
          <w:tcPr/>
          <w:p>
            <w:pPr>
              <w:pStyle w:val="Compact"/>
              <w:jc w:val="right"/>
            </w:pPr>
            <w:r>
              <w:t xml:space="preserve">.004</w:t>
            </w:r>
          </w:p>
        </w:tc>
      </w:tr>
      <w:tr>
        <w:tc>
          <w:tcPr/>
          <w:p>
            <w:pPr>
              <w:pStyle w:val="Compact"/>
            </w:pPr>
            <w:r>
              <w:t xml:space="preserve">Computers &amp; Software</w:t>
            </w:r>
          </w:p>
        </w:tc>
        <w:tc>
          <w:tcPr/>
          <w:p>
            <w:pPr>
              <w:pStyle w:val="Compact"/>
              <w:jc w:val="right"/>
            </w:pPr>
            <w:r>
              <w:t xml:space="preserve">134</w:t>
            </w:r>
          </w:p>
        </w:tc>
        <w:tc>
          <w:tcPr/>
          <w:p>
            <w:pPr>
              <w:pStyle w:val="Compact"/>
              <w:jc w:val="right"/>
            </w:pPr>
            <w:r>
              <w:t xml:space="preserve">2000</w:t>
            </w:r>
          </w:p>
        </w:tc>
        <w:tc>
          <w:tcPr/>
          <w:p>
            <w:pPr>
              <w:pStyle w:val="Compact"/>
              <w:jc w:val="right"/>
            </w:pPr>
            <w:r>
              <w:t xml:space="preserve">21.5%</w:t>
            </w:r>
          </w:p>
        </w:tc>
        <w:tc>
          <w:tcPr/>
          <w:p>
            <w:pPr>
              <w:pStyle w:val="Compact"/>
              <w:jc w:val="right"/>
            </w:pPr>
            <w:r>
              <w:t xml:space="preserve">&lt; .001</w:t>
            </w:r>
          </w:p>
        </w:tc>
      </w:tr>
      <w:tr>
        <w:tc>
          <w:tcPr/>
          <w:p>
            <w:pPr>
              <w:pStyle w:val="Compact"/>
            </w:pPr>
            <w:r>
              <w:t xml:space="preserve">Crypto &amp; Fintech</w:t>
            </w:r>
          </w:p>
        </w:tc>
        <w:tc>
          <w:tcPr/>
          <w:p>
            <w:pPr>
              <w:pStyle w:val="Compact"/>
              <w:jc w:val="right"/>
            </w:pPr>
            <w:r>
              <w:t xml:space="preserve">95</w:t>
            </w:r>
          </w:p>
        </w:tc>
        <w:tc>
          <w:tcPr/>
          <w:p>
            <w:pPr>
              <w:pStyle w:val="Compact"/>
              <w:jc w:val="right"/>
            </w:pPr>
            <w:r>
              <w:t xml:space="preserve">2026</w:t>
            </w:r>
          </w:p>
        </w:tc>
        <w:tc>
          <w:tcPr/>
          <w:p>
            <w:pPr>
              <w:pStyle w:val="Compact"/>
              <w:jc w:val="right"/>
            </w:pPr>
            <w:r>
              <w:t xml:space="preserve">10.5%</w:t>
            </w:r>
          </w:p>
        </w:tc>
        <w:tc>
          <w:tcPr/>
          <w:p>
            <w:pPr>
              <w:pStyle w:val="Compact"/>
              <w:jc w:val="right"/>
            </w:pPr>
            <w:r>
              <w:t xml:space="preserve">.034</w:t>
            </w:r>
          </w:p>
        </w:tc>
      </w:tr>
      <w:tr>
        <w:tc>
          <w:tcPr/>
          <w:p>
            <w:pPr>
              <w:pStyle w:val="Compact"/>
            </w:pPr>
            <w:r>
              <w:t xml:space="preserve">E-Commerce</w:t>
            </w:r>
          </w:p>
        </w:tc>
        <w:tc>
          <w:tcPr/>
          <w:p>
            <w:pPr>
              <w:pStyle w:val="Compact"/>
              <w:jc w:val="right"/>
            </w:pPr>
            <w:r>
              <w:t xml:space="preserve">81</w:t>
            </w:r>
          </w:p>
        </w:tc>
        <w:tc>
          <w:tcPr/>
          <w:p>
            <w:pPr>
              <w:pStyle w:val="Compact"/>
              <w:jc w:val="right"/>
            </w:pPr>
            <w:r>
              <w:t xml:space="preserve">2000</w:t>
            </w:r>
          </w:p>
        </w:tc>
        <w:tc>
          <w:tcPr/>
          <w:p>
            <w:pPr>
              <w:pStyle w:val="Compact"/>
              <w:jc w:val="right"/>
            </w:pPr>
            <w:r>
              <w:t xml:space="preserve">11.6%</w:t>
            </w:r>
          </w:p>
        </w:tc>
        <w:tc>
          <w:tcPr/>
          <w:p>
            <w:pPr>
              <w:pStyle w:val="Compact"/>
              <w:jc w:val="right"/>
            </w:pPr>
            <w:r>
              <w:t xml:space="preserve">.001</w:t>
            </w:r>
          </w:p>
        </w:tc>
      </w:tr>
      <w:tr>
        <w:tc>
          <w:tcPr/>
          <w:p>
            <w:pPr>
              <w:pStyle w:val="Compact"/>
            </w:pPr>
            <w:r>
              <w:t xml:space="preserve">Gaming &amp; Digital Platforms</w:t>
            </w:r>
          </w:p>
        </w:tc>
        <w:tc>
          <w:tcPr/>
          <w:p>
            <w:pPr>
              <w:pStyle w:val="Compact"/>
              <w:jc w:val="right"/>
            </w:pPr>
            <w:r>
              <w:t xml:space="preserve">106</w:t>
            </w:r>
          </w:p>
        </w:tc>
        <w:tc>
          <w:tcPr/>
          <w:p>
            <w:pPr>
              <w:pStyle w:val="Compact"/>
              <w:jc w:val="right"/>
            </w:pPr>
            <w:r>
              <w:t xml:space="preserve">2026</w:t>
            </w:r>
          </w:p>
        </w:tc>
        <w:tc>
          <w:tcPr/>
          <w:p>
            <w:pPr>
              <w:pStyle w:val="Compact"/>
              <w:jc w:val="right"/>
            </w:pPr>
            <w:r>
              <w:t xml:space="preserve">9.4%</w:t>
            </w:r>
          </w:p>
        </w:tc>
        <w:tc>
          <w:tcPr/>
          <w:p>
            <w:pPr>
              <w:pStyle w:val="Compact"/>
              <w:jc w:val="right"/>
            </w:pPr>
            <w:r>
              <w:t xml:space="preserve">.002</w:t>
            </w:r>
          </w:p>
        </w:tc>
      </w:tr>
      <w:tr>
        <w:tc>
          <w:tcPr/>
          <w:p>
            <w:pPr>
              <w:pStyle w:val="Compact"/>
            </w:pPr>
            <w:r>
              <w:t xml:space="preserve">Generative AI</w:t>
            </w:r>
          </w:p>
        </w:tc>
        <w:tc>
          <w:tcPr/>
          <w:p>
            <w:pPr>
              <w:pStyle w:val="Compact"/>
              <w:jc w:val="right"/>
            </w:pPr>
            <w:r>
              <w:t xml:space="preserve">225</w:t>
            </w:r>
          </w:p>
        </w:tc>
        <w:tc>
          <w:tcPr/>
          <w:p>
            <w:pPr>
              <w:pStyle w:val="Compact"/>
              <w:jc w:val="right"/>
            </w:pPr>
            <w:r>
              <w:t xml:space="preserve">2026</w:t>
            </w:r>
          </w:p>
        </w:tc>
        <w:tc>
          <w:tcPr/>
          <w:p>
            <w:pPr>
              <w:pStyle w:val="Compact"/>
              <w:jc w:val="right"/>
            </w:pPr>
            <w:r>
              <w:t xml:space="preserve">30.2%</w:t>
            </w:r>
          </w:p>
        </w:tc>
        <w:tc>
          <w:tcPr/>
          <w:p>
            <w:pPr>
              <w:pStyle w:val="Compact"/>
              <w:jc w:val="right"/>
            </w:pPr>
            <w:r>
              <w:t xml:space="preserve">&lt; .001</w:t>
            </w:r>
          </w:p>
        </w:tc>
      </w:tr>
      <w:tr>
        <w:tc>
          <w:tcPr/>
          <w:p>
            <w:pPr>
              <w:pStyle w:val="Compact"/>
            </w:pPr>
            <w:r>
              <w:t xml:space="preserve">Internet &amp; Broadcasting</w:t>
            </w:r>
          </w:p>
        </w:tc>
        <w:tc>
          <w:tcPr/>
          <w:p>
            <w:pPr>
              <w:pStyle w:val="Compact"/>
              <w:jc w:val="right"/>
            </w:pPr>
            <w:r>
              <w:t xml:space="preserve">127</w:t>
            </w:r>
          </w:p>
        </w:tc>
        <w:tc>
          <w:tcPr/>
          <w:p>
            <w:pPr>
              <w:pStyle w:val="Compact"/>
              <w:jc w:val="right"/>
            </w:pPr>
            <w:r>
              <w:t xml:space="preserve">2000</w:t>
            </w:r>
          </w:p>
        </w:tc>
        <w:tc>
          <w:tcPr/>
          <w:p>
            <w:pPr>
              <w:pStyle w:val="Compact"/>
              <w:jc w:val="right"/>
            </w:pPr>
            <w:r>
              <w:t xml:space="preserve">29.4%</w:t>
            </w:r>
          </w:p>
        </w:tc>
        <w:tc>
          <w:tcPr/>
          <w:p>
            <w:pPr>
              <w:pStyle w:val="Compact"/>
              <w:jc w:val="right"/>
            </w:pPr>
            <w:r>
              <w:t xml:space="preserve">&lt; .001</w:t>
            </w:r>
          </w:p>
        </w:tc>
      </w:tr>
      <w:tr>
        <w:tc>
          <w:tcPr/>
          <w:p>
            <w:pPr>
              <w:pStyle w:val="Compact"/>
            </w:pPr>
            <w:r>
              <w:t xml:space="preserve">Mobility &amp; Transportation</w:t>
            </w:r>
          </w:p>
        </w:tc>
        <w:tc>
          <w:tcPr/>
          <w:p>
            <w:pPr>
              <w:pStyle w:val="Compact"/>
              <w:jc w:val="right"/>
            </w:pPr>
            <w:r>
              <w:t xml:space="preserve">27</w:t>
            </w:r>
          </w:p>
        </w:tc>
        <w:tc>
          <w:tcPr/>
          <w:p>
            <w:pPr>
              <w:pStyle w:val="Compact"/>
              <w:jc w:val="right"/>
            </w:pPr>
            <w:r>
              <w:t xml:space="preserve">2000</w:t>
            </w:r>
          </w:p>
        </w:tc>
        <w:tc>
          <w:tcPr/>
          <w:p>
            <w:pPr>
              <w:pStyle w:val="Compact"/>
              <w:jc w:val="right"/>
            </w:pPr>
            <w:r>
              <w:t xml:space="preserve">1.8%</w:t>
            </w:r>
          </w:p>
        </w:tc>
        <w:tc>
          <w:tcPr/>
          <w:p>
            <w:pPr>
              <w:pStyle w:val="Compact"/>
              <w:jc w:val="right"/>
            </w:pPr>
            <w:r>
              <w:t xml:space="preserve">.942</w:t>
            </w:r>
          </w:p>
        </w:tc>
      </w:tr>
      <w:tr>
        <w:tc>
          <w:tcPr/>
          <w:p>
            <w:pPr>
              <w:pStyle w:val="Compact"/>
            </w:pPr>
            <w:r>
              <w:t xml:space="preserve">Search &amp; Advertising</w:t>
            </w:r>
          </w:p>
        </w:tc>
        <w:tc>
          <w:tcPr/>
          <w:p>
            <w:pPr>
              <w:pStyle w:val="Compact"/>
              <w:jc w:val="right"/>
            </w:pPr>
            <w:r>
              <w:t xml:space="preserve">99</w:t>
            </w:r>
          </w:p>
        </w:tc>
        <w:tc>
          <w:tcPr/>
          <w:p>
            <w:pPr>
              <w:pStyle w:val="Compact"/>
              <w:jc w:val="right"/>
            </w:pPr>
            <w:r>
              <w:t xml:space="preserve">2000</w:t>
            </w:r>
          </w:p>
        </w:tc>
        <w:tc>
          <w:tcPr/>
          <w:p>
            <w:pPr>
              <w:pStyle w:val="Compact"/>
              <w:jc w:val="right"/>
            </w:pPr>
            <w:r>
              <w:t xml:space="preserve">12.2%</w:t>
            </w:r>
          </w:p>
        </w:tc>
        <w:tc>
          <w:tcPr/>
          <w:p>
            <w:pPr>
              <w:pStyle w:val="Compact"/>
              <w:jc w:val="right"/>
            </w:pPr>
            <w:r>
              <w:t xml:space="preserve">.012</w:t>
            </w:r>
          </w:p>
        </w:tc>
      </w:tr>
      <w:tr>
        <w:tc>
          <w:tcPr/>
          <w:p>
            <w:pPr>
              <w:pStyle w:val="Compact"/>
            </w:pPr>
            <w:r>
              <w:t xml:space="preserve">Smartphones &amp; Apps</w:t>
            </w:r>
          </w:p>
        </w:tc>
        <w:tc>
          <w:tcPr/>
          <w:p>
            <w:pPr>
              <w:pStyle w:val="Compact"/>
              <w:jc w:val="right"/>
            </w:pPr>
            <w:r>
              <w:t xml:space="preserve">126</w:t>
            </w:r>
          </w:p>
        </w:tc>
        <w:tc>
          <w:tcPr/>
          <w:p>
            <w:pPr>
              <w:pStyle w:val="Compact"/>
              <w:jc w:val="right"/>
            </w:pPr>
            <w:r>
              <w:t xml:space="preserve">2017</w:t>
            </w:r>
          </w:p>
        </w:tc>
        <w:tc>
          <w:tcPr/>
          <w:p>
            <w:pPr>
              <w:pStyle w:val="Compact"/>
              <w:jc w:val="right"/>
            </w:pPr>
            <w:r>
              <w:t xml:space="preserve">11.9%</w:t>
            </w:r>
          </w:p>
        </w:tc>
        <w:tc>
          <w:tcPr/>
          <w:p>
            <w:pPr>
              <w:pStyle w:val="Compact"/>
              <w:jc w:val="right"/>
            </w:pPr>
            <w:r>
              <w:t xml:space="preserve">.041</w:t>
            </w:r>
          </w:p>
        </w:tc>
      </w:tr>
      <w:tr>
        <w:tc>
          <w:tcPr/>
          <w:p>
            <w:pPr>
              <w:pStyle w:val="Compact"/>
            </w:pPr>
            <w:r>
              <w:t xml:space="preserve">Social Media</w:t>
            </w:r>
          </w:p>
        </w:tc>
        <w:tc>
          <w:tcPr/>
          <w:p>
            <w:pPr>
              <w:pStyle w:val="Compact"/>
              <w:jc w:val="right"/>
            </w:pPr>
            <w:r>
              <w:t xml:space="preserve">182</w:t>
            </w:r>
          </w:p>
        </w:tc>
        <w:tc>
          <w:tcPr/>
          <w:p>
            <w:pPr>
              <w:pStyle w:val="Compact"/>
              <w:jc w:val="right"/>
            </w:pPr>
            <w:r>
              <w:t xml:space="preserve">2016</w:t>
            </w:r>
          </w:p>
        </w:tc>
        <w:tc>
          <w:tcPr/>
          <w:p>
            <w:pPr>
              <w:pStyle w:val="Compact"/>
              <w:jc w:val="right"/>
            </w:pPr>
            <w:r>
              <w:t xml:space="preserve">24.1%</w:t>
            </w:r>
          </w:p>
        </w:tc>
        <w:tc>
          <w:tcPr/>
          <w:p>
            <w:pPr>
              <w:pStyle w:val="Compact"/>
              <w:jc w:val="right"/>
            </w:pPr>
            <w:r>
              <w:t xml:space="preserve">&lt; .001</w:t>
            </w:r>
          </w:p>
        </w:tc>
      </w:tr>
      <w:tr>
        <w:tc>
          <w:tcPr/>
          <w:p>
            <w:pPr>
              <w:pStyle w:val="Compact"/>
            </w:pPr>
            <w:r>
              <w:t xml:space="preserve">Streaming, Audio &amp; Video</w:t>
            </w:r>
          </w:p>
        </w:tc>
        <w:tc>
          <w:tcPr/>
          <w:p>
            <w:pPr>
              <w:pStyle w:val="Compact"/>
              <w:jc w:val="right"/>
            </w:pPr>
            <w:r>
              <w:t xml:space="preserve">57</w:t>
            </w:r>
          </w:p>
        </w:tc>
        <w:tc>
          <w:tcPr/>
          <w:p>
            <w:pPr>
              <w:pStyle w:val="Compact"/>
              <w:jc w:val="right"/>
            </w:pPr>
            <w:r>
              <w:t xml:space="preserve">2026</w:t>
            </w:r>
          </w:p>
        </w:tc>
        <w:tc>
          <w:tcPr/>
          <w:p>
            <w:pPr>
              <w:pStyle w:val="Compact"/>
              <w:jc w:val="right"/>
            </w:pPr>
            <w:r>
              <w:t xml:space="preserve">4.6%</w:t>
            </w:r>
          </w:p>
        </w:tc>
        <w:tc>
          <w:tcPr/>
          <w:p>
            <w:pPr>
              <w:pStyle w:val="Compact"/>
              <w:jc w:val="right"/>
            </w:pPr>
            <w:r>
              <w:t xml:space="preserve">.153</w:t>
            </w:r>
          </w:p>
        </w:tc>
      </w:tr>
      <w:tr>
        <w:tc>
          <w:tcPr/>
          <w:p>
            <w:pPr>
              <w:pStyle w:val="Compact"/>
            </w:pPr>
            <w:r>
              <w:t xml:space="preserve">Tracking &amp; Wearables</w:t>
            </w:r>
          </w:p>
        </w:tc>
        <w:tc>
          <w:tcPr/>
          <w:p>
            <w:pPr>
              <w:pStyle w:val="Compact"/>
              <w:jc w:val="right"/>
            </w:pPr>
            <w:r>
              <w:t xml:space="preserve">56</w:t>
            </w:r>
          </w:p>
        </w:tc>
        <w:tc>
          <w:tcPr/>
          <w:p>
            <w:pPr>
              <w:pStyle w:val="Compact"/>
              <w:jc w:val="right"/>
            </w:pPr>
            <w:r>
              <w:t xml:space="preserve">2014</w:t>
            </w:r>
          </w:p>
        </w:tc>
        <w:tc>
          <w:tcPr/>
          <w:p>
            <w:pPr>
              <w:pStyle w:val="Compact"/>
              <w:jc w:val="right"/>
            </w:pPr>
            <w:r>
              <w:t xml:space="preserve">4.5%</w:t>
            </w:r>
          </w:p>
        </w:tc>
        <w:tc>
          <w:tcPr/>
          <w:p>
            <w:pPr>
              <w:pStyle w:val="Compact"/>
              <w:jc w:val="right"/>
            </w:pPr>
            <w:r>
              <w:t xml:space="preserve">.388</w:t>
            </w:r>
          </w:p>
        </w:tc>
      </w:tr>
      <w:tr>
        <w:tc>
          <w:tcPr/>
          <w:p>
            <w:pPr>
              <w:pStyle w:val="Compact"/>
            </w:pPr>
            <w:r>
              <w:t xml:space="preserve">Other</w:t>
            </w:r>
          </w:p>
        </w:tc>
        <w:tc>
          <w:tcPr/>
          <w:p>
            <w:pPr>
              <w:pStyle w:val="Compact"/>
              <w:jc w:val="right"/>
            </w:pPr>
            <w:r>
              <w:t xml:space="preserve">85</w:t>
            </w:r>
          </w:p>
        </w:tc>
        <w:tc>
          <w:tcPr/>
          <w:p>
            <w:pPr>
              <w:pStyle w:val="Compact"/>
              <w:jc w:val="right"/>
            </w:pPr>
            <w:r>
              <w:t xml:space="preserve">2014</w:t>
            </w:r>
          </w:p>
        </w:tc>
        <w:tc>
          <w:tcPr/>
          <w:p>
            <w:pPr>
              <w:pStyle w:val="Compact"/>
              <w:jc w:val="right"/>
            </w:pPr>
            <w:r>
              <w:t xml:space="preserve">7.3%</w:t>
            </w:r>
          </w:p>
        </w:tc>
        <w:tc>
          <w:tcPr/>
          <w:p>
            <w:pPr>
              <w:pStyle w:val="Compact"/>
              <w:jc w:val="right"/>
            </w:pPr>
            <w:r>
              <w:t xml:space="preserve">.440</w:t>
            </w:r>
          </w:p>
        </w:tc>
      </w:tr>
    </w:tbl>
    <w:bookmarkEnd w:id="43"/>
    <w:bookmarkEnd w:id="44"/>
    <w:p>
      <w:pPr>
        <w:pStyle w:val="AfterWithoutNote"/>
      </w:pPr>
      <w:r>
        <w:t xml:space="preserve"> </w:t>
      </w:r>
    </w:p>
    <w:bookmarkStart w:id="48" w:name="fig-temp"/>
    <w:p>
      <w:pPr>
        <w:pStyle w:val="FigureTitle"/>
      </w:pPr>
      <w:r>
        <w:t xml:space="preserve">Figure 3</w:t>
      </w:r>
    </w:p>
    <w:p>
      <w:pPr>
        <w:pStyle w:val="Caption"/>
      </w:pPr>
      <w:r>
        <w:t xml:space="preserve">Temporal progression of the sixteen technology clusters in two-year intervals. Panel A shows each cluster as a share of all articles published in the seven journals in that interval; Panel B shows each cluster as a share of all consumer technology mentions in that interval.</w:t>
      </w:r>
    </w:p>
    <w:p>
      <w:pPr>
        <w:pStyle w:val="FigureWithoutNote"/>
      </w:pPr>
      <w:r>
        <w:drawing>
          <wp:inline>
            <wp:extent cx="5943600" cy="1708785"/>
            <wp:effectExtent b="0" l="0" r="0" t="0"/>
            <wp:docPr descr="" title="" id="46" name="Picture"/>
            <a:graphic>
              <a:graphicData uri="http://schemas.openxmlformats.org/drawingml/2006/picture">
                <pic:pic>
                  <pic:nvPicPr>
                    <pic:cNvPr descr="..\11_semantic_mapping_output/7_progression_panels_AB_k16.png" id="47" name="Picture"/>
                    <pic:cNvPicPr>
                      <a:picLocks noChangeArrowheads="1" noChangeAspect="1"/>
                    </pic:cNvPicPr>
                  </pic:nvPicPr>
                  <pic:blipFill>
                    <a:blip r:embed="rId45"/>
                    <a:stretch>
                      <a:fillRect/>
                    </a:stretch>
                  </pic:blipFill>
                  <pic:spPr bwMode="auto">
                    <a:xfrm>
                      <a:off x="0" y="0"/>
                      <a:ext cx="5943600" cy="1708785"/>
                    </a:xfrm>
                    <a:prstGeom prst="rect">
                      <a:avLst/>
                    </a:prstGeom>
                    <a:noFill/>
                    <a:ln w="9525">
                      <a:noFill/>
                      <a:headEnd/>
                      <a:tailEnd/>
                    </a:ln>
                  </pic:spPr>
                </pic:pic>
              </a:graphicData>
            </a:graphic>
          </wp:inline>
        </w:drawing>
      </w:r>
    </w:p>
    <w:bookmarkEnd w:id="48"/>
    <w:bookmarkEnd w:id="49"/>
    <w:bookmarkStart w:id="50" w:name="the-case-of-generative-ai"/>
    <w:p>
      <w:pPr>
        <w:pStyle w:val="Heading3"/>
      </w:pPr>
      <w:r>
        <w:t xml:space="preserve">The case of Generative AI</w:t>
      </w:r>
    </w:p>
    <w:p>
      <w:pPr>
        <w:pStyle w:val="FirstParagraph"/>
      </w:pPr>
      <w:r>
        <w:t xml:space="preserve">The boundaries between technology clusters are soft, and meaningfully display the semantic similarities between distinct technology clusters. This is also the case for Generative AI, situated in proximity to Algorithms &amp; Recommendations; and and AR, VR &amp; Robots. Yet, the new consumer technology clearly occupies its distinct region of the map, and has quickly become the most studied consumer technology overall (</w:t>
      </w:r>
      <m:oMath>
        <m:r>
          <m:t>225</m:t>
        </m:r>
      </m:oMath>
      <w:r>
        <w:t xml:space="preserve"> </w:t>
      </w:r>
      <w:r>
        <w:t xml:space="preserve">mentions across 26 years, of which most stem from the past four years) and at the current time, making up 30.2% of all consumer technology mentions in 2026 (see also</w:t>
      </w:r>
      <w:r>
        <w:t xml:space="preserve"> </w:t>
      </w:r>
      <w:hyperlink w:anchor="tbl-peaks">
        <w:r>
          <w:rPr>
            <w:rStyle w:val="Hyperlink"/>
          </w:rPr>
          <w:t xml:space="preserve">Table 1</w:t>
        </w:r>
      </w:hyperlink>
      <w:r>
        <w:t xml:space="preserve">). Being a clearly ubiquitous technology, that has become the most popular subject in the academic consumer technology discourse, it is unsurprising that all leading marketing journals have devoted a substantial share of their attention to Generative AI.</w:t>
      </w:r>
    </w:p>
    <w:bookmarkEnd w:id="50"/>
    <w:bookmarkEnd w:id="51"/>
    <w:bookmarkStart w:id="57" w:name="sec-analysis-2"/>
    <w:p>
      <w:pPr>
        <w:pStyle w:val="Heading2"/>
      </w:pPr>
      <w:r>
        <w:t xml:space="preserve">Analysis 2. Bibliometric analyses</w:t>
      </w:r>
    </w:p>
    <w:p>
      <w:pPr>
        <w:pStyle w:val="FirstParagraph"/>
      </w:pPr>
      <w:r>
        <w:t xml:space="preserve">In Analysis 2, we first analyze and map how our corpus of consumer technology literature is internally connected, and subsequently extend our bibliometric analysis to its intellectual foundation using co-citation metrics.</w:t>
      </w:r>
    </w:p>
    <w:bookmarkStart w:id="55" w:name="the-field-at-large-1"/>
    <w:p>
      <w:pPr>
        <w:pStyle w:val="Heading3"/>
      </w:pPr>
      <w:r>
        <w:t xml:space="preserve">The field at large</w:t>
      </w:r>
    </w:p>
    <w:p>
      <w:pPr>
        <w:pStyle w:val="FirstParagraph"/>
      </w:pPr>
      <w:r>
        <w:t xml:space="preserve">On an article level, few articles discuss more than one technology cluster simultaneously, with the exception of Generative AI and AR, VR &amp; Robots (</w:t>
      </w:r>
      <m:oMath>
        <m:r>
          <m:t>12</m:t>
        </m:r>
      </m:oMath>
      <w:r>
        <w:t xml:space="preserve"> </w:t>
      </w:r>
      <w:r>
        <w:t xml:space="preserve">co-mentions), Smartphones &amp; Apps and Computers &amp; Software (</w:t>
      </w:r>
      <m:oMath>
        <m:r>
          <m:t>12</m:t>
        </m:r>
      </m:oMath>
      <w:r>
        <w:t xml:space="preserve"> </w:t>
      </w:r>
      <w:r>
        <w:t xml:space="preserve">co-mentions); and Internet &amp; Broadcasting and Computers &amp; Software (</w:t>
      </w:r>
      <m:oMath>
        <m:r>
          <m:t>9</m:t>
        </m:r>
      </m:oMath>
      <w:r>
        <w:t xml:space="preserve"> </w:t>
      </w:r>
      <w:r>
        <w:t xml:space="preserve">co-mentions), indicating that consumer technologies are usually discussed as a single object of study, not as a component to a larger scope. The full matrix of co-mentions across all 16 clusters is reported in the</w:t>
      </w:r>
      <w:r>
        <w:t xml:space="preserve"> </w:t>
      </w:r>
      <w:hyperlink r:id="rId52">
        <w:r>
          <w:rPr>
            <w:rStyle w:val="Hyperlink"/>
          </w:rPr>
          <w:t xml:space="preserve">Appendix C</w:t>
        </w:r>
      </w:hyperlink>
      <w:r>
        <w:t xml:space="preserve">Appendix C</w:t>
      </w:r>
      <w:r>
        <w:t xml:space="preserve">).</w:t>
      </w:r>
    </w:p>
    <w:p>
      <w:pPr>
        <w:pStyle w:val="BodyText"/>
      </w:pPr>
      <w:r>
        <w:t xml:space="preserve">Within our corpus but across articles, we find a total of</w:t>
      </w:r>
      <w:r>
        <w:t xml:space="preserve"> </w:t>
      </w:r>
      <m:oMath>
        <m:r>
          <m:t>7</m:t>
        </m:r>
        <m:r>
          <m:rPr>
            <m:sty m:val="p"/>
          </m:rPr>
          <m:t>,</m:t>
        </m:r>
        <m:r>
          <m:t>115</m:t>
        </m:r>
      </m:oMath>
      <w:r>
        <w:t xml:space="preserve"> </w:t>
      </w:r>
      <w:r>
        <w:t xml:space="preserve">citation links. Within-cluster links are more prevalent than cross-cluster links in both directions, with the extent of internal coherence inversely proportional to the size of the cluster. Adopting the perspective of journals, we find similar patterns: Articles published in any specific journal cite articles from that journal more frequently than from any of the other journals. We find that</w:t>
      </w:r>
      <w:r>
        <w:t xml:space="preserve"> </w:t>
      </w:r>
      <w:r>
        <w:rPr>
          <w:i/>
          <w:iCs/>
        </w:rPr>
        <w:t xml:space="preserve">IJRM</w:t>
      </w:r>
      <w:r>
        <w:t xml:space="preserve"> </w:t>
      </w:r>
      <w:r>
        <w:t xml:space="preserve">and</w:t>
      </w:r>
      <w:r>
        <w:t xml:space="preserve"> </w:t>
      </w:r>
      <w:r>
        <w:rPr>
          <w:i/>
          <w:iCs/>
        </w:rPr>
        <w:t xml:space="preserve">JAMS</w:t>
      </w:r>
      <w:r>
        <w:t xml:space="preserve">, both journals focusing on applied research, source from the other journals more frequently than vice-versa. Bi-directional links are prominent in particular between</w:t>
      </w:r>
      <w:r>
        <w:t xml:space="preserve"> </w:t>
      </w:r>
      <w:r>
        <w:rPr>
          <w:i/>
          <w:iCs/>
        </w:rPr>
        <w:t xml:space="preserve">JM</w:t>
      </w:r>
      <w:r>
        <w:t xml:space="preserve">,</w:t>
      </w:r>
      <w:r>
        <w:t xml:space="preserve"> </w:t>
      </w:r>
      <w:r>
        <w:rPr>
          <w:i/>
          <w:iCs/>
        </w:rPr>
        <w:t xml:space="preserve">MS</w:t>
      </w:r>
      <w:r>
        <w:t xml:space="preserve">, and</w:t>
      </w:r>
      <w:r>
        <w:t xml:space="preserve"> </w:t>
      </w:r>
      <w:r>
        <w:rPr>
          <w:i/>
          <w:iCs/>
        </w:rPr>
        <w:t xml:space="preserve">JMR</w:t>
      </w:r>
      <w:r>
        <w:t xml:space="preserve">. Full tables summarizing the links between clusters, and between journals, can be found in the</w:t>
      </w:r>
      <w:r>
        <w:t xml:space="preserve"> </w:t>
      </w:r>
      <w:hyperlink r:id="rId52">
        <w:r>
          <w:rPr>
            <w:rStyle w:val="Hyperlink"/>
          </w:rPr>
          <w:t xml:space="preserve">Appendix C</w:t>
        </w:r>
      </w:hyperlink>
      <w:r>
        <w:t xml:space="preserve">Appendix C</w:t>
      </w:r>
      <w:r>
        <w:t xml:space="preserve">).</w:t>
      </w:r>
    </w:p>
    <w:p>
      <w:pPr>
        <w:pStyle w:val="BodyText"/>
      </w:pPr>
      <w:r>
        <w:t xml:space="preserve">Zooming out beyond the articles inside our corpus, we identify 13 labeled communities of intellectual themes discussed in the</w:t>
      </w:r>
      <w:r>
        <w:t xml:space="preserve"> </w:t>
      </w:r>
      <m:oMath>
        <m:r>
          <m:t>500</m:t>
        </m:r>
      </m:oMath>
      <w:r>
        <w:t xml:space="preserve"> </w:t>
      </w:r>
      <w:r>
        <w:t xml:space="preserve">most cited references using co-citation analysis and Louvain clustering</w:t>
      </w:r>
      <w:r>
        <w:t xml:space="preserve"> </w:t>
      </w:r>
      <w:r>
        <w:t xml:space="preserve">(</w:t>
      </w:r>
      <w:hyperlink w:anchor="X77c6a6fb7e9371a37a306d4adddd389bde7954b">
        <w:r>
          <w:rPr>
            <w:rStyle w:val="Hyperlink"/>
          </w:rPr>
          <w:t xml:space="preserve">Aria &amp; Cuccurullo, 2017</w:t>
        </w:r>
      </w:hyperlink>
      <w:r>
        <w:t xml:space="preserve">;</w:t>
      </w:r>
      <w:r>
        <w:t xml:space="preserve"> </w:t>
      </w:r>
      <w:hyperlink w:anchor="ref-blondelFastUnfoldingCommunities2008">
        <w:r>
          <w:rPr>
            <w:rStyle w:val="Hyperlink"/>
          </w:rPr>
          <w:t xml:space="preserve">Blondel et al., 2008</w:t>
        </w:r>
      </w:hyperlink>
      <w:r>
        <w:t xml:space="preserve">)</w:t>
      </w:r>
      <w:r>
        <w:t xml:space="preserve">. Prior to clustering, we manually removed pure method papers, that is, references concerned solely with a method rather than its application to any topic. We manually label each community based on the shared themes of its top 10 references. Louvain clustering resulted in several small communities in which no clear theme could be identified, which we summarize under</w:t>
      </w:r>
      <w:r>
        <w:t xml:space="preserve"> </w:t>
      </w:r>
      <w:r>
        <w:t xml:space="preserve">“Other”</w:t>
      </w:r>
      <w:r>
        <w:t xml:space="preserve"> </w:t>
      </w:r>
      <w:r>
        <w:t xml:space="preserve">so as not to break the top 500 reference inclusion we set. Across the corpus of consumer technology research, the top 500 references were cited a total of</w:t>
      </w:r>
      <w:r>
        <w:t xml:space="preserve"> </w:t>
      </w:r>
      <m:oMath>
        <m:r>
          <m:t>4</m:t>
        </m:r>
        <m:r>
          <m:rPr>
            <m:sty m:val="p"/>
          </m:rPr>
          <m:t>,</m:t>
        </m:r>
        <m:r>
          <m:t>344</m:t>
        </m:r>
      </m:oMath>
      <w:r>
        <w:t xml:space="preserve"> </w:t>
      </w:r>
      <w:r>
        <w:t xml:space="preserve">times. For each community, we calculate its proportional dominance by dividing the citations it receives by the total citations, creating a cross-corpus overall distribution of themes discussed. The themes, their distribution and the top five references for each are summarized in</w:t>
      </w:r>
      <w:r>
        <w:t xml:space="preserve"> </w:t>
      </w:r>
      <w:hyperlink w:anchor="tbl-cocitation-foundation">
        <w:r>
          <w:rPr>
            <w:rStyle w:val="Hyperlink"/>
          </w:rPr>
          <w:t xml:space="preserve">Table 2</w:t>
        </w:r>
      </w:hyperlink>
      <w:r>
        <w:t xml:space="preserve">. The two most dominant communities center on Algorithm and AI Perception, including algorithm aversion (23.0%), and on Online Virality and Word of Mouth (22.4%). Comparing the distribution of themes within each cluster against the overall distribution using Dirichlet posteriors, we find that technology clusters do not draw on the themes equally across the board: mature (defined as the duration since its peak, see Analysis 1) and larger clusters cover a broader intellectual foundation, indicating that they have been discussed from multiple perspectives, whereas newer technologies rest on narrower, more pointed foundations.</w:t>
      </w:r>
    </w:p>
    <w:p>
      <w:pPr>
        <w:sectPr/>
      </w:pPr>
    </w:p>
    <w:bookmarkStart w:id="54" w:name="tbl-cocitation-foundation"/>
    <w:p>
      <w:pPr>
        <w:pStyle w:val="FigureTitle"/>
      </w:pPr>
      <w:r>
        <w:t xml:space="preserve">Table 2</w:t>
      </w:r>
    </w:p>
    <w:p>
      <w:pPr>
        <w:pStyle w:val="Caption"/>
      </w:pPr>
      <w:r>
        <w:t xml:space="preserve">The shared knowledge foundation of the corpus as a whole. The first row pools all sixteen technology clusters and gives the matched article-reference mentions falling into each co-citation base cluster with the corresponding share; the second row gives the five most cited references of that base cluster with their titles, ranked by the number of corpus articles citing them. Columns are alphabetical with the residual Other category last.</w:t>
      </w:r>
    </w:p>
    <w:bookmarkStart w:id="53" w:name="tbl-cocitation-foundation"/>
    <w:tbl>
      <w:tblPr>
        <w:tblStyle w:val="Table"/>
        <w:tblW w:type="pct" w:w="5000"/>
        <w:tblLayout w:type="fixed"/>
        <w:tblLook w:firstRow="1" w:lastRow="0" w:firstColumn="0" w:lastColumn="0" w:noHBand="0" w:noVBand="0" w:val="0020"/>
      </w:tblPr>
      <w:tblGrid>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trPr>
          <w:tblHeader w:val="on"/>
        </w:trPr>
        <w:tc>
          <w:tcPr/>
          <w:p>
            <w:pPr>
              <w:pStyle w:val="Compact"/>
            </w:pPr>
            <w:r>
              <w:t xml:space="preserve">Co-Citation Base Cluster</w:t>
            </w:r>
          </w:p>
        </w:tc>
        <w:tc>
          <w:tcPr/>
          <w:p>
            <w:pPr>
              <w:pStyle w:val="Compact"/>
            </w:pPr>
            <w:r>
              <w:t xml:space="preserve">algorithm and AI perception &amp; acceptance</w:t>
            </w:r>
          </w:p>
        </w:tc>
        <w:tc>
          <w:tcPr/>
          <w:p>
            <w:pPr>
              <w:pStyle w:val="Compact"/>
            </w:pPr>
            <w:r>
              <w:t xml:space="preserve">consumer decisionmaking</w:t>
            </w:r>
          </w:p>
        </w:tc>
        <w:tc>
          <w:tcPr/>
          <w:p>
            <w:pPr>
              <w:pStyle w:val="Compact"/>
            </w:pPr>
            <w:r>
              <w:t xml:space="preserve">crowdfunding</w:t>
            </w:r>
          </w:p>
        </w:tc>
        <w:tc>
          <w:tcPr/>
          <w:p>
            <w:pPr>
              <w:pStyle w:val="Compact"/>
            </w:pPr>
            <w:r>
              <w:t xml:space="preserve">customer engagement</w:t>
            </w:r>
          </w:p>
        </w:tc>
        <w:tc>
          <w:tcPr/>
          <w:p>
            <w:pPr>
              <w:pStyle w:val="Compact"/>
            </w:pPr>
            <w:r>
              <w:t xml:space="preserve">customer management</w:t>
            </w:r>
          </w:p>
        </w:tc>
        <w:tc>
          <w:tcPr/>
          <w:p>
            <w:pPr>
              <w:pStyle w:val="Compact"/>
            </w:pPr>
            <w:r>
              <w:t xml:space="preserve">customization</w:t>
            </w:r>
          </w:p>
        </w:tc>
        <w:tc>
          <w:tcPr/>
          <w:p>
            <w:pPr>
              <w:pStyle w:val="Compact"/>
            </w:pPr>
            <w:r>
              <w:t xml:space="preserve">emotions</w:t>
            </w:r>
          </w:p>
        </w:tc>
        <w:tc>
          <w:tcPr/>
          <w:p>
            <w:pPr>
              <w:pStyle w:val="Compact"/>
            </w:pPr>
            <w:r>
              <w:t xml:space="preserve">goals</w:t>
            </w:r>
          </w:p>
        </w:tc>
        <w:tc>
          <w:tcPr/>
          <w:p>
            <w:pPr>
              <w:pStyle w:val="Compact"/>
            </w:pPr>
            <w:r>
              <w:t xml:space="preserve">herd behavior</w:t>
            </w:r>
          </w:p>
        </w:tc>
        <w:tc>
          <w:tcPr/>
          <w:p>
            <w:pPr>
              <w:pStyle w:val="Compact"/>
            </w:pPr>
            <w:r>
              <w:t xml:space="preserve">identity and self</w:t>
            </w:r>
          </w:p>
        </w:tc>
        <w:tc>
          <w:tcPr/>
          <w:p>
            <w:pPr>
              <w:pStyle w:val="Compact"/>
            </w:pPr>
            <w:r>
              <w:t xml:space="preserve">mental accounting</w:t>
            </w:r>
          </w:p>
        </w:tc>
        <w:tc>
          <w:tcPr/>
          <w:p>
            <w:pPr>
              <w:pStyle w:val="Compact"/>
            </w:pPr>
            <w:r>
              <w:t xml:space="preserve">mobile apps</w:t>
            </w:r>
          </w:p>
        </w:tc>
        <w:tc>
          <w:tcPr/>
          <w:p>
            <w:pPr>
              <w:pStyle w:val="Compact"/>
            </w:pPr>
            <w:r>
              <w:t xml:space="preserve">network effects and social contagion</w:t>
            </w:r>
          </w:p>
        </w:tc>
        <w:tc>
          <w:tcPr/>
          <w:p>
            <w:pPr>
              <w:pStyle w:val="Compact"/>
            </w:pPr>
            <w:r>
              <w:t xml:space="preserve">product failure</w:t>
            </w:r>
          </w:p>
        </w:tc>
        <w:tc>
          <w:tcPr/>
          <w:p>
            <w:pPr>
              <w:pStyle w:val="Compact"/>
            </w:pPr>
            <w:r>
              <w:t xml:space="preserve">product uncertainty</w:t>
            </w:r>
          </w:p>
        </w:tc>
        <w:tc>
          <w:tcPr/>
          <w:p>
            <w:pPr>
              <w:pStyle w:val="Compact"/>
            </w:pPr>
            <w:r>
              <w:t xml:space="preserve">self-service technologies</w:t>
            </w:r>
          </w:p>
        </w:tc>
        <w:tc>
          <w:tcPr/>
          <w:p>
            <w:pPr>
              <w:pStyle w:val="Compact"/>
            </w:pPr>
            <w:r>
              <w:t xml:space="preserve">self disclosure</w:t>
            </w:r>
          </w:p>
        </w:tc>
        <w:tc>
          <w:tcPr/>
          <w:p>
            <w:pPr>
              <w:pStyle w:val="Compact"/>
            </w:pPr>
            <w:r>
              <w:t xml:space="preserve">social media</w:t>
            </w:r>
          </w:p>
        </w:tc>
        <w:tc>
          <w:tcPr/>
          <w:p>
            <w:pPr>
              <w:pStyle w:val="Compact"/>
            </w:pPr>
            <w:r>
              <w:t xml:space="preserve">targeting</w:t>
            </w:r>
          </w:p>
        </w:tc>
        <w:tc>
          <w:tcPr/>
          <w:p>
            <w:pPr>
              <w:pStyle w:val="Compact"/>
            </w:pPr>
            <w:r>
              <w:t xml:space="preserve">television advertising</w:t>
            </w:r>
          </w:p>
        </w:tc>
        <w:tc>
          <w:tcPr/>
          <w:p>
            <w:pPr>
              <w:pStyle w:val="Compact"/>
            </w:pPr>
            <w:r>
              <w:t xml:space="preserve">word of mouth and virality</w:t>
            </w:r>
          </w:p>
        </w:tc>
        <w:tc>
          <w:tcPr/>
          <w:p>
            <w:pPr>
              <w:pStyle w:val="Compact"/>
            </w:pPr>
            <w:r>
              <w:t xml:space="preserve">other</w:t>
            </w:r>
          </w:p>
        </w:tc>
      </w:tr>
      <w:tr>
        <w:tc>
          <w:tcPr/>
          <w:p>
            <w:pPr>
              <w:pStyle w:val="Compact"/>
            </w:pPr>
            <w:r>
              <w:t xml:space="preserve">All clusters (baseline)</w:t>
            </w:r>
          </w:p>
        </w:tc>
        <w:tc>
          <w:tcPr/>
          <w:p>
            <w:pPr>
              <w:pStyle w:val="Compact"/>
            </w:pPr>
            <w:r>
              <w:t xml:space="preserve">818 / 4281 (19.1%)</w:t>
            </w:r>
          </w:p>
        </w:tc>
        <w:tc>
          <w:tcPr/>
          <w:p>
            <w:pPr>
              <w:pStyle w:val="Compact"/>
            </w:pPr>
            <w:r>
              <w:t xml:space="preserve">38 / 4281 (0.9%)</w:t>
            </w:r>
          </w:p>
        </w:tc>
        <w:tc>
          <w:tcPr/>
          <w:p>
            <w:pPr>
              <w:pStyle w:val="Compact"/>
            </w:pPr>
            <w:r>
              <w:t xml:space="preserve">33 / 4281 (0.8%)</w:t>
            </w:r>
          </w:p>
        </w:tc>
        <w:tc>
          <w:tcPr/>
          <w:p>
            <w:pPr>
              <w:pStyle w:val="Compact"/>
            </w:pPr>
            <w:r>
              <w:t xml:space="preserve">179 / 4281 (4.2%)</w:t>
            </w:r>
          </w:p>
        </w:tc>
        <w:tc>
          <w:tcPr/>
          <w:p>
            <w:pPr>
              <w:pStyle w:val="Compact"/>
            </w:pPr>
            <w:r>
              <w:t xml:space="preserve">649 / 4281 (15.2%)</w:t>
            </w:r>
          </w:p>
        </w:tc>
        <w:tc>
          <w:tcPr/>
          <w:p>
            <w:pPr>
              <w:pStyle w:val="Compact"/>
            </w:pPr>
            <w:r>
              <w:t xml:space="preserve">18 / 4281 (0.4%)</w:t>
            </w:r>
          </w:p>
        </w:tc>
        <w:tc>
          <w:tcPr/>
          <w:p>
            <w:pPr>
              <w:pStyle w:val="Compact"/>
            </w:pPr>
            <w:r>
              <w:t xml:space="preserve">18 / 4281 (0.4%)</w:t>
            </w:r>
          </w:p>
        </w:tc>
        <w:tc>
          <w:tcPr/>
          <w:p>
            <w:pPr>
              <w:pStyle w:val="Compact"/>
            </w:pPr>
            <w:r>
              <w:t xml:space="preserve">28 / 4281 (0.7%)</w:t>
            </w:r>
          </w:p>
        </w:tc>
        <w:tc>
          <w:tcPr/>
          <w:p>
            <w:pPr>
              <w:pStyle w:val="Compact"/>
            </w:pPr>
            <w:r>
              <w:t xml:space="preserve">17 / 4281 (0.4%)</w:t>
            </w:r>
          </w:p>
        </w:tc>
        <w:tc>
          <w:tcPr/>
          <w:p>
            <w:pPr>
              <w:pStyle w:val="Compact"/>
            </w:pPr>
            <w:r>
              <w:t xml:space="preserve">38 / 4281 (0.9%)</w:t>
            </w:r>
          </w:p>
        </w:tc>
        <w:tc>
          <w:tcPr/>
          <w:p>
            <w:pPr>
              <w:pStyle w:val="Compact"/>
            </w:pPr>
            <w:r>
              <w:t xml:space="preserve">23 / 4281 (0.5%)</w:t>
            </w:r>
          </w:p>
        </w:tc>
        <w:tc>
          <w:tcPr/>
          <w:p>
            <w:pPr>
              <w:pStyle w:val="Compact"/>
            </w:pPr>
            <w:r>
              <w:t xml:space="preserve">18 / 4281 (0.4%)</w:t>
            </w:r>
          </w:p>
        </w:tc>
        <w:tc>
          <w:tcPr/>
          <w:p>
            <w:pPr>
              <w:pStyle w:val="Compact"/>
            </w:pPr>
            <w:r>
              <w:t xml:space="preserve">262 / 4281 (6.1%)</w:t>
            </w:r>
          </w:p>
        </w:tc>
        <w:tc>
          <w:tcPr/>
          <w:p>
            <w:pPr>
              <w:pStyle w:val="Compact"/>
            </w:pPr>
            <w:r>
              <w:t xml:space="preserve">27 / 4281 (0.6%)</w:t>
            </w:r>
          </w:p>
        </w:tc>
        <w:tc>
          <w:tcPr/>
          <w:p>
            <w:pPr>
              <w:pStyle w:val="Compact"/>
            </w:pPr>
            <w:r>
              <w:t xml:space="preserve">28 / 4281 (0.7%)</w:t>
            </w:r>
          </w:p>
        </w:tc>
        <w:tc>
          <w:tcPr/>
          <w:p>
            <w:pPr>
              <w:pStyle w:val="Compact"/>
            </w:pPr>
            <w:r>
              <w:t xml:space="preserve">12 / 4281 (0.3%)</w:t>
            </w:r>
          </w:p>
        </w:tc>
        <w:tc>
          <w:tcPr/>
          <w:p>
            <w:pPr>
              <w:pStyle w:val="Compact"/>
            </w:pPr>
            <w:r>
              <w:t xml:space="preserve">49 / 4281 (1.1%)</w:t>
            </w:r>
          </w:p>
        </w:tc>
        <w:tc>
          <w:tcPr/>
          <w:p>
            <w:pPr>
              <w:pStyle w:val="Compact"/>
            </w:pPr>
            <w:r>
              <w:t xml:space="preserve">666 / 4281 (15.6%)</w:t>
            </w:r>
          </w:p>
        </w:tc>
        <w:tc>
          <w:tcPr/>
          <w:p>
            <w:pPr>
              <w:pStyle w:val="Compact"/>
            </w:pPr>
            <w:r>
              <w:t xml:space="preserve">320 / 4281 (7.5%)</w:t>
            </w:r>
          </w:p>
        </w:tc>
        <w:tc>
          <w:tcPr/>
          <w:p>
            <w:pPr>
              <w:pStyle w:val="Compact"/>
            </w:pPr>
            <w:r>
              <w:t xml:space="preserve">30 / 4281 (0.7%)</w:t>
            </w:r>
          </w:p>
        </w:tc>
        <w:tc>
          <w:tcPr/>
          <w:p>
            <w:pPr>
              <w:pStyle w:val="Compact"/>
            </w:pPr>
            <w:r>
              <w:t xml:space="preserve">1000 / 4281 (23.4%)</w:t>
            </w:r>
          </w:p>
        </w:tc>
        <w:tc>
          <w:tcPr/>
          <w:p>
            <w:pPr>
              <w:pStyle w:val="Compact"/>
            </w:pPr>
            <w:r>
              <w:t xml:space="preserve">10 / 4281 (0.2%)</w:t>
            </w:r>
          </w:p>
        </w:tc>
      </w:tr>
      <w:tr>
        <w:tc>
          <w:tcPr/>
          <w:p>
            <w:pPr>
              <w:pStyle w:val="Compact"/>
            </w:pPr>
            <w:r>
              <w:t xml:space="preserve">Top five references</w:t>
            </w:r>
          </w:p>
        </w:tc>
        <w:tc>
          <w:tcPr/>
          <w:p>
            <w:pPr>
              <w:pStyle w:val="Compact"/>
            </w:pPr>
            <w:r>
              <w:t xml:space="preserve">Mende et al. (2019),</w:t>
            </w:r>
            <w:r>
              <w:t xml:space="preserve"> </w:t>
            </w:r>
            <w:r>
              <w:rPr>
                <w:i/>
                <w:iCs/>
              </w:rPr>
              <w:t xml:space="preserve">Service Robots Rising: How Humanoid Robots Influence Service Experiences and Elicit Compensatory Consumer Responses</w:t>
            </w:r>
            <w:r>
              <w:t xml:space="preserve">; Longoni et al. (2019),</w:t>
            </w:r>
            <w:r>
              <w:t xml:space="preserve"> </w:t>
            </w:r>
            <w:r>
              <w:rPr>
                <w:i/>
                <w:iCs/>
              </w:rPr>
              <w:t xml:space="preserve">Resistance to Medical Artificial Intelligence</w:t>
            </w:r>
            <w:r>
              <w:t xml:space="preserve">; Castelo et al. (2019),</w:t>
            </w:r>
            <w:r>
              <w:t xml:space="preserve"> </w:t>
            </w:r>
            <w:r>
              <w:rPr>
                <w:i/>
                <w:iCs/>
              </w:rPr>
              <w:t xml:space="preserve">Task-Dependent Algorithm Aversion</w:t>
            </w:r>
            <w:r>
              <w:t xml:space="preserve">; Huang &amp; Rust (2018),</w:t>
            </w:r>
            <w:r>
              <w:t xml:space="preserve"> </w:t>
            </w:r>
            <w:r>
              <w:rPr>
                <w:i/>
                <w:iCs/>
              </w:rPr>
              <w:t xml:space="preserve">Artificial Intelligence in Service</w:t>
            </w:r>
            <w:r>
              <w:t xml:space="preserve">; Puntoni et al. (2021),</w:t>
            </w:r>
            <w:r>
              <w:t xml:space="preserve"> </w:t>
            </w:r>
            <w:r>
              <w:rPr>
                <w:i/>
                <w:iCs/>
              </w:rPr>
              <w:t xml:space="preserve">Consumers and Artificial Intelligence: An Experiential Perspective</w:t>
            </w:r>
          </w:p>
        </w:tc>
        <w:tc>
          <w:tcPr/>
          <w:p>
            <w:pPr>
              <w:pStyle w:val="Compact"/>
            </w:pPr>
            <w:r>
              <w:t xml:space="preserve">Trope &amp; Liberman (2010),</w:t>
            </w:r>
            <w:r>
              <w:t xml:space="preserve"> </w:t>
            </w:r>
            <w:r>
              <w:rPr>
                <w:i/>
                <w:iCs/>
              </w:rPr>
              <w:t xml:space="preserve">Construal-Level Theory of Psychological Distance</w:t>
            </w:r>
            <w:r>
              <w:t xml:space="preserve">; Lee et al. (2010),</w:t>
            </w:r>
            <w:r>
              <w:t xml:space="preserve"> </w:t>
            </w:r>
            <w:r>
              <w:rPr>
                <w:i/>
                <w:iCs/>
              </w:rPr>
              <w:t xml:space="preserve">Value from regulatory construal fit: The persuasive impact of fit between consumer goals and message concreteness</w:t>
            </w:r>
            <w:r>
              <w:t xml:space="preserve">; Liberman &amp; Trope (1998),</w:t>
            </w:r>
            <w:r>
              <w:t xml:space="preserve"> </w:t>
            </w:r>
            <w:r>
              <w:rPr>
                <w:i/>
                <w:iCs/>
              </w:rPr>
              <w:t xml:space="preserve">The Role of Feasibility and Desirability Considerations in Near and Distant Future Decisions: A Test of Temporal Construal Theory</w:t>
            </w:r>
            <w:r>
              <w:t xml:space="preserve">; Trope et al. (2007),</w:t>
            </w:r>
            <w:r>
              <w:t xml:space="preserve"> </w:t>
            </w:r>
            <w:r>
              <w:rPr>
                <w:i/>
                <w:iCs/>
              </w:rPr>
              <w:t xml:space="preserve">Construal levels and psychological distance: Effects on representation, prediction, evaluation, and behavior</w:t>
            </w:r>
            <w:r>
              <w:t xml:space="preserve">; Higgins (2000),</w:t>
            </w:r>
            <w:r>
              <w:t xml:space="preserve"> </w:t>
            </w:r>
            <w:r>
              <w:rPr>
                <w:i/>
                <w:iCs/>
              </w:rPr>
              <w:t xml:space="preserve">Making a good decision: Value from fit</w:t>
            </w:r>
          </w:p>
        </w:tc>
        <w:tc>
          <w:tcPr/>
          <w:p>
            <w:pPr>
              <w:pStyle w:val="Compact"/>
            </w:pPr>
            <w:r>
              <w:t xml:space="preserve">Dai &amp; Zhang (2019),</w:t>
            </w:r>
            <w:r>
              <w:t xml:space="preserve"> </w:t>
            </w:r>
            <w:r>
              <w:rPr>
                <w:i/>
                <w:iCs/>
              </w:rPr>
              <w:t xml:space="preserve">Prosocial Goal Pursuit in Crowdfunding: Evidence from Kickstarter</w:t>
            </w:r>
            <w:r>
              <w:t xml:space="preserve">; Mollick (2014),</w:t>
            </w:r>
            <w:r>
              <w:t xml:space="preserve"> </w:t>
            </w:r>
            <w:r>
              <w:rPr>
                <w:i/>
                <w:iCs/>
              </w:rPr>
              <w:t xml:space="preserve">The dynamics of crowdfunding: An exploratory study</w:t>
            </w:r>
            <w:r>
              <w:t xml:space="preserve">; Fan et al. (2020),</w:t>
            </w:r>
            <w:r>
              <w:t xml:space="preserve"> </w:t>
            </w:r>
            <w:r>
              <w:rPr>
                <w:i/>
                <w:iCs/>
              </w:rPr>
              <w:t xml:space="preserve">The Small Predicts Large Effect in Crowdfunding</w:t>
            </w:r>
            <w:r>
              <w:t xml:space="preserve">; Kuppuswamy &amp; Bayus (2017),</w:t>
            </w:r>
            <w:r>
              <w:t xml:space="preserve"> </w:t>
            </w:r>
            <w:r>
              <w:rPr>
                <w:i/>
                <w:iCs/>
              </w:rPr>
              <w:t xml:space="preserve">Does my contribution to your crowdfunding project matter?</w:t>
            </w:r>
          </w:p>
        </w:tc>
        <w:tc>
          <w:tcPr/>
          <w:p>
            <w:pPr>
              <w:pStyle w:val="Compact"/>
            </w:pPr>
            <w:r>
              <w:t xml:space="preserve">Brodie et al. (2011),</w:t>
            </w:r>
            <w:r>
              <w:t xml:space="preserve"> </w:t>
            </w:r>
            <w:r>
              <w:rPr>
                <w:i/>
                <w:iCs/>
              </w:rPr>
              <w:t xml:space="preserve">Customer engagement: Conceptual domain, fundamental propositions, and implications for research</w:t>
            </w:r>
            <w:r>
              <w:t xml:space="preserve">; Morgan &amp; Hunt (1994),</w:t>
            </w:r>
            <w:r>
              <w:t xml:space="preserve"> </w:t>
            </w:r>
            <w:r>
              <w:rPr>
                <w:i/>
                <w:iCs/>
              </w:rPr>
              <w:t xml:space="preserve">The commitment-trust theory of relationship marketing</w:t>
            </w:r>
            <w:r>
              <w:t xml:space="preserve">; Kumar &amp; Pansari (2016),</w:t>
            </w:r>
            <w:r>
              <w:t xml:space="preserve"> </w:t>
            </w:r>
            <w:r>
              <w:rPr>
                <w:i/>
                <w:iCs/>
              </w:rPr>
              <w:t xml:space="preserve">Competitive advantage through engagement</w:t>
            </w:r>
            <w:r>
              <w:t xml:space="preserve">; Van Doorn et al. (2010),</w:t>
            </w:r>
            <w:r>
              <w:t xml:space="preserve"> </w:t>
            </w:r>
            <w:r>
              <w:rPr>
                <w:i/>
                <w:iCs/>
              </w:rPr>
              <w:t xml:space="preserve">Customer engagement behavior: Theoretical foundations and research directions</w:t>
            </w:r>
            <w:r>
              <w:t xml:space="preserve">; Pansari &amp; Kumar (2017),</w:t>
            </w:r>
            <w:r>
              <w:t xml:space="preserve"> </w:t>
            </w:r>
            <w:r>
              <w:rPr>
                <w:i/>
                <w:iCs/>
              </w:rPr>
              <w:t xml:space="preserve">Customer engagement: the construct, antecedents, and consequences</w:t>
            </w:r>
          </w:p>
        </w:tc>
        <w:tc>
          <w:tcPr/>
          <w:p>
            <w:pPr>
              <w:pStyle w:val="Compact"/>
            </w:pPr>
            <w:r>
              <w:t xml:space="preserve">Lemon &amp; Verhoef (2016),</w:t>
            </w:r>
            <w:r>
              <w:t xml:space="preserve"> </w:t>
            </w:r>
            <w:r>
              <w:rPr>
                <w:i/>
                <w:iCs/>
              </w:rPr>
              <w:t xml:space="preserve">Understanding customer experience throughout the customer journey</w:t>
            </w:r>
            <w:r>
              <w:t xml:space="preserve">; Danaher &amp; Dagger (2013),</w:t>
            </w:r>
            <w:r>
              <w:t xml:space="preserve"> </w:t>
            </w:r>
            <w:r>
              <w:rPr>
                <w:i/>
                <w:iCs/>
              </w:rPr>
              <w:t xml:space="preserve">Comparing the relative effectiveness of advertising channels: A case study of a multimedia blitz campaign</w:t>
            </w:r>
            <w:r>
              <w:t xml:space="preserve">; Batra &amp; Keller (2016),</w:t>
            </w:r>
            <w:r>
              <w:t xml:space="preserve"> </w:t>
            </w:r>
            <w:r>
              <w:rPr>
                <w:i/>
                <w:iCs/>
              </w:rPr>
              <w:t xml:space="preserve">Integrating marketing communications: New findings, new lessons, and new ideas</w:t>
            </w:r>
            <w:r>
              <w:t xml:space="preserve">; Lamberton &amp; Stephen (2016),</w:t>
            </w:r>
            <w:r>
              <w:t xml:space="preserve"> </w:t>
            </w:r>
            <w:r>
              <w:rPr>
                <w:i/>
                <w:iCs/>
              </w:rPr>
              <w:t xml:space="preserve">A thematic exploration of digital, social media, and mobile marketing: Research evolution from 2000 to 2015 and an agenda for future inquiry</w:t>
            </w:r>
            <w:r>
              <w:t xml:space="preserve">; Verhoef et al. (2007),</w:t>
            </w:r>
            <w:r>
              <w:t xml:space="preserve"> </w:t>
            </w:r>
            <w:r>
              <w:rPr>
                <w:i/>
                <w:iCs/>
              </w:rPr>
              <w:t xml:space="preserve">Multichannel customer management: Understanding the research-shopper phenomenon</w:t>
            </w:r>
          </w:p>
        </w:tc>
        <w:tc>
          <w:tcPr/>
          <w:p>
            <w:pPr>
              <w:pStyle w:val="Compact"/>
            </w:pPr>
            <w:r>
              <w:t xml:space="preserve">Dellaert &amp; Stremersch (2005),</w:t>
            </w:r>
            <w:r>
              <w:t xml:space="preserve"> </w:t>
            </w:r>
            <w:r>
              <w:rPr>
                <w:i/>
                <w:iCs/>
              </w:rPr>
              <w:t xml:space="preserve">Marketing mass-customized products: Striking a balance between utility and complexity</w:t>
            </w:r>
            <w:r>
              <w:t xml:space="preserve">; Tian et al. (2001),</w:t>
            </w:r>
            <w:r>
              <w:t xml:space="preserve"> </w:t>
            </w:r>
            <w:r>
              <w:rPr>
                <w:i/>
                <w:iCs/>
              </w:rPr>
              <w:t xml:space="preserve">Consumers’ need for uniqueness: Scale development and validation</w:t>
            </w:r>
          </w:p>
        </w:tc>
        <w:tc>
          <w:tcPr/>
          <w:p>
            <w:pPr>
              <w:pStyle w:val="Compact"/>
            </w:pPr>
            <w:r>
              <w:t xml:space="preserve">Teixeira et al. (2012),</w:t>
            </w:r>
            <w:r>
              <w:t xml:space="preserve"> </w:t>
            </w:r>
            <w:r>
              <w:rPr>
                <w:i/>
                <w:iCs/>
              </w:rPr>
              <w:t xml:space="preserve">Emotion-induced engagement in Internet video advertisements</w:t>
            </w:r>
            <w:r>
              <w:t xml:space="preserve">; Bagozzi et al. (1999),</w:t>
            </w:r>
            <w:r>
              <w:t xml:space="preserve"> </w:t>
            </w:r>
            <w:r>
              <w:rPr>
                <w:i/>
                <w:iCs/>
              </w:rPr>
              <w:t xml:space="preserve">The role of emotions in marketing</w:t>
            </w:r>
          </w:p>
        </w:tc>
        <w:tc>
          <w:tcPr/>
          <w:p>
            <w:pPr>
              <w:pStyle w:val="Compact"/>
            </w:pPr>
            <w:r>
              <w:t xml:space="preserve">Fishbach &amp; Dhar (2005),</w:t>
            </w:r>
            <w:r>
              <w:t xml:space="preserve"> </w:t>
            </w:r>
            <w:r>
              <w:rPr>
                <w:i/>
                <w:iCs/>
              </w:rPr>
              <w:t xml:space="preserve">Goals as excuses or guides: The liberating effect of perceived goal progress on choice</w:t>
            </w:r>
            <w:r>
              <w:t xml:space="preserve">; Kivetz et al. (2006),</w:t>
            </w:r>
            <w:r>
              <w:t xml:space="preserve"> </w:t>
            </w:r>
            <w:r>
              <w:rPr>
                <w:i/>
                <w:iCs/>
              </w:rPr>
              <w:t xml:space="preserve">The goal-gradient hypothesis resurrected: Purchase acceleration, illusionary goal progress, and customer retention</w:t>
            </w:r>
            <w:r>
              <w:t xml:space="preserve">; Khan &amp; Dhar (2006),</w:t>
            </w:r>
            <w:r>
              <w:t xml:space="preserve"> </w:t>
            </w:r>
            <w:r>
              <w:rPr>
                <w:i/>
                <w:iCs/>
              </w:rPr>
              <w:t xml:space="preserve">Licensing effect in consumer choice</w:t>
            </w:r>
          </w:p>
        </w:tc>
        <w:tc>
          <w:tcPr/>
          <w:p>
            <w:pPr>
              <w:pStyle w:val="Compact"/>
            </w:pPr>
            <w:r>
              <w:t xml:space="preserve">Bikhchandani et al. (1992),</w:t>
            </w:r>
            <w:r>
              <w:t xml:space="preserve"> </w:t>
            </w:r>
            <w:r>
              <w:rPr>
                <w:i/>
                <w:iCs/>
              </w:rPr>
              <w:t xml:space="preserve">A theory of fads, fashion, custom, and cultural change as informational cascades</w:t>
            </w:r>
            <w:r>
              <w:t xml:space="preserve">; Banerjee (1992),</w:t>
            </w:r>
            <w:r>
              <w:t xml:space="preserve"> </w:t>
            </w:r>
            <w:r>
              <w:rPr>
                <w:i/>
                <w:iCs/>
              </w:rPr>
              <w:t xml:space="preserve">A simple model of herd behavior quarterly</w:t>
            </w:r>
          </w:p>
        </w:tc>
        <w:tc>
          <w:tcPr/>
          <w:p>
            <w:pPr>
              <w:pStyle w:val="Compact"/>
            </w:pPr>
            <w:r>
              <w:t xml:space="preserve">Berger &amp; Heath (2007),</w:t>
            </w:r>
            <w:r>
              <w:t xml:space="preserve"> </w:t>
            </w:r>
            <w:r>
              <w:rPr>
                <w:i/>
                <w:iCs/>
              </w:rPr>
              <w:t xml:space="preserve">Where consumers diverge from others: Identity signaling and product domains</w:t>
            </w:r>
            <w:r>
              <w:t xml:space="preserve">; Belk (1988),</w:t>
            </w:r>
            <w:r>
              <w:t xml:space="preserve"> </w:t>
            </w:r>
            <w:r>
              <w:rPr>
                <w:i/>
                <w:iCs/>
              </w:rPr>
              <w:t xml:space="preserve">Possessions and the extended self</w:t>
            </w:r>
            <w:r>
              <w:t xml:space="preserve">; Belk (2013),</w:t>
            </w:r>
            <w:r>
              <w:t xml:space="preserve"> </w:t>
            </w:r>
            <w:r>
              <w:rPr>
                <w:i/>
                <w:iCs/>
              </w:rPr>
              <w:t xml:space="preserve">Extended self in a digital world</w:t>
            </w:r>
          </w:p>
        </w:tc>
        <w:tc>
          <w:tcPr/>
          <w:p>
            <w:pPr>
              <w:pStyle w:val="Compact"/>
            </w:pPr>
            <w:r>
              <w:t xml:space="preserve">Prelec &amp; Loewenstein (1998),</w:t>
            </w:r>
            <w:r>
              <w:t xml:space="preserve"> </w:t>
            </w:r>
            <w:r>
              <w:rPr>
                <w:i/>
                <w:iCs/>
              </w:rPr>
              <w:t xml:space="preserve">The red and the black: Mental accounting of savings and debt</w:t>
            </w:r>
            <w:r>
              <w:t xml:space="preserve">; Thaler (1985),</w:t>
            </w:r>
            <w:r>
              <w:t xml:space="preserve"> </w:t>
            </w:r>
            <w:r>
              <w:rPr>
                <w:i/>
                <w:iCs/>
              </w:rPr>
              <w:t xml:space="preserve">Mental accounting and consumer choice</w:t>
            </w:r>
          </w:p>
        </w:tc>
        <w:tc>
          <w:tcPr/>
          <w:p>
            <w:pPr>
              <w:pStyle w:val="Compact"/>
            </w:pPr>
            <w:r>
              <w:t xml:space="preserve">Rutz et al. (2019),</w:t>
            </w:r>
            <w:r>
              <w:t xml:space="preserve"> </w:t>
            </w:r>
            <w:r>
              <w:rPr>
                <w:i/>
                <w:iCs/>
              </w:rPr>
              <w:t xml:space="preserve">Measuring and forecasting mobile game app engagement</w:t>
            </w:r>
            <w:r>
              <w:t xml:space="preserve">; Van Heerde et al. (2019),</w:t>
            </w:r>
            <w:r>
              <w:t xml:space="preserve"> </w:t>
            </w:r>
            <w:r>
              <w:rPr>
                <w:i/>
                <w:iCs/>
              </w:rPr>
              <w:t xml:space="preserve">Engaging the unengaged customer: The value of a retailer mobile app</w:t>
            </w:r>
          </w:p>
        </w:tc>
        <w:tc>
          <w:tcPr/>
          <w:p>
            <w:pPr>
              <w:pStyle w:val="Compact"/>
            </w:pPr>
            <w:r>
              <w:t xml:space="preserve">Toubia &amp; Stephen (2013),</w:t>
            </w:r>
            <w:r>
              <w:t xml:space="preserve"> </w:t>
            </w:r>
            <w:r>
              <w:rPr>
                <w:i/>
                <w:iCs/>
              </w:rPr>
              <w:t xml:space="preserve">Intrinsic vs. image-related utility in social media: Why do people contribute content to Twitter?</w:t>
            </w:r>
            <w:r>
              <w:t xml:space="preserve">; Iyengar et al. (2011),</w:t>
            </w:r>
            <w:r>
              <w:t xml:space="preserve"> </w:t>
            </w:r>
            <w:r>
              <w:rPr>
                <w:i/>
                <w:iCs/>
              </w:rPr>
              <w:t xml:space="preserve">Opinion leadership and social contagion in new product diffusion</w:t>
            </w:r>
            <w:r>
              <w:t xml:space="preserve">; Goldenberg et al. (2009),</w:t>
            </w:r>
            <w:r>
              <w:t xml:space="preserve"> </w:t>
            </w:r>
            <w:r>
              <w:rPr>
                <w:i/>
                <w:iCs/>
              </w:rPr>
              <w:t xml:space="preserve">The role of hubs in the adoption process</w:t>
            </w:r>
            <w:r>
              <w:t xml:space="preserve">; Bass (1969),</w:t>
            </w:r>
            <w:r>
              <w:t xml:space="preserve"> </w:t>
            </w:r>
            <w:r>
              <w:rPr>
                <w:i/>
                <w:iCs/>
              </w:rPr>
              <w:t xml:space="preserve">A new product growth for model consumer durables</w:t>
            </w:r>
            <w:r>
              <w:t xml:space="preserve">; Katona et al. (2011),</w:t>
            </w:r>
            <w:r>
              <w:t xml:space="preserve"> </w:t>
            </w:r>
            <w:r>
              <w:rPr>
                <w:i/>
                <w:iCs/>
              </w:rPr>
              <w:t xml:space="preserve">Network effects and personal influences: The diffusion of an online social network</w:t>
            </w:r>
          </w:p>
        </w:tc>
        <w:tc>
          <w:tcPr/>
          <w:p>
            <w:pPr>
              <w:pStyle w:val="Compact"/>
            </w:pPr>
            <w:r>
              <w:t xml:space="preserve">Folkes (1984),</w:t>
            </w:r>
            <w:r>
              <w:t xml:space="preserve"> </w:t>
            </w:r>
            <w:r>
              <w:rPr>
                <w:i/>
                <w:iCs/>
              </w:rPr>
              <w:t xml:space="preserve">Consumer reactions to product failure: an attributional approach</w:t>
            </w:r>
            <w:r>
              <w:t xml:space="preserve">; Smith et al. (1999),</w:t>
            </w:r>
            <w:r>
              <w:t xml:space="preserve"> </w:t>
            </w:r>
            <w:r>
              <w:rPr>
                <w:i/>
                <w:iCs/>
              </w:rPr>
              <w:t xml:space="preserve">A model of customer satisfaction with service encounters involving failure and recovery</w:t>
            </w:r>
            <w:r>
              <w:t xml:space="preserve">; Cleeren et al. (2013),</w:t>
            </w:r>
            <w:r>
              <w:t xml:space="preserve"> </w:t>
            </w:r>
            <w:r>
              <w:rPr>
                <w:i/>
                <w:iCs/>
              </w:rPr>
              <w:t xml:space="preserve">Rising from the ashes: How brands and categories can overcome product-harm crises</w:t>
            </w:r>
            <w:r>
              <w:t xml:space="preserve">; Ward &amp; Ostrom (2006),</w:t>
            </w:r>
            <w:r>
              <w:t xml:space="preserve"> </w:t>
            </w:r>
            <w:r>
              <w:rPr>
                <w:i/>
                <w:iCs/>
              </w:rPr>
              <w:t xml:space="preserve">Complaining to the masses: The role of protest framing in customer-created complaint web sites</w:t>
            </w:r>
          </w:p>
        </w:tc>
        <w:tc>
          <w:tcPr/>
          <w:p>
            <w:pPr>
              <w:pStyle w:val="Compact"/>
            </w:pPr>
            <w:r>
              <w:t xml:space="preserve">Hong &amp; Pavlou (2014),</w:t>
            </w:r>
            <w:r>
              <w:t xml:space="preserve"> </w:t>
            </w:r>
            <w:r>
              <w:rPr>
                <w:i/>
                <w:iCs/>
              </w:rPr>
              <w:t xml:space="preserve">Product fit uncertainty in online markets: Nature, effects, and antecedents</w:t>
            </w:r>
            <w:r>
              <w:t xml:space="preserve">; Degeratu et al. (2000),</w:t>
            </w:r>
            <w:r>
              <w:t xml:space="preserve"> </w:t>
            </w:r>
            <w:r>
              <w:rPr>
                <w:i/>
                <w:iCs/>
              </w:rPr>
              <w:t xml:space="preserve">Consumer choice behavior in online and traditional supermarkets: The effects of brand name, price, and other search attributes</w:t>
            </w:r>
            <w:r>
              <w:t xml:space="preserve">; Danaher et al. (2003),</w:t>
            </w:r>
            <w:r>
              <w:t xml:space="preserve"> </w:t>
            </w:r>
            <w:r>
              <w:rPr>
                <w:i/>
                <w:iCs/>
              </w:rPr>
              <w:t xml:space="preserve">A Comparison of Online and Offline Consumer Brand Loyalty</w:t>
            </w:r>
            <w:r>
              <w:t xml:space="preserve">; Dimoka et al. (2012),</w:t>
            </w:r>
            <w:r>
              <w:t xml:space="preserve"> </w:t>
            </w:r>
            <w:r>
              <w:rPr>
                <w:i/>
                <w:iCs/>
              </w:rPr>
              <w:t xml:space="preserve">On product uncertainty in online markets: Theory and evidence</w:t>
            </w:r>
          </w:p>
        </w:tc>
        <w:tc>
          <w:tcPr/>
          <w:p>
            <w:pPr>
              <w:pStyle w:val="Compact"/>
            </w:pPr>
            <w:r>
              <w:t xml:space="preserve">Meuter et al. (2005),</w:t>
            </w:r>
            <w:r>
              <w:t xml:space="preserve"> </w:t>
            </w:r>
            <w:r>
              <w:rPr>
                <w:i/>
                <w:iCs/>
              </w:rPr>
              <w:t xml:space="preserve">Choosing among alternative service delivery modes: An investigation of customer trial of self-service technologies</w:t>
            </w:r>
            <w:r>
              <w:t xml:space="preserve">; Giebelhausen et al. (2014),</w:t>
            </w:r>
            <w:r>
              <w:t xml:space="preserve"> </w:t>
            </w:r>
            <w:r>
              <w:rPr>
                <w:i/>
                <w:iCs/>
              </w:rPr>
              <w:t xml:space="preserve">Touch Versus Tech: When technology functions as a barrier or a benefit to service encounters</w:t>
            </w:r>
          </w:p>
        </w:tc>
        <w:tc>
          <w:tcPr/>
          <w:p>
            <w:pPr>
              <w:pStyle w:val="Compact"/>
            </w:pPr>
            <w:r>
              <w:t xml:space="preserve">Melumad &amp; Meyer (2020),</w:t>
            </w:r>
            <w:r>
              <w:t xml:space="preserve"> </w:t>
            </w:r>
            <w:r>
              <w:rPr>
                <w:i/>
                <w:iCs/>
              </w:rPr>
              <w:t xml:space="preserve">Full Disclosure: How Smartphones Enhance Consumer Self-Disclosure</w:t>
            </w:r>
            <w:r>
              <w:t xml:space="preserve">; Grewal &amp; Stephen (2019),</w:t>
            </w:r>
            <w:r>
              <w:t xml:space="preserve"> </w:t>
            </w:r>
            <w:r>
              <w:rPr>
                <w:i/>
                <w:iCs/>
              </w:rPr>
              <w:t xml:space="preserve">In Mobile We Trust: The Effects of Mobile Versus Nonmobile Reviews on Consumer Purchase Intentions</w:t>
            </w:r>
            <w:r>
              <w:t xml:space="preserve">; Melumad et al. (2019),</w:t>
            </w:r>
            <w:r>
              <w:t xml:space="preserve"> </w:t>
            </w:r>
            <w:r>
              <w:rPr>
                <w:i/>
                <w:iCs/>
              </w:rPr>
              <w:t xml:space="preserve">Selectively emotional: How smartphone use changes user-generated content</w:t>
            </w:r>
            <w:r>
              <w:t xml:space="preserve">; Ransbotham et al. (2019),</w:t>
            </w:r>
            <w:r>
              <w:t xml:space="preserve"> </w:t>
            </w:r>
            <w:r>
              <w:rPr>
                <w:i/>
                <w:iCs/>
              </w:rPr>
              <w:t xml:space="preserve">Creation and consumption of mobile word of mouth: How are mobile reviews different?</w:t>
            </w:r>
          </w:p>
        </w:tc>
        <w:tc>
          <w:tcPr/>
          <w:p>
            <w:pPr>
              <w:pStyle w:val="Compact"/>
            </w:pPr>
            <w:r>
              <w:t xml:space="preserve">Berger &amp; Milkman (2012),</w:t>
            </w:r>
            <w:r>
              <w:t xml:space="preserve"> </w:t>
            </w:r>
            <w:r>
              <w:rPr>
                <w:i/>
                <w:iCs/>
              </w:rPr>
              <w:t xml:space="preserve">What makes online content viral?</w:t>
            </w:r>
            <w:r>
              <w:t xml:space="preserve">; Berger et al. (2020),</w:t>
            </w:r>
            <w:r>
              <w:t xml:space="preserve"> </w:t>
            </w:r>
            <w:r>
              <w:rPr>
                <w:i/>
                <w:iCs/>
              </w:rPr>
              <w:t xml:space="preserve">Uniting the Tribes: Using Text for Marketing Insight</w:t>
            </w:r>
            <w:r>
              <w:t xml:space="preserve">; Hewett et al. (2016),</w:t>
            </w:r>
            <w:r>
              <w:t xml:space="preserve"> </w:t>
            </w:r>
            <w:r>
              <w:rPr>
                <w:i/>
                <w:iCs/>
              </w:rPr>
              <w:t xml:space="preserve">Brand buzz in the echoverse</w:t>
            </w:r>
            <w:r>
              <w:t xml:space="preserve">; Kumar et al. (2016),</w:t>
            </w:r>
            <w:r>
              <w:t xml:space="preserve"> </w:t>
            </w:r>
            <w:r>
              <w:rPr>
                <w:i/>
                <w:iCs/>
              </w:rPr>
              <w:t xml:space="preserve">From social to sale: The effects of firm-generated content in social media on customer behavior</w:t>
            </w:r>
            <w:r>
              <w:t xml:space="preserve">; Stephen &amp; Galak (2012),</w:t>
            </w:r>
            <w:r>
              <w:t xml:space="preserve"> </w:t>
            </w:r>
            <w:r>
              <w:rPr>
                <w:i/>
                <w:iCs/>
              </w:rPr>
              <w:t xml:space="preserve">The effects of traditional and social earned media on sales: A study of a microlending marketplace</w:t>
            </w:r>
          </w:p>
        </w:tc>
        <w:tc>
          <w:tcPr/>
          <w:p>
            <w:pPr>
              <w:pStyle w:val="Compact"/>
            </w:pPr>
            <w:r>
              <w:t xml:space="preserve">Goldfarb &amp; Tucker (2011),</w:t>
            </w:r>
            <w:r>
              <w:t xml:space="preserve"> </w:t>
            </w:r>
            <w:r>
              <w:rPr>
                <w:i/>
                <w:iCs/>
              </w:rPr>
              <w:t xml:space="preserve">Online display advertising: Targeting and obtrusiveness</w:t>
            </w:r>
            <w:r>
              <w:t xml:space="preserve">; Luo et al. (2014),</w:t>
            </w:r>
            <w:r>
              <w:t xml:space="preserve"> </w:t>
            </w:r>
            <w:r>
              <w:rPr>
                <w:i/>
                <w:iCs/>
              </w:rPr>
              <w:t xml:space="preserve">Mobile targeting</w:t>
            </w:r>
            <w:r>
              <w:t xml:space="preserve">; Zaichkowsky (1985),</w:t>
            </w:r>
            <w:r>
              <w:t xml:space="preserve"> </w:t>
            </w:r>
            <w:r>
              <w:rPr>
                <w:i/>
                <w:iCs/>
              </w:rPr>
              <w:t xml:space="preserve">Measuring the involvement construct</w:t>
            </w:r>
            <w:r>
              <w:t xml:space="preserve">; Petty et al. (1983),</w:t>
            </w:r>
            <w:r>
              <w:t xml:space="preserve"> </w:t>
            </w:r>
            <w:r>
              <w:rPr>
                <w:i/>
                <w:iCs/>
              </w:rPr>
              <w:t xml:space="preserve">Central and peripheral routes to advertising effectiveness: the moderating role of involvement</w:t>
            </w:r>
            <w:r>
              <w:t xml:space="preserve">; Andrews et al. (2016),</w:t>
            </w:r>
            <w:r>
              <w:t xml:space="preserve"> </w:t>
            </w:r>
            <w:r>
              <w:rPr>
                <w:i/>
                <w:iCs/>
              </w:rPr>
              <w:t xml:space="preserve">Mobile ad effectiveness: Hyper-contextual targeting with crowdedness</w:t>
            </w:r>
          </w:p>
        </w:tc>
        <w:tc>
          <w:tcPr/>
          <w:p>
            <w:pPr>
              <w:pStyle w:val="Compact"/>
            </w:pPr>
            <w:r>
              <w:t xml:space="preserve">Wilbur (2008),</w:t>
            </w:r>
            <w:r>
              <w:t xml:space="preserve"> </w:t>
            </w:r>
            <w:r>
              <w:rPr>
                <w:i/>
                <w:iCs/>
              </w:rPr>
              <w:t xml:space="preserve">A two-sided, empirical model of television advertising and viewing markets</w:t>
            </w:r>
            <w:r>
              <w:t xml:space="preserve">; Wilbur et al. (2013),</w:t>
            </w:r>
            <w:r>
              <w:t xml:space="preserve"> </w:t>
            </w:r>
            <w:r>
              <w:rPr>
                <w:i/>
                <w:iCs/>
              </w:rPr>
              <w:t xml:space="preserve">Correcting audience externalities in television advertising</w:t>
            </w:r>
            <w:r>
              <w:t xml:space="preserve">; Chae et al. (2019),</w:t>
            </w:r>
            <w:r>
              <w:t xml:space="preserve"> </w:t>
            </w:r>
            <w:r>
              <w:rPr>
                <w:i/>
                <w:iCs/>
              </w:rPr>
              <w:t xml:space="preserve">Wearout or Weariness? Measuring Potential Negative Consequences of Online Ad Volume and Placement on Website Visits</w:t>
            </w:r>
          </w:p>
        </w:tc>
        <w:tc>
          <w:tcPr/>
          <w:p>
            <w:pPr>
              <w:pStyle w:val="Compact"/>
            </w:pPr>
            <w:r>
              <w:t xml:space="preserve">Chevalier &amp; Mayzlin (2006),</w:t>
            </w:r>
            <w:r>
              <w:t xml:space="preserve"> </w:t>
            </w:r>
            <w:r>
              <w:rPr>
                <w:i/>
                <w:iCs/>
              </w:rPr>
              <w:t xml:space="preserve">The effect of word of mouth on sales: Online book reviews</w:t>
            </w:r>
            <w:r>
              <w:t xml:space="preserve">; Godes &amp; Mayzlin (2004),</w:t>
            </w:r>
            <w:r>
              <w:t xml:space="preserve"> </w:t>
            </w:r>
            <w:r>
              <w:rPr>
                <w:i/>
                <w:iCs/>
              </w:rPr>
              <w:t xml:space="preserve">Using online conversations to study word-of-mouth communication</w:t>
            </w:r>
            <w:r>
              <w:t xml:space="preserve">; Berger (2014),</w:t>
            </w:r>
            <w:r>
              <w:t xml:space="preserve"> </w:t>
            </w:r>
            <w:r>
              <w:rPr>
                <w:i/>
                <w:iCs/>
              </w:rPr>
              <w:t xml:space="preserve">Word of mouth and interpersonal communication: A review and directions for future research</w:t>
            </w:r>
            <w:r>
              <w:t xml:space="preserve">; Tirunillai &amp; Tellis (2012),</w:t>
            </w:r>
            <w:r>
              <w:t xml:space="preserve"> </w:t>
            </w:r>
            <w:r>
              <w:rPr>
                <w:i/>
                <w:iCs/>
              </w:rPr>
              <w:t xml:space="preserve">Does chatter really matter? Dynamics of user-generated content and stock performance</w:t>
            </w:r>
            <w:r>
              <w:t xml:space="preserve">; Liu (2006),</w:t>
            </w:r>
            <w:r>
              <w:t xml:space="preserve"> </w:t>
            </w:r>
            <w:r>
              <w:rPr>
                <w:i/>
                <w:iCs/>
              </w:rPr>
              <w:t xml:space="preserve">Word of mouth for movies: Its dynamics and impact on box office revenue</w:t>
            </w:r>
          </w:p>
        </w:tc>
        <w:tc>
          <w:tcPr/>
          <w:p>
            <w:pPr>
              <w:pStyle w:val="Compact"/>
            </w:pPr>
            <w:r>
              <w:t xml:space="preserve">Dabholkar &amp; Bagozzi (2002),</w:t>
            </w:r>
            <w:r>
              <w:t xml:space="preserve"> </w:t>
            </w:r>
            <w:r>
              <w:rPr>
                <w:i/>
                <w:iCs/>
              </w:rPr>
              <w:t xml:space="preserve">An attitudinal model of technology-based self-service: Moderating effects of consumer traits and situational factors</w:t>
            </w:r>
          </w:p>
        </w:tc>
      </w:tr>
    </w:tbl>
    <w:bookmarkEnd w:id="53"/>
    <w:bookmarkEnd w:id="54"/>
    <w:p>
      <w:pPr>
        <w:sectPr>
          <w:pgSz w:h="11906" w:w="16838" w:orient="landscape"/>
        </w:sectPr>
      </w:pPr>
    </w:p>
    <w:bookmarkEnd w:id="55"/>
    <w:bookmarkStart w:id="56" w:name="the-case-of-generative-ai-1"/>
    <w:p>
      <w:pPr>
        <w:pStyle w:val="Heading3"/>
      </w:pPr>
      <w:r>
        <w:t xml:space="preserve">The case of Generative AI</w:t>
      </w:r>
    </w:p>
    <w:p>
      <w:pPr>
        <w:pStyle w:val="FirstParagraph"/>
      </w:pPr>
      <w:r>
        <w:t xml:space="preserve">The Generative AI cluster departs from established patterns both within the corpus and, at a larger scale, in the co-citation analysis. Within the corpus, articles published on Generative AI act as attention magnets, receiving disproportionately many citations from other consumer technology clusters, especially from AR, VR &amp; Robots (22.0% of its citations) and Algorithms &amp; Recommendations (19.6%). Generative AI does not reciprocate this connection, relying primarily on articles published within its own cluster. Given the novelty of the technology this self-containedness follows, yet given its size the cluster would be expected to be more interconnected.</w:t>
      </w:r>
    </w:p>
    <w:p>
      <w:pPr>
        <w:pStyle w:val="BodyText"/>
      </w:pPr>
      <w:r>
        <w:t xml:space="preserve">The co-citation analysis reveals the same concentration. Generative AI draws primarily on Algorithm and AI Perception, indicating that current studies predominantly discuss how AI is perceived. Despite making up the majority of consumer technology publications in 2026, the substance discussed remains narrow.</w:t>
      </w:r>
    </w:p>
    <w:bookmarkEnd w:id="56"/>
    <w:bookmarkEnd w:id="57"/>
    <w:bookmarkStart w:id="66" w:name="sec-analysis-3"/>
    <w:p>
      <w:pPr>
        <w:pStyle w:val="Heading2"/>
      </w:pPr>
      <w:r>
        <w:t xml:space="preserve">Analysis 3. Media comparison</w:t>
      </w:r>
    </w:p>
    <w:p>
      <w:pPr>
        <w:pStyle w:val="FirstParagraph"/>
      </w:pPr>
      <w:r>
        <w:t xml:space="preserve">In Analysis 3, we contrast the academic attention devoted to consumer technologies with the media attention devoted to these same technologies. Our goal in this study is to identify and quantify the relationship between interests in research, and what concerns the public.</w:t>
      </w:r>
    </w:p>
    <w:bookmarkStart w:id="64" w:name="the-field-at-large-2"/>
    <w:p>
      <w:pPr>
        <w:pStyle w:val="Heading3"/>
      </w:pPr>
      <w:r>
        <w:t xml:space="preserve">The field at large</w:t>
      </w:r>
    </w:p>
    <w:p>
      <w:pPr>
        <w:pStyle w:val="FirstParagraph"/>
      </w:pPr>
      <w:r>
        <w:t xml:space="preserve">Across</w:t>
      </w:r>
      <w:r>
        <w:t xml:space="preserve"> </w:t>
      </w:r>
      <m:oMath>
        <m:r>
          <m:t>901</m:t>
        </m:r>
      </m:oMath>
      <w:r>
        <w:t xml:space="preserve"> </w:t>
      </w:r>
      <w:r>
        <w:t xml:space="preserve">queries, we retrieve a total of</w:t>
      </w:r>
      <w:r>
        <w:t xml:space="preserve"> </w:t>
      </w:r>
      <m:oMath>
        <m:r>
          <m:t>4</m:t>
        </m:r>
        <m:r>
          <m:rPr>
            <m:sty m:val="p"/>
          </m:rPr>
          <m:t>,</m:t>
        </m:r>
        <m:r>
          <m:t>714</m:t>
        </m:r>
        <m:r>
          <m:rPr>
            <m:sty m:val="p"/>
          </m:rPr>
          <m:t>,</m:t>
        </m:r>
        <m:r>
          <m:t>445</m:t>
        </m:r>
      </m:oMath>
      <w:r>
        <w:t xml:space="preserve"> </w:t>
      </w:r>
      <w:r>
        <w:t xml:space="preserve">media stories from</w:t>
      </w:r>
      <w:r>
        <w:t xml:space="preserve"> </w:t>
      </w:r>
      <m:oMath>
        <m:r>
          <m:t>4</m:t>
        </m:r>
        <m:r>
          <m:rPr>
            <m:sty m:val="p"/>
          </m:rPr>
          <m:t>,</m:t>
        </m:r>
        <m:r>
          <m:t>074</m:t>
        </m:r>
        <m:r>
          <m:rPr>
            <m:sty m:val="p"/>
          </m:rPr>
          <m:t>,</m:t>
        </m:r>
        <m:r>
          <m:t>851</m:t>
        </m:r>
      </m:oMath>
      <w:r>
        <w:t xml:space="preserve"> </w:t>
      </w:r>
      <w:r>
        <w:t xml:space="preserve">unique media titles. Across all sixteen technology clusters, academic attention is spread differently from media attention (</w:t>
      </w:r>
      <m:oMath>
        <m:r>
          <m:t>G</m:t>
        </m:r>
        <m:d>
          <m:dPr>
            <m:begChr m:val="("/>
            <m:sepChr m:val=""/>
            <m:endChr m:val=")"/>
            <m:grow/>
          </m:dPr>
          <m:e>
            <m:r>
              <m:t>15</m:t>
            </m:r>
          </m:e>
        </m:d>
        <m:r>
          <m:rPr>
            <m:sty m:val="p"/>
          </m:rPr>
          <m:t>=</m:t>
        </m:r>
        <m:r>
          <m:t>1033.62</m:t>
        </m:r>
      </m:oMath>
      <w:r>
        <w:t xml:space="preserve">,</w:t>
      </w:r>
      <w:r>
        <w:t xml:space="preserve"> </w:t>
      </w:r>
      <m:oMath>
        <m:r>
          <m:t>p</m:t>
        </m:r>
        <m:r>
          <m:rPr>
            <m:sty m:val="p"/>
          </m:rPr>
          <m:t>&lt;</m:t>
        </m:r>
        <m:r>
          <m:t>.001</m:t>
        </m:r>
      </m:oMath>
      <w:r>
        <w:t xml:space="preserve">,</w:t>
      </w:r>
      <w:r>
        <w:t xml:space="preserve"> </w:t>
      </w:r>
      <m:oMath>
        <m:r>
          <m:t>w</m:t>
        </m:r>
        <m:r>
          <m:rPr>
            <m:sty m:val="p"/>
          </m:rPr>
          <m:t>=</m:t>
        </m:r>
        <m:r>
          <m:t>.86</m:t>
        </m:r>
      </m:oMath>
      <w:r>
        <w:t xml:space="preserve">). Nine of the sixteen clusters hold a larger share in academic attention, seven in media attention. Measured in percentage points, the largest differences on the media side are Internet &amp; Broadcasting (</w:t>
      </w:r>
      <m:oMath>
        <m:r>
          <m:rPr>
            <m:sty m:val="p"/>
          </m:rPr>
          <m:t>−</m:t>
        </m:r>
        <m:r>
          <m:t>10.6</m:t>
        </m:r>
      </m:oMath>
      <w:r>
        <w:t xml:space="preserve"> </w:t>
      </w:r>
      <w:r>
        <w:t xml:space="preserve">pp) and Social Media (</w:t>
      </w:r>
      <m:oMath>
        <m:r>
          <m:rPr>
            <m:sty m:val="p"/>
          </m:rPr>
          <m:t>−</m:t>
        </m:r>
        <m:r>
          <m:t>8.5</m:t>
        </m:r>
      </m:oMath>
      <w:r>
        <w:t xml:space="preserve"> </w:t>
      </w:r>
      <w:r>
        <w:t xml:space="preserve">pp), and on the academic side Generative AI (</w:t>
      </w:r>
      <m:oMath>
        <m:r>
          <m:rPr>
            <m:sty m:val="p"/>
          </m:rPr>
          <m:t>+</m:t>
        </m:r>
        <m:r>
          <m:t>10.1</m:t>
        </m:r>
      </m:oMath>
      <w:r>
        <w:t xml:space="preserve"> </w:t>
      </w:r>
      <w:r>
        <w:t xml:space="preserve">pp) and Algorithms &amp; Recommendations (</w:t>
      </w:r>
      <m:oMath>
        <m:r>
          <m:rPr>
            <m:sty m:val="p"/>
          </m:rPr>
          <m:t>+</m:t>
        </m:r>
        <m:r>
          <m:t>5.3</m:t>
        </m:r>
      </m:oMath>
      <w:r>
        <w:t xml:space="preserve"> </w:t>
      </w:r>
      <w:r>
        <w:t xml:space="preserve">pp).</w:t>
      </w:r>
      <w:r>
        <w:t xml:space="preserve"> </w:t>
      </w:r>
      <w:hyperlink w:anchor="fig-coverage-gap">
        <w:r>
          <w:rPr>
            <w:rStyle w:val="Hyperlink"/>
          </w:rPr>
          <w:t xml:space="preserve">Figure 4</w:t>
        </w:r>
      </w:hyperlink>
      <w:r>
        <w:t xml:space="preserve"> </w:t>
      </w:r>
      <w:r>
        <w:t xml:space="preserve">reports all clusters. All gaps diverge credibly from the media distribution, which is used as the prior. The gaps are not uniform across journals, since not all journals focus on the clusters equally.</w:t>
      </w:r>
    </w:p>
    <w:p>
      <w:pPr>
        <w:pStyle w:val="BodyText"/>
      </w:pPr>
      <w:r>
        <w:t xml:space="preserve">Across the sixteen clusters, the cross-correlations between the annual academic and media shares range from</w:t>
      </w:r>
      <w:r>
        <w:t xml:space="preserve"> </w:t>
      </w:r>
      <m:oMath>
        <m:r>
          <m:rPr>
            <m:sty m:val="p"/>
          </m:rPr>
          <m:t>−</m:t>
        </m:r>
        <m:r>
          <m:t>0.52</m:t>
        </m:r>
      </m:oMath>
      <w:r>
        <w:t xml:space="preserve"> </w:t>
      </w:r>
      <w:r>
        <w:t xml:space="preserve">to</w:t>
      </w:r>
      <w:r>
        <w:t xml:space="preserve"> </w:t>
      </w:r>
      <m:oMath>
        <m:r>
          <m:t>0.90</m:t>
        </m:r>
      </m:oMath>
      <w:r>
        <w:t xml:space="preserve">. The lag at which the correlation is highest is positive for ten clusters, zero for one, and negative for five, falling at the boundary of the tested range for three. A lag of four years is the most frequent, being the highest-correlating lag for five clusters, indicating that media attention generally precedes academic publications by several years. The relationship is nonetheless weak for most clusters: nine of the sixteen peak below</w:t>
      </w:r>
      <w:r>
        <w:t xml:space="preserve"> </w:t>
      </w:r>
      <m:oMath>
        <m:r>
          <m:t>r</m:t>
        </m:r>
        <m:r>
          <m:rPr>
            <m:sty m:val="p"/>
          </m:rPr>
          <m:t>=</m:t>
        </m:r>
        <m:r>
          <m:t>.40</m:t>
        </m:r>
      </m:oMath>
      <w:r>
        <w:t xml:space="preserve">, and three peak at the boundary of the tested window, so their true lag may lie outside the range examined.</w:t>
      </w:r>
      <w:r>
        <w:t xml:space="preserve"> </w:t>
      </w:r>
      <w:hyperlink w:anchor="tbl-lag-pvalues">
        <w:r>
          <w:rPr>
            <w:rStyle w:val="Hyperlink"/>
          </w:rPr>
          <w:t xml:space="preserve">Table 3</w:t>
        </w:r>
      </w:hyperlink>
      <w:r>
        <w:t xml:space="preserve"> </w:t>
      </w:r>
      <w:r>
        <w:t xml:space="preserve">reports the correlation at every lag for all clusters. We compare the duration between peak academic and media attention for all clusters. The median difference between academic and media peaks is largest for the Journal of Marketing, with a median lag of</w:t>
      </w:r>
      <w:r>
        <w:t xml:space="preserve"> </w:t>
      </w:r>
      <m:oMath>
        <m:r>
          <m:rPr>
            <m:sty m:val="p"/>
          </m:rPr>
          <m:t>−</m:t>
        </m:r>
        <m:r>
          <m:t>5</m:t>
        </m:r>
      </m:oMath>
      <w:r>
        <w:t xml:space="preserve">. Both JAMS and IJRM are ahead by a median of</w:t>
      </w:r>
      <w:r>
        <w:t xml:space="preserve"> </w:t>
      </w:r>
      <m:oMath>
        <m:r>
          <m:t>1</m:t>
        </m:r>
      </m:oMath>
      <w:r>
        <w:t xml:space="preserve"> </w:t>
      </w:r>
      <w:r>
        <w:t xml:space="preserve">compared to media attention.</w:t>
      </w:r>
    </w:p>
    <w:p>
      <w:pPr>
        <w:pStyle w:val="BodyText"/>
      </w:pPr>
      <w:r>
        <w:t xml:space="preserve">We report the full measures for all comparisons and robustness checks comparing overall media attention (i.e. share of technology articles compared to all articles) against overall academic attention in</w:t>
      </w:r>
      <w:r>
        <w:t xml:space="preserve"> </w:t>
      </w:r>
      <w:hyperlink r:id="rId34">
        <w:r>
          <w:rPr>
            <w:rStyle w:val="Hyperlink"/>
          </w:rPr>
          <w:t xml:space="preserve">Appendix E</w:t>
        </w:r>
      </w:hyperlink>
      <w:r>
        <w:t xml:space="preserve">Appendix E</w:t>
      </w:r>
      <w:r>
        <w:t xml:space="preserve">.</w:t>
      </w:r>
    </w:p>
    <w:bookmarkStart w:id="61" w:name="fig-coverage-gap"/>
    <w:p>
      <w:pPr>
        <w:pStyle w:val="FigureTitle"/>
      </w:pPr>
      <w:r>
        <w:t xml:space="preserve">Figure 4</w:t>
      </w:r>
    </w:p>
    <w:p>
      <w:pPr>
        <w:pStyle w:val="Caption"/>
      </w:pPr>
      <w:r>
        <w:t xml:space="preserve">Academic and media attention by technology cluster, 2008-2026. Each point is a technology cluster, positioned by its pooled share of all media technology mentions and its pooled share of all academic technology mentions. The dashed line marks equal shares, so clusters above it hold a larger share of academic than of media attention and clusters below it the reverse.</w:t>
      </w:r>
    </w:p>
    <w:p>
      <w:pPr>
        <w:pStyle w:val="FigureWithoutNote"/>
      </w:pPr>
      <w:r>
        <w:drawing>
          <wp:inline>
            <wp:extent cx="5943600" cy="4692315"/>
            <wp:effectExtent b="0" l="0" r="0" t="0"/>
            <wp:docPr descr="" title="" id="59" name="Picture"/>
            <a:graphic>
              <a:graphicData uri="http://schemas.openxmlformats.org/drawingml/2006/picture">
                <pic:pic>
                  <pic:nvPicPr>
                    <pic:cNvPr descr="..\21_mediacloud_benchmark_output/coverage_gap_outputs/within_tech/coverage_scatter.png" id="60" name="Picture"/>
                    <pic:cNvPicPr>
                      <a:picLocks noChangeArrowheads="1" noChangeAspect="1"/>
                    </pic:cNvPicPr>
                  </pic:nvPicPr>
                  <pic:blipFill>
                    <a:blip r:embed="rId58"/>
                    <a:stretch>
                      <a:fillRect/>
                    </a:stretch>
                  </pic:blipFill>
                  <pic:spPr bwMode="auto">
                    <a:xfrm>
                      <a:off x="0" y="0"/>
                      <a:ext cx="5943600" cy="4692315"/>
                    </a:xfrm>
                    <a:prstGeom prst="rect">
                      <a:avLst/>
                    </a:prstGeom>
                    <a:noFill/>
                    <a:ln w="9525">
                      <a:noFill/>
                      <a:headEnd/>
                      <a:tailEnd/>
                    </a:ln>
                  </pic:spPr>
                </pic:pic>
              </a:graphicData>
            </a:graphic>
          </wp:inline>
        </w:drawing>
      </w:r>
    </w:p>
    <w:bookmarkEnd w:id="61"/>
    <w:p>
      <w:pPr>
        <w:sectPr/>
      </w:pPr>
    </w:p>
    <w:bookmarkStart w:id="63" w:name="tbl-lag-pvalues"/>
    <w:p>
      <w:pPr>
        <w:pStyle w:val="FigureTitle"/>
      </w:pPr>
      <w:r>
        <w:t xml:space="preserve">Table 3</w:t>
      </w:r>
    </w:p>
    <w:p>
      <w:pPr>
        <w:pStyle w:val="Caption"/>
      </w:pPr>
      <w:r>
        <w:t xml:space="preserve">Correlation between annual academic and media attention at each lag, with the exact two-sided circular-shift permutation p-value in parentheses. The highest correlation in each row is set in bold and corresponds to the best lag. The smallest attainable p-value ranges from .053 at lag 0 to .071 at lag -5 and +5.</w:t>
      </w:r>
    </w:p>
    <w:bookmarkStart w:id="62" w:name="tbl-lag-pvalues"/>
    <w:tbl>
      <w:tblPr>
        <w:tblStyle w:val="Table"/>
        <w:tblW w:type="pct" w:w="5000"/>
        <w:tblLayout w:type="fixed"/>
        <w:tblLook w:firstRow="1" w:lastRow="0" w:firstColumn="0" w:lastColumn="0" w:noHBand="0" w:noVBand="0" w:val="0020"/>
      </w:tblPr>
      <w:tblGrid>
        <w:gridCol w:w="465"/>
        <w:gridCol w:w="621"/>
        <w:gridCol w:w="621"/>
        <w:gridCol w:w="621"/>
        <w:gridCol w:w="621"/>
        <w:gridCol w:w="621"/>
        <w:gridCol w:w="621"/>
        <w:gridCol w:w="621"/>
        <w:gridCol w:w="621"/>
        <w:gridCol w:w="621"/>
        <w:gridCol w:w="621"/>
        <w:gridCol w:w="621"/>
        <w:gridCol w:w="621"/>
      </w:tblGrid>
      <w:tr>
        <w:trPr>
          <w:tblHeader w:val="on"/>
        </w:trPr>
        <w:tc>
          <w:tcPr/>
          <w:p>
            <w:pPr>
              <w:pStyle w:val="Compact"/>
            </w:pPr>
            <w:r>
              <w:t xml:space="preserve">Technology cluster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Best lag</w:t>
            </w:r>
          </w:p>
        </w:tc>
      </w:tr>
      <w:tr>
        <w:tc>
          <w:tcPr/>
          <w:p>
            <w:pPr>
              <w:pStyle w:val="Compact"/>
            </w:pPr>
            <w:r>
              <w:t xml:space="preserve">AR, VR &amp; Robots</w:t>
            </w:r>
          </w:p>
        </w:tc>
        <w:tc>
          <w:tcPr/>
          <w:p>
            <w:pPr>
              <w:pStyle w:val="Compact"/>
              <w:jc w:val="right"/>
            </w:pPr>
            <w:r>
              <w:t xml:space="preserve">0.044 (p = .857)</w:t>
            </w:r>
          </w:p>
        </w:tc>
        <w:tc>
          <w:tcPr/>
          <w:p>
            <w:pPr>
              <w:pStyle w:val="Compact"/>
              <w:jc w:val="right"/>
            </w:pPr>
            <w:r>
              <w:t xml:space="preserve">-0.256 (p = .200)</w:t>
            </w:r>
          </w:p>
        </w:tc>
        <w:tc>
          <w:tcPr/>
          <w:p>
            <w:pPr>
              <w:pStyle w:val="Compact"/>
              <w:jc w:val="right"/>
            </w:pPr>
            <w:r>
              <w:t xml:space="preserve">-0.000 (p = 1.000)</w:t>
            </w:r>
          </w:p>
        </w:tc>
        <w:tc>
          <w:tcPr/>
          <w:p>
            <w:pPr>
              <w:pStyle w:val="Compact"/>
              <w:jc w:val="right"/>
            </w:pPr>
            <w:r>
              <w:t xml:space="preserve">0.088 (p = .882)</w:t>
            </w:r>
          </w:p>
        </w:tc>
        <w:tc>
          <w:tcPr/>
          <w:p>
            <w:pPr>
              <w:pStyle w:val="Compact"/>
              <w:jc w:val="right"/>
            </w:pPr>
            <w:r>
              <w:t xml:space="preserve">0.054 (p = .778)</w:t>
            </w:r>
          </w:p>
        </w:tc>
        <w:tc>
          <w:tcPr/>
          <w:p>
            <w:pPr>
              <w:pStyle w:val="Compact"/>
              <w:jc w:val="right"/>
            </w:pPr>
            <w:r>
              <w:t xml:space="preserve">0.109 (p = .842)</w:t>
            </w:r>
          </w:p>
        </w:tc>
        <w:tc>
          <w:tcPr/>
          <w:p>
            <w:pPr>
              <w:pStyle w:val="Compact"/>
              <w:jc w:val="right"/>
            </w:pPr>
            <w:r>
              <w:t xml:space="preserve">0.234 (p = .667)</w:t>
            </w:r>
          </w:p>
        </w:tc>
        <w:tc>
          <w:tcPr/>
          <w:p>
            <w:pPr>
              <w:pStyle w:val="Compact"/>
              <w:jc w:val="right"/>
            </w:pPr>
            <w:r>
              <w:t xml:space="preserve">0.261 (p = .706)</w:t>
            </w:r>
          </w:p>
        </w:tc>
        <w:tc>
          <w:tcPr/>
          <w:p>
            <w:pPr>
              <w:pStyle w:val="Compact"/>
              <w:jc w:val="right"/>
            </w:pPr>
            <w:r>
              <w:t xml:space="preserve">0.334 (p = .562)</w:t>
            </w:r>
          </w:p>
        </w:tc>
        <w:tc>
          <w:tcPr/>
          <w:p>
            <w:pPr>
              <w:pStyle w:val="Compact"/>
              <w:jc w:val="right"/>
            </w:pPr>
            <w:r>
              <w:rPr>
                <w:b/>
                <w:bCs/>
              </w:rPr>
              <w:t xml:space="preserve">0.718 (p = .067)</w:t>
            </w:r>
          </w:p>
        </w:tc>
        <w:tc>
          <w:tcPr/>
          <w:p>
            <w:pPr>
              <w:pStyle w:val="Compact"/>
              <w:jc w:val="right"/>
            </w:pPr>
            <w:r>
              <w:t xml:space="preserve">0.678 (p = .143)</w:t>
            </w:r>
          </w:p>
        </w:tc>
        <w:tc>
          <w:tcPr/>
          <w:p>
            <w:pPr>
              <w:pStyle w:val="Compact"/>
              <w:jc w:val="right"/>
            </w:pPr>
            <w:r>
              <w:t xml:space="preserve">4</w:t>
            </w:r>
          </w:p>
        </w:tc>
      </w:tr>
      <w:tr>
        <w:tc>
          <w:tcPr/>
          <w:p>
            <w:pPr>
              <w:pStyle w:val="Compact"/>
            </w:pPr>
            <w:r>
              <w:t xml:space="preserve">Algorithms &amp; Recommendations</w:t>
            </w:r>
          </w:p>
        </w:tc>
        <w:tc>
          <w:tcPr/>
          <w:p>
            <w:pPr>
              <w:pStyle w:val="Compact"/>
              <w:jc w:val="right"/>
            </w:pPr>
            <w:r>
              <w:t xml:space="preserve">-0.480 (p = .143)</w:t>
            </w:r>
          </w:p>
        </w:tc>
        <w:tc>
          <w:tcPr/>
          <w:p>
            <w:pPr>
              <w:pStyle w:val="Compact"/>
              <w:jc w:val="right"/>
            </w:pPr>
            <w:r>
              <w:t xml:space="preserve">-0.062 (p = .933)</w:t>
            </w:r>
          </w:p>
        </w:tc>
        <w:tc>
          <w:tcPr/>
          <w:p>
            <w:pPr>
              <w:pStyle w:val="Compact"/>
              <w:jc w:val="right"/>
            </w:pPr>
            <w:r>
              <w:t xml:space="preserve">-0.214 (p = .500)</w:t>
            </w:r>
          </w:p>
        </w:tc>
        <w:tc>
          <w:tcPr/>
          <w:p>
            <w:pPr>
              <w:pStyle w:val="Compact"/>
              <w:jc w:val="right"/>
            </w:pPr>
            <w:r>
              <w:t xml:space="preserve">-0.225 (p = .471)</w:t>
            </w:r>
          </w:p>
        </w:tc>
        <w:tc>
          <w:tcPr/>
          <w:p>
            <w:pPr>
              <w:pStyle w:val="Compact"/>
              <w:jc w:val="right"/>
            </w:pPr>
            <w:r>
              <w:t xml:space="preserve">-0.422 (p = .278)</w:t>
            </w:r>
          </w:p>
        </w:tc>
        <w:tc>
          <w:tcPr/>
          <w:p>
            <w:pPr>
              <w:pStyle w:val="Compact"/>
              <w:jc w:val="right"/>
            </w:pPr>
            <w:r>
              <w:t xml:space="preserve">0.090 (p = .895)</w:t>
            </w:r>
          </w:p>
        </w:tc>
        <w:tc>
          <w:tcPr/>
          <w:p>
            <w:pPr>
              <w:pStyle w:val="Compact"/>
              <w:jc w:val="right"/>
            </w:pPr>
            <w:r>
              <w:t xml:space="preserve">0.181 (p = .556)</w:t>
            </w:r>
          </w:p>
        </w:tc>
        <w:tc>
          <w:tcPr/>
          <w:p>
            <w:pPr>
              <w:pStyle w:val="Compact"/>
              <w:jc w:val="right"/>
            </w:pPr>
            <w:r>
              <w:t xml:space="preserve">0.102 (p = .941)</w:t>
            </w:r>
          </w:p>
        </w:tc>
        <w:tc>
          <w:tcPr/>
          <w:p>
            <w:pPr>
              <w:pStyle w:val="Compact"/>
              <w:jc w:val="right"/>
            </w:pPr>
            <w:r>
              <w:rPr>
                <w:b/>
                <w:bCs/>
              </w:rPr>
              <w:t xml:space="preserve">0.561 (p = .125)</w:t>
            </w:r>
          </w:p>
        </w:tc>
        <w:tc>
          <w:tcPr/>
          <w:p>
            <w:pPr>
              <w:pStyle w:val="Compact"/>
              <w:jc w:val="right"/>
            </w:pPr>
            <w:r>
              <w:t xml:space="preserve">0.154 (p = .800)</w:t>
            </w:r>
          </w:p>
        </w:tc>
        <w:tc>
          <w:tcPr/>
          <w:p>
            <w:pPr>
              <w:pStyle w:val="Compact"/>
              <w:jc w:val="right"/>
            </w:pPr>
            <w:r>
              <w:t xml:space="preserve">0.387 (p = .357)</w:t>
            </w:r>
          </w:p>
        </w:tc>
        <w:tc>
          <w:tcPr/>
          <w:p>
            <w:pPr>
              <w:pStyle w:val="Compact"/>
              <w:jc w:val="right"/>
            </w:pPr>
            <w:r>
              <w:t xml:space="preserve">3</w:t>
            </w:r>
          </w:p>
        </w:tc>
      </w:tr>
      <w:tr>
        <w:tc>
          <w:tcPr/>
          <w:p>
            <w:pPr>
              <w:pStyle w:val="Compact"/>
            </w:pPr>
            <w:r>
              <w:t xml:space="preserve">Auctions &amp; Pricing</w:t>
            </w:r>
          </w:p>
        </w:tc>
        <w:tc>
          <w:tcPr/>
          <w:p>
            <w:pPr>
              <w:pStyle w:val="Compact"/>
              <w:jc w:val="right"/>
            </w:pPr>
            <w:r>
              <w:t xml:space="preserve">-0.111 (p = .643)</w:t>
            </w:r>
          </w:p>
        </w:tc>
        <w:tc>
          <w:tcPr/>
          <w:p>
            <w:pPr>
              <w:pStyle w:val="Compact"/>
              <w:jc w:val="right"/>
            </w:pPr>
            <w:r>
              <w:t xml:space="preserve">0.100 (p = .733)</w:t>
            </w:r>
          </w:p>
        </w:tc>
        <w:tc>
          <w:tcPr/>
          <w:p>
            <w:pPr>
              <w:pStyle w:val="Compact"/>
              <w:jc w:val="right"/>
            </w:pPr>
            <w:r>
              <w:t xml:space="preserve">-0.020 (p = .938)</w:t>
            </w:r>
          </w:p>
        </w:tc>
        <w:tc>
          <w:tcPr/>
          <w:p>
            <w:pPr>
              <w:pStyle w:val="Compact"/>
              <w:jc w:val="right"/>
            </w:pPr>
            <w:r>
              <w:t xml:space="preserve">0.025 (p = .765)</w:t>
            </w:r>
          </w:p>
        </w:tc>
        <w:tc>
          <w:tcPr/>
          <w:p>
            <w:pPr>
              <w:pStyle w:val="Compact"/>
              <w:jc w:val="right"/>
            </w:pPr>
            <w:r>
              <w:t xml:space="preserve">0.018 (p = .889)</w:t>
            </w:r>
          </w:p>
        </w:tc>
        <w:tc>
          <w:tcPr/>
          <w:p>
            <w:pPr>
              <w:pStyle w:val="Compact"/>
              <w:jc w:val="right"/>
            </w:pPr>
            <w:r>
              <w:t xml:space="preserve">-0.051 (p = .684)</w:t>
            </w:r>
          </w:p>
        </w:tc>
        <w:tc>
          <w:tcPr/>
          <w:p>
            <w:pPr>
              <w:pStyle w:val="Compact"/>
              <w:jc w:val="right"/>
            </w:pPr>
            <w:r>
              <w:t xml:space="preserve">0.189 (p = .278)</w:t>
            </w:r>
          </w:p>
        </w:tc>
        <w:tc>
          <w:tcPr/>
          <w:p>
            <w:pPr>
              <w:pStyle w:val="Compact"/>
              <w:jc w:val="right"/>
            </w:pPr>
            <w:r>
              <w:t xml:space="preserve">-0.171 (p = .294)</w:t>
            </w:r>
          </w:p>
        </w:tc>
        <w:tc>
          <w:tcPr/>
          <w:p>
            <w:pPr>
              <w:pStyle w:val="Compact"/>
              <w:jc w:val="right"/>
            </w:pPr>
            <w:r>
              <w:t xml:space="preserve">-0.254 (p = .438)</w:t>
            </w:r>
          </w:p>
        </w:tc>
        <w:tc>
          <w:tcPr/>
          <w:p>
            <w:pPr>
              <w:pStyle w:val="Compact"/>
              <w:jc w:val="right"/>
            </w:pPr>
            <w:r>
              <w:rPr>
                <w:b/>
                <w:bCs/>
              </w:rPr>
              <w:t xml:space="preserve">0.360 (p = .200)</w:t>
            </w:r>
          </w:p>
        </w:tc>
        <w:tc>
          <w:tcPr/>
          <w:p>
            <w:pPr>
              <w:pStyle w:val="Compact"/>
              <w:jc w:val="right"/>
            </w:pPr>
            <w:r>
              <w:t xml:space="preserve">0.115 (p = .643)</w:t>
            </w:r>
          </w:p>
        </w:tc>
        <w:tc>
          <w:tcPr/>
          <w:p>
            <w:pPr>
              <w:pStyle w:val="Compact"/>
              <w:jc w:val="right"/>
            </w:pPr>
            <w:r>
              <w:t xml:space="preserve">4</w:t>
            </w:r>
          </w:p>
        </w:tc>
      </w:tr>
      <w:tr>
        <w:tc>
          <w:tcPr/>
          <w:p>
            <w:pPr>
              <w:pStyle w:val="Compact"/>
            </w:pPr>
            <w:r>
              <w:t xml:space="preserve">Computers &amp; Software</w:t>
            </w:r>
          </w:p>
        </w:tc>
        <w:tc>
          <w:tcPr/>
          <w:p>
            <w:pPr>
              <w:pStyle w:val="Compact"/>
              <w:jc w:val="right"/>
            </w:pPr>
            <w:r>
              <w:t xml:space="preserve">0.214 (p = .714)</w:t>
            </w:r>
          </w:p>
        </w:tc>
        <w:tc>
          <w:tcPr/>
          <w:p>
            <w:pPr>
              <w:pStyle w:val="Compact"/>
              <w:jc w:val="right"/>
            </w:pPr>
            <w:r>
              <w:t xml:space="preserve">0.352 (p = .333)</w:t>
            </w:r>
          </w:p>
        </w:tc>
        <w:tc>
          <w:tcPr/>
          <w:p>
            <w:pPr>
              <w:pStyle w:val="Compact"/>
              <w:jc w:val="right"/>
            </w:pPr>
            <w:r>
              <w:t xml:space="preserve">0.266 (p = .438)</w:t>
            </w:r>
          </w:p>
        </w:tc>
        <w:tc>
          <w:tcPr/>
          <w:p>
            <w:pPr>
              <w:pStyle w:val="Compact"/>
              <w:jc w:val="right"/>
            </w:pPr>
            <w:r>
              <w:rPr>
                <w:b/>
                <w:bCs/>
              </w:rPr>
              <w:t xml:space="preserve">0.368 (p = .294)</w:t>
            </w:r>
          </w:p>
        </w:tc>
        <w:tc>
          <w:tcPr/>
          <w:p>
            <w:pPr>
              <w:pStyle w:val="Compact"/>
              <w:jc w:val="right"/>
            </w:pPr>
            <w:r>
              <w:t xml:space="preserve">0.337 (p = .222)</w:t>
            </w:r>
          </w:p>
        </w:tc>
        <w:tc>
          <w:tcPr/>
          <w:p>
            <w:pPr>
              <w:pStyle w:val="Compact"/>
              <w:jc w:val="right"/>
            </w:pPr>
            <w:r>
              <w:t xml:space="preserve">0.028 (p = 1.000)</w:t>
            </w:r>
          </w:p>
        </w:tc>
        <w:tc>
          <w:tcPr/>
          <w:p>
            <w:pPr>
              <w:pStyle w:val="Compact"/>
              <w:jc w:val="right"/>
            </w:pPr>
            <w:r>
              <w:t xml:space="preserve">0.059 (p = .833)</w:t>
            </w:r>
          </w:p>
        </w:tc>
        <w:tc>
          <w:tcPr/>
          <w:p>
            <w:pPr>
              <w:pStyle w:val="Compact"/>
              <w:jc w:val="right"/>
            </w:pPr>
            <w:r>
              <w:t xml:space="preserve">-0.226 (p = .529)</w:t>
            </w:r>
          </w:p>
        </w:tc>
        <w:tc>
          <w:tcPr/>
          <w:p>
            <w:pPr>
              <w:pStyle w:val="Compact"/>
              <w:jc w:val="right"/>
            </w:pPr>
            <w:r>
              <w:t xml:space="preserve">-0.386 (p = .312)</w:t>
            </w:r>
          </w:p>
        </w:tc>
        <w:tc>
          <w:tcPr/>
          <w:p>
            <w:pPr>
              <w:pStyle w:val="Compact"/>
              <w:jc w:val="right"/>
            </w:pPr>
            <w:r>
              <w:t xml:space="preserve">-0.285 (p = .400)</w:t>
            </w:r>
          </w:p>
        </w:tc>
        <w:tc>
          <w:tcPr/>
          <w:p>
            <w:pPr>
              <w:pStyle w:val="Compact"/>
              <w:jc w:val="right"/>
            </w:pPr>
            <w:r>
              <w:t xml:space="preserve">-0.056 (p = .857)</w:t>
            </w:r>
          </w:p>
        </w:tc>
        <w:tc>
          <w:tcPr/>
          <w:p>
            <w:pPr>
              <w:pStyle w:val="Compact"/>
              <w:jc w:val="right"/>
            </w:pPr>
            <w:r>
              <w:t xml:space="preserve">-2</w:t>
            </w:r>
          </w:p>
        </w:tc>
      </w:tr>
      <w:tr>
        <w:tc>
          <w:tcPr/>
          <w:p>
            <w:pPr>
              <w:pStyle w:val="Compact"/>
            </w:pPr>
            <w:r>
              <w:t xml:space="preserve">Crypto &amp; Fintech</w:t>
            </w:r>
          </w:p>
        </w:tc>
        <w:tc>
          <w:tcPr/>
          <w:p>
            <w:pPr>
              <w:pStyle w:val="Compact"/>
              <w:jc w:val="right"/>
            </w:pPr>
            <w:r>
              <w:t xml:space="preserve">-0.203 (p = .429)</w:t>
            </w:r>
          </w:p>
        </w:tc>
        <w:tc>
          <w:tcPr/>
          <w:p>
            <w:pPr>
              <w:pStyle w:val="Compact"/>
              <w:jc w:val="right"/>
            </w:pPr>
            <w:r>
              <w:t xml:space="preserve">0.078 (p = .733)</w:t>
            </w:r>
          </w:p>
        </w:tc>
        <w:tc>
          <w:tcPr/>
          <w:p>
            <w:pPr>
              <w:pStyle w:val="Compact"/>
              <w:jc w:val="right"/>
            </w:pPr>
            <w:r>
              <w:t xml:space="preserve">0.101 (p = .812)</w:t>
            </w:r>
          </w:p>
        </w:tc>
        <w:tc>
          <w:tcPr/>
          <w:p>
            <w:pPr>
              <w:pStyle w:val="Compact"/>
              <w:jc w:val="right"/>
            </w:pPr>
            <w:r>
              <w:t xml:space="preserve">0.186 (p = .529)</w:t>
            </w:r>
          </w:p>
        </w:tc>
        <w:tc>
          <w:tcPr/>
          <w:p>
            <w:pPr>
              <w:pStyle w:val="Compact"/>
              <w:jc w:val="right"/>
            </w:pPr>
            <w:r>
              <w:t xml:space="preserve">0.380 (p = .333)</w:t>
            </w:r>
          </w:p>
        </w:tc>
        <w:tc>
          <w:tcPr/>
          <w:p>
            <w:pPr>
              <w:pStyle w:val="Compact"/>
              <w:jc w:val="right"/>
            </w:pPr>
            <w:r>
              <w:t xml:space="preserve">0.267 (p = .737)</w:t>
            </w:r>
          </w:p>
        </w:tc>
        <w:tc>
          <w:tcPr/>
          <w:p>
            <w:pPr>
              <w:pStyle w:val="Compact"/>
              <w:jc w:val="right"/>
            </w:pPr>
            <w:r>
              <w:t xml:space="preserve">0.318 (p = .611)</w:t>
            </w:r>
          </w:p>
        </w:tc>
        <w:tc>
          <w:tcPr/>
          <w:p>
            <w:pPr>
              <w:pStyle w:val="Compact"/>
              <w:jc w:val="right"/>
            </w:pPr>
            <w:r>
              <w:t xml:space="preserve">0.438 (p = .294)</w:t>
            </w:r>
          </w:p>
        </w:tc>
        <w:tc>
          <w:tcPr/>
          <w:p>
            <w:pPr>
              <w:pStyle w:val="Compact"/>
              <w:jc w:val="right"/>
            </w:pPr>
            <w:r>
              <w:rPr>
                <w:b/>
                <w:bCs/>
              </w:rPr>
              <w:t xml:space="preserve">0.724 (p = .062)</w:t>
            </w:r>
          </w:p>
        </w:tc>
        <w:tc>
          <w:tcPr/>
          <w:p>
            <w:pPr>
              <w:pStyle w:val="Compact"/>
              <w:jc w:val="right"/>
            </w:pPr>
            <w:r>
              <w:t xml:space="preserve">0.669 (p = .133)</w:t>
            </w:r>
          </w:p>
        </w:tc>
        <w:tc>
          <w:tcPr/>
          <w:p>
            <w:pPr>
              <w:pStyle w:val="Compact"/>
              <w:jc w:val="right"/>
            </w:pPr>
            <w:r>
              <w:t xml:space="preserve">0.383 (p = .357)</w:t>
            </w:r>
          </w:p>
        </w:tc>
        <w:tc>
          <w:tcPr/>
          <w:p>
            <w:pPr>
              <w:pStyle w:val="Compact"/>
              <w:jc w:val="right"/>
            </w:pPr>
            <w:r>
              <w:t xml:space="preserve">3</w:t>
            </w:r>
          </w:p>
        </w:tc>
      </w:tr>
      <w:tr>
        <w:tc>
          <w:tcPr/>
          <w:p>
            <w:pPr>
              <w:pStyle w:val="Compact"/>
            </w:pPr>
            <w:r>
              <w:t xml:space="preserve">E-Commerce</w:t>
            </w:r>
          </w:p>
        </w:tc>
        <w:tc>
          <w:tcPr/>
          <w:p>
            <w:pPr>
              <w:pStyle w:val="Compact"/>
              <w:jc w:val="right"/>
            </w:pPr>
            <w:r>
              <w:t xml:space="preserve">0.106 (p = .643)</w:t>
            </w:r>
          </w:p>
        </w:tc>
        <w:tc>
          <w:tcPr/>
          <w:p>
            <w:pPr>
              <w:pStyle w:val="Compact"/>
              <w:jc w:val="right"/>
            </w:pPr>
            <w:r>
              <w:t xml:space="preserve">-0.068 (p = .667)</w:t>
            </w:r>
          </w:p>
        </w:tc>
        <w:tc>
          <w:tcPr/>
          <w:p>
            <w:pPr>
              <w:pStyle w:val="Compact"/>
              <w:jc w:val="right"/>
            </w:pPr>
            <w:r>
              <w:rPr>
                <w:b/>
                <w:bCs/>
              </w:rPr>
              <w:t xml:space="preserve">0.384 (p = .125)</w:t>
            </w:r>
          </w:p>
        </w:tc>
        <w:tc>
          <w:tcPr/>
          <w:p>
            <w:pPr>
              <w:pStyle w:val="Compact"/>
              <w:jc w:val="right"/>
            </w:pPr>
            <w:r>
              <w:t xml:space="preserve">-0.040 (p = .824)</w:t>
            </w:r>
          </w:p>
        </w:tc>
        <w:tc>
          <w:tcPr/>
          <w:p>
            <w:pPr>
              <w:pStyle w:val="Compact"/>
              <w:jc w:val="right"/>
            </w:pPr>
            <w:r>
              <w:t xml:space="preserve">0.133 (p = .444)</w:t>
            </w:r>
          </w:p>
        </w:tc>
        <w:tc>
          <w:tcPr/>
          <w:p>
            <w:pPr>
              <w:pStyle w:val="Compact"/>
              <w:jc w:val="right"/>
            </w:pPr>
            <w:r>
              <w:t xml:space="preserve">0.027 (p = 1.000)</w:t>
            </w:r>
          </w:p>
        </w:tc>
        <w:tc>
          <w:tcPr/>
          <w:p>
            <w:pPr>
              <w:pStyle w:val="Compact"/>
              <w:jc w:val="right"/>
            </w:pPr>
            <w:r>
              <w:t xml:space="preserve">-0.113 (p = .444)</w:t>
            </w:r>
          </w:p>
        </w:tc>
        <w:tc>
          <w:tcPr/>
          <w:p>
            <w:pPr>
              <w:pStyle w:val="Compact"/>
              <w:jc w:val="right"/>
            </w:pPr>
            <w:r>
              <w:t xml:space="preserve">0.110 (p = .706)</w:t>
            </w:r>
          </w:p>
        </w:tc>
        <w:tc>
          <w:tcPr/>
          <w:p>
            <w:pPr>
              <w:pStyle w:val="Compact"/>
              <w:jc w:val="right"/>
            </w:pPr>
            <w:r>
              <w:t xml:space="preserve">-0.296 (p = .312)</w:t>
            </w:r>
          </w:p>
        </w:tc>
        <w:tc>
          <w:tcPr/>
          <w:p>
            <w:pPr>
              <w:pStyle w:val="Compact"/>
              <w:jc w:val="right"/>
            </w:pPr>
            <w:r>
              <w:t xml:space="preserve">-0.165 (p = .467)</w:t>
            </w:r>
          </w:p>
        </w:tc>
        <w:tc>
          <w:tcPr/>
          <w:p>
            <w:pPr>
              <w:pStyle w:val="Compact"/>
              <w:jc w:val="right"/>
            </w:pPr>
            <w:r>
              <w:t xml:space="preserve">-0.368 (p = .143)</w:t>
            </w:r>
          </w:p>
        </w:tc>
        <w:tc>
          <w:tcPr/>
          <w:p>
            <w:pPr>
              <w:pStyle w:val="Compact"/>
              <w:jc w:val="right"/>
            </w:pPr>
            <w:r>
              <w:t xml:space="preserve">-3</w:t>
            </w:r>
          </w:p>
        </w:tc>
      </w:tr>
      <w:tr>
        <w:tc>
          <w:tcPr/>
          <w:p>
            <w:pPr>
              <w:pStyle w:val="Compact"/>
            </w:pPr>
            <w:r>
              <w:t xml:space="preserve">Gaming &amp; Digital Platforms</w:t>
            </w:r>
          </w:p>
        </w:tc>
        <w:tc>
          <w:tcPr/>
          <w:p>
            <w:pPr>
              <w:pStyle w:val="Compact"/>
              <w:jc w:val="right"/>
            </w:pPr>
            <w:r>
              <w:t xml:space="preserve">0.489 (p = .071)</w:t>
            </w:r>
          </w:p>
        </w:tc>
        <w:tc>
          <w:tcPr/>
          <w:p>
            <w:pPr>
              <w:pStyle w:val="Compact"/>
              <w:jc w:val="right"/>
            </w:pPr>
            <w:r>
              <w:t xml:space="preserve">0.361 (p = .333)</w:t>
            </w:r>
          </w:p>
        </w:tc>
        <w:tc>
          <w:tcPr/>
          <w:p>
            <w:pPr>
              <w:pStyle w:val="Compact"/>
              <w:jc w:val="right"/>
            </w:pPr>
            <w:r>
              <w:t xml:space="preserve">0.518 (p = .062)</w:t>
            </w:r>
          </w:p>
        </w:tc>
        <w:tc>
          <w:tcPr/>
          <w:p>
            <w:pPr>
              <w:pStyle w:val="Compact"/>
              <w:jc w:val="right"/>
            </w:pPr>
            <w:r>
              <w:t xml:space="preserve">0.343 (p = .294)</w:t>
            </w:r>
          </w:p>
        </w:tc>
        <w:tc>
          <w:tcPr/>
          <w:p>
            <w:pPr>
              <w:pStyle w:val="Compact"/>
              <w:jc w:val="right"/>
            </w:pPr>
            <w:r>
              <w:t xml:space="preserve">0.566 (p = .056)</w:t>
            </w:r>
          </w:p>
        </w:tc>
        <w:tc>
          <w:tcPr/>
          <w:p>
            <w:pPr>
              <w:pStyle w:val="Compact"/>
              <w:jc w:val="right"/>
            </w:pPr>
            <w:r>
              <w:t xml:space="preserve">0.292 (p = .368)</w:t>
            </w:r>
          </w:p>
        </w:tc>
        <w:tc>
          <w:tcPr/>
          <w:p>
            <w:pPr>
              <w:pStyle w:val="Compact"/>
              <w:jc w:val="right"/>
            </w:pPr>
            <w:r>
              <w:t xml:space="preserve">0.213 (p = .722)</w:t>
            </w:r>
          </w:p>
        </w:tc>
        <w:tc>
          <w:tcPr/>
          <w:p>
            <w:pPr>
              <w:pStyle w:val="Compact"/>
              <w:jc w:val="right"/>
            </w:pPr>
            <w:r>
              <w:t xml:space="preserve">0.148 (p = .765)</w:t>
            </w:r>
          </w:p>
        </w:tc>
        <w:tc>
          <w:tcPr/>
          <w:p>
            <w:pPr>
              <w:pStyle w:val="Compact"/>
              <w:jc w:val="right"/>
            </w:pPr>
            <w:r>
              <w:t xml:space="preserve">0.455 (p = .250)</w:t>
            </w:r>
          </w:p>
        </w:tc>
        <w:tc>
          <w:tcPr/>
          <w:p>
            <w:pPr>
              <w:pStyle w:val="Compact"/>
              <w:jc w:val="right"/>
            </w:pPr>
            <w:r>
              <w:rPr>
                <w:b/>
                <w:bCs/>
              </w:rPr>
              <w:t xml:space="preserve">0.608 (p = .133)</w:t>
            </w:r>
          </w:p>
        </w:tc>
        <w:tc>
          <w:tcPr/>
          <w:p>
            <w:pPr>
              <w:pStyle w:val="Compact"/>
              <w:jc w:val="right"/>
            </w:pPr>
            <w:r>
              <w:t xml:space="preserve">0.433 (p = .214)</w:t>
            </w:r>
          </w:p>
        </w:tc>
        <w:tc>
          <w:tcPr/>
          <w:p>
            <w:pPr>
              <w:pStyle w:val="Compact"/>
              <w:jc w:val="right"/>
            </w:pPr>
            <w:r>
              <w:t xml:space="preserve">4</w:t>
            </w:r>
          </w:p>
        </w:tc>
      </w:tr>
      <w:tr>
        <w:tc>
          <w:tcPr/>
          <w:p>
            <w:pPr>
              <w:pStyle w:val="Compact"/>
            </w:pPr>
            <w:r>
              <w:t xml:space="preserve">Generative AI</w:t>
            </w:r>
          </w:p>
        </w:tc>
        <w:tc>
          <w:tcPr/>
          <w:p>
            <w:pPr>
              <w:pStyle w:val="Compact"/>
              <w:jc w:val="right"/>
            </w:pPr>
            <w:r>
              <w:t xml:space="preserve">0.727 (p = .071)</w:t>
            </w:r>
          </w:p>
        </w:tc>
        <w:tc>
          <w:tcPr/>
          <w:p>
            <w:pPr>
              <w:pStyle w:val="Compact"/>
              <w:jc w:val="right"/>
            </w:pPr>
            <w:r>
              <w:t xml:space="preserve">0.824 (p = .067)</w:t>
            </w:r>
          </w:p>
        </w:tc>
        <w:tc>
          <w:tcPr/>
          <w:p>
            <w:pPr>
              <w:pStyle w:val="Compact"/>
              <w:jc w:val="right"/>
            </w:pPr>
            <w:r>
              <w:t xml:space="preserve">0.862 (p = .062)</w:t>
            </w:r>
          </w:p>
        </w:tc>
        <w:tc>
          <w:tcPr/>
          <w:p>
            <w:pPr>
              <w:pStyle w:val="Compact"/>
              <w:jc w:val="right"/>
            </w:pPr>
            <w:r>
              <w:t xml:space="preserve">0.852 (p = .059)</w:t>
            </w:r>
          </w:p>
        </w:tc>
        <w:tc>
          <w:tcPr/>
          <w:p>
            <w:pPr>
              <w:pStyle w:val="Compact"/>
              <w:jc w:val="right"/>
            </w:pPr>
            <w:r>
              <w:t xml:space="preserve">0.876 (p = .056)</w:t>
            </w:r>
          </w:p>
        </w:tc>
        <w:tc>
          <w:tcPr/>
          <w:p>
            <w:pPr>
              <w:pStyle w:val="Compact"/>
              <w:jc w:val="right"/>
            </w:pPr>
            <w:r>
              <w:t xml:space="preserve">0.873 (p = .053)</w:t>
            </w:r>
          </w:p>
        </w:tc>
        <w:tc>
          <w:tcPr/>
          <w:p>
            <w:pPr>
              <w:pStyle w:val="Compact"/>
              <w:jc w:val="right"/>
            </w:pPr>
            <w:r>
              <w:t xml:space="preserve">0.741 (p = .056)</w:t>
            </w:r>
          </w:p>
        </w:tc>
        <w:tc>
          <w:tcPr/>
          <w:p>
            <w:pPr>
              <w:pStyle w:val="Compact"/>
              <w:jc w:val="right"/>
            </w:pPr>
            <w:r>
              <w:t xml:space="preserve">0.726 (p = .059)</w:t>
            </w:r>
          </w:p>
        </w:tc>
        <w:tc>
          <w:tcPr/>
          <w:p>
            <w:pPr>
              <w:pStyle w:val="Compact"/>
              <w:jc w:val="right"/>
            </w:pPr>
            <w:r>
              <w:t xml:space="preserve">0.657 (p = .062)</w:t>
            </w:r>
          </w:p>
        </w:tc>
        <w:tc>
          <w:tcPr/>
          <w:p>
            <w:pPr>
              <w:pStyle w:val="Compact"/>
              <w:jc w:val="right"/>
            </w:pPr>
            <w:r>
              <w:rPr>
                <w:b/>
                <w:bCs/>
              </w:rPr>
              <w:t xml:space="preserve">0.905 (p = .067)</w:t>
            </w:r>
          </w:p>
        </w:tc>
        <w:tc>
          <w:tcPr/>
          <w:p>
            <w:pPr>
              <w:pStyle w:val="Compact"/>
              <w:jc w:val="right"/>
            </w:pPr>
            <w:r>
              <w:t xml:space="preserve">0.891 (p = .071)</w:t>
            </w:r>
          </w:p>
        </w:tc>
        <w:tc>
          <w:tcPr/>
          <w:p>
            <w:pPr>
              <w:pStyle w:val="Compact"/>
              <w:jc w:val="right"/>
            </w:pPr>
            <w:r>
              <w:t xml:space="preserve">4</w:t>
            </w:r>
          </w:p>
        </w:tc>
      </w:tr>
      <w:tr>
        <w:tc>
          <w:tcPr/>
          <w:p>
            <w:pPr>
              <w:pStyle w:val="Compact"/>
            </w:pPr>
            <w:r>
              <w:t xml:space="preserve">Internet &amp; Broadcasting</w:t>
            </w:r>
          </w:p>
        </w:tc>
        <w:tc>
          <w:tcPr/>
          <w:p>
            <w:pPr>
              <w:pStyle w:val="Compact"/>
              <w:jc w:val="right"/>
            </w:pPr>
            <w:r>
              <w:t xml:space="preserve">0.142 (p = .857)</w:t>
            </w:r>
          </w:p>
        </w:tc>
        <w:tc>
          <w:tcPr/>
          <w:p>
            <w:pPr>
              <w:pStyle w:val="Compact"/>
              <w:jc w:val="right"/>
            </w:pPr>
            <w:r>
              <w:t xml:space="preserve">0.161 (p = .667)</w:t>
            </w:r>
          </w:p>
        </w:tc>
        <w:tc>
          <w:tcPr/>
          <w:p>
            <w:pPr>
              <w:pStyle w:val="Compact"/>
              <w:jc w:val="right"/>
            </w:pPr>
            <w:r>
              <w:t xml:space="preserve">0.184 (p = .625)</w:t>
            </w:r>
          </w:p>
        </w:tc>
        <w:tc>
          <w:tcPr/>
          <w:p>
            <w:pPr>
              <w:pStyle w:val="Compact"/>
              <w:jc w:val="right"/>
            </w:pPr>
            <w:r>
              <w:t xml:space="preserve">0.021 (p = .941)</w:t>
            </w:r>
          </w:p>
        </w:tc>
        <w:tc>
          <w:tcPr/>
          <w:p>
            <w:pPr>
              <w:pStyle w:val="Compact"/>
              <w:jc w:val="right"/>
            </w:pPr>
            <w:r>
              <w:t xml:space="preserve">0.019 (p = .944)</w:t>
            </w:r>
          </w:p>
        </w:tc>
        <w:tc>
          <w:tcPr/>
          <w:p>
            <w:pPr>
              <w:pStyle w:val="Compact"/>
              <w:jc w:val="right"/>
            </w:pPr>
            <w:r>
              <w:t xml:space="preserve">-0.095 (p = .737)</w:t>
            </w:r>
          </w:p>
        </w:tc>
        <w:tc>
          <w:tcPr/>
          <w:p>
            <w:pPr>
              <w:pStyle w:val="Compact"/>
              <w:jc w:val="right"/>
            </w:pPr>
            <w:r>
              <w:t xml:space="preserve">-0.227 (p = .500)</w:t>
            </w:r>
          </w:p>
        </w:tc>
        <w:tc>
          <w:tcPr/>
          <w:p>
            <w:pPr>
              <w:pStyle w:val="Compact"/>
              <w:jc w:val="right"/>
            </w:pPr>
            <w:r>
              <w:t xml:space="preserve">-0.080 (p = .882)</w:t>
            </w:r>
          </w:p>
        </w:tc>
        <w:tc>
          <w:tcPr/>
          <w:p>
            <w:pPr>
              <w:pStyle w:val="Compact"/>
              <w:jc w:val="right"/>
            </w:pPr>
            <w:r>
              <w:t xml:space="preserve">-0.096 (p = .812)</w:t>
            </w:r>
          </w:p>
        </w:tc>
        <w:tc>
          <w:tcPr/>
          <w:p>
            <w:pPr>
              <w:pStyle w:val="Compact"/>
              <w:jc w:val="right"/>
            </w:pPr>
            <w:r>
              <w:t xml:space="preserve">0.064 (p = .933)</w:t>
            </w:r>
          </w:p>
        </w:tc>
        <w:tc>
          <w:tcPr/>
          <w:p>
            <w:pPr>
              <w:pStyle w:val="Compact"/>
              <w:jc w:val="right"/>
            </w:pPr>
            <w:r>
              <w:rPr>
                <w:b/>
                <w:bCs/>
              </w:rPr>
              <w:t xml:space="preserve">0.309 (p = .357)</w:t>
            </w:r>
          </w:p>
        </w:tc>
        <w:tc>
          <w:tcPr/>
          <w:p>
            <w:pPr>
              <w:pStyle w:val="Compact"/>
              <w:jc w:val="right"/>
            </w:pPr>
            <w:r>
              <w:t xml:space="preserve">5</w:t>
            </w:r>
          </w:p>
        </w:tc>
      </w:tr>
      <w:tr>
        <w:tc>
          <w:tcPr/>
          <w:p>
            <w:pPr>
              <w:pStyle w:val="Compact"/>
            </w:pPr>
            <w:r>
              <w:t xml:space="preserve">Mobility &amp; Transportation</w:t>
            </w:r>
          </w:p>
        </w:tc>
        <w:tc>
          <w:tcPr/>
          <w:p>
            <w:pPr>
              <w:pStyle w:val="Compact"/>
              <w:jc w:val="right"/>
            </w:pPr>
            <w:r>
              <w:t xml:space="preserve">-0.271 (p = .357)</w:t>
            </w:r>
          </w:p>
        </w:tc>
        <w:tc>
          <w:tcPr/>
          <w:p>
            <w:pPr>
              <w:pStyle w:val="Compact"/>
              <w:jc w:val="right"/>
            </w:pPr>
            <w:r>
              <w:t xml:space="preserve">0.113 (p = .800)</w:t>
            </w:r>
          </w:p>
        </w:tc>
        <w:tc>
          <w:tcPr/>
          <w:p>
            <w:pPr>
              <w:pStyle w:val="Compact"/>
              <w:jc w:val="right"/>
            </w:pPr>
            <w:r>
              <w:rPr>
                <w:b/>
                <w:bCs/>
              </w:rPr>
              <w:t xml:space="preserve">0.198 (p = .188)</w:t>
            </w:r>
          </w:p>
        </w:tc>
        <w:tc>
          <w:tcPr/>
          <w:p>
            <w:pPr>
              <w:pStyle w:val="Compact"/>
              <w:jc w:val="right"/>
            </w:pPr>
            <w:r>
              <w:t xml:space="preserve">0.024 (p = .882)</w:t>
            </w:r>
          </w:p>
        </w:tc>
        <w:tc>
          <w:tcPr/>
          <w:p>
            <w:pPr>
              <w:pStyle w:val="Compact"/>
              <w:jc w:val="right"/>
            </w:pPr>
            <w:r>
              <w:t xml:space="preserve">-0.022 (p = .833)</w:t>
            </w:r>
          </w:p>
        </w:tc>
        <w:tc>
          <w:tcPr/>
          <w:p>
            <w:pPr>
              <w:pStyle w:val="Compact"/>
              <w:jc w:val="right"/>
            </w:pPr>
            <w:r>
              <w:t xml:space="preserve">-0.203 (p = .158)</w:t>
            </w:r>
          </w:p>
        </w:tc>
        <w:tc>
          <w:tcPr/>
          <w:p>
            <w:pPr>
              <w:pStyle w:val="Compact"/>
              <w:jc w:val="right"/>
            </w:pPr>
            <w:r>
              <w:t xml:space="preserve">-0.199 (p = .222)</w:t>
            </w:r>
          </w:p>
        </w:tc>
        <w:tc>
          <w:tcPr/>
          <w:p>
            <w:pPr>
              <w:pStyle w:val="Compact"/>
              <w:jc w:val="right"/>
            </w:pPr>
            <w:r>
              <w:t xml:space="preserve">-0.109 (p = .647)</w:t>
            </w:r>
          </w:p>
        </w:tc>
        <w:tc>
          <w:tcPr/>
          <w:p>
            <w:pPr>
              <w:pStyle w:val="Compact"/>
              <w:jc w:val="right"/>
            </w:pPr>
            <w:r>
              <w:t xml:space="preserve">-0.132 (p = .688)</w:t>
            </w:r>
          </w:p>
        </w:tc>
        <w:tc>
          <w:tcPr/>
          <w:p>
            <w:pPr>
              <w:pStyle w:val="Compact"/>
              <w:jc w:val="right"/>
            </w:pPr>
            <w:r>
              <w:t xml:space="preserve">-0.225 (p = .467)</w:t>
            </w:r>
          </w:p>
        </w:tc>
        <w:tc>
          <w:tcPr/>
          <w:p>
            <w:pPr>
              <w:pStyle w:val="Compact"/>
              <w:jc w:val="right"/>
            </w:pPr>
            <w:r>
              <w:t xml:space="preserve">-0.064 (p = .929)</w:t>
            </w:r>
          </w:p>
        </w:tc>
        <w:tc>
          <w:tcPr/>
          <w:p>
            <w:pPr>
              <w:pStyle w:val="Compact"/>
              <w:jc w:val="right"/>
            </w:pPr>
            <w:r>
              <w:t xml:space="preserve">-3</w:t>
            </w:r>
          </w:p>
        </w:tc>
      </w:tr>
      <w:tr>
        <w:tc>
          <w:tcPr/>
          <w:p>
            <w:pPr>
              <w:pStyle w:val="Compact"/>
            </w:pPr>
            <w:r>
              <w:t xml:space="preserve">Search &amp; Advertising</w:t>
            </w:r>
          </w:p>
        </w:tc>
        <w:tc>
          <w:tcPr/>
          <w:p>
            <w:pPr>
              <w:pStyle w:val="Compact"/>
              <w:jc w:val="right"/>
            </w:pPr>
            <w:r>
              <w:t xml:space="preserve">0.443 (p = .071)</w:t>
            </w:r>
          </w:p>
        </w:tc>
        <w:tc>
          <w:tcPr/>
          <w:p>
            <w:pPr>
              <w:pStyle w:val="Compact"/>
              <w:jc w:val="right"/>
            </w:pPr>
            <w:r>
              <w:t xml:space="preserve">0.547 (p = .067)</w:t>
            </w:r>
          </w:p>
        </w:tc>
        <w:tc>
          <w:tcPr/>
          <w:p>
            <w:pPr>
              <w:pStyle w:val="Compact"/>
              <w:jc w:val="right"/>
            </w:pPr>
            <w:r>
              <w:t xml:space="preserve">0.482 (p = .062)</w:t>
            </w:r>
          </w:p>
        </w:tc>
        <w:tc>
          <w:tcPr/>
          <w:p>
            <w:pPr>
              <w:pStyle w:val="Compact"/>
              <w:jc w:val="right"/>
            </w:pPr>
            <w:r>
              <w:t xml:space="preserve">0.515 (p = .059)</w:t>
            </w:r>
          </w:p>
        </w:tc>
        <w:tc>
          <w:tcPr/>
          <w:p>
            <w:pPr>
              <w:pStyle w:val="Compact"/>
              <w:jc w:val="right"/>
            </w:pPr>
            <w:r>
              <w:t xml:space="preserve">0.520 (p = .056)</w:t>
            </w:r>
          </w:p>
        </w:tc>
        <w:tc>
          <w:tcPr/>
          <w:p>
            <w:pPr>
              <w:pStyle w:val="Compact"/>
              <w:jc w:val="right"/>
            </w:pPr>
            <w:r>
              <w:rPr>
                <w:b/>
                <w:bCs/>
              </w:rPr>
              <w:t xml:space="preserve">0.686 (p = .053)</w:t>
            </w:r>
          </w:p>
        </w:tc>
        <w:tc>
          <w:tcPr/>
          <w:p>
            <w:pPr>
              <w:pStyle w:val="Compact"/>
              <w:jc w:val="right"/>
            </w:pPr>
            <w:r>
              <w:t xml:space="preserve">0.381 (p = .278)</w:t>
            </w:r>
          </w:p>
        </w:tc>
        <w:tc>
          <w:tcPr/>
          <w:p>
            <w:pPr>
              <w:pStyle w:val="Compact"/>
              <w:jc w:val="right"/>
            </w:pPr>
            <w:r>
              <w:t xml:space="preserve">0.137 (p = .647)</w:t>
            </w:r>
          </w:p>
        </w:tc>
        <w:tc>
          <w:tcPr/>
          <w:p>
            <w:pPr>
              <w:pStyle w:val="Compact"/>
              <w:jc w:val="right"/>
            </w:pPr>
            <w:r>
              <w:t xml:space="preserve">0.468 (p = .188)</w:t>
            </w:r>
          </w:p>
        </w:tc>
        <w:tc>
          <w:tcPr/>
          <w:p>
            <w:pPr>
              <w:pStyle w:val="Compact"/>
              <w:jc w:val="right"/>
            </w:pPr>
            <w:r>
              <w:t xml:space="preserve">0.467 (p = .200)</w:t>
            </w:r>
          </w:p>
        </w:tc>
        <w:tc>
          <w:tcPr/>
          <w:p>
            <w:pPr>
              <w:pStyle w:val="Compact"/>
              <w:jc w:val="right"/>
            </w:pPr>
            <w:r>
              <w:t xml:space="preserve">0.630 (p = .071)</w:t>
            </w:r>
          </w:p>
        </w:tc>
        <w:tc>
          <w:tcPr/>
          <w:p>
            <w:pPr>
              <w:pStyle w:val="Compact"/>
              <w:jc w:val="right"/>
            </w:pPr>
            <w:r>
              <w:t xml:space="preserve">0</w:t>
            </w:r>
          </w:p>
        </w:tc>
      </w:tr>
      <w:tr>
        <w:tc>
          <w:tcPr/>
          <w:p>
            <w:pPr>
              <w:pStyle w:val="Compact"/>
            </w:pPr>
            <w:r>
              <w:t xml:space="preserve">Smartphones &amp; Apps</w:t>
            </w:r>
          </w:p>
        </w:tc>
        <w:tc>
          <w:tcPr/>
          <w:p>
            <w:pPr>
              <w:pStyle w:val="Compact"/>
              <w:jc w:val="right"/>
            </w:pPr>
            <w:r>
              <w:t xml:space="preserve">-0.469 (p = .143)</w:t>
            </w:r>
          </w:p>
        </w:tc>
        <w:tc>
          <w:tcPr/>
          <w:p>
            <w:pPr>
              <w:pStyle w:val="Compact"/>
              <w:jc w:val="right"/>
            </w:pPr>
            <w:r>
              <w:t xml:space="preserve">-0.522 (p = .133)</w:t>
            </w:r>
          </w:p>
        </w:tc>
        <w:tc>
          <w:tcPr/>
          <w:p>
            <w:pPr>
              <w:pStyle w:val="Compact"/>
              <w:jc w:val="right"/>
            </w:pPr>
            <w:r>
              <w:t xml:space="preserve">-0.349 (p = .438)</w:t>
            </w:r>
          </w:p>
        </w:tc>
        <w:tc>
          <w:tcPr/>
          <w:p>
            <w:pPr>
              <w:pStyle w:val="Compact"/>
              <w:jc w:val="right"/>
            </w:pPr>
            <w:r>
              <w:t xml:space="preserve">-0.167 (p = .824)</w:t>
            </w:r>
          </w:p>
        </w:tc>
        <w:tc>
          <w:tcPr/>
          <w:p>
            <w:pPr>
              <w:pStyle w:val="Compact"/>
              <w:jc w:val="right"/>
            </w:pPr>
            <w:r>
              <w:t xml:space="preserve">0.040 (p = 1.000)</w:t>
            </w:r>
          </w:p>
        </w:tc>
        <w:tc>
          <w:tcPr/>
          <w:p>
            <w:pPr>
              <w:pStyle w:val="Compact"/>
              <w:jc w:val="right"/>
            </w:pPr>
            <w:r>
              <w:t xml:space="preserve">0.108 (p = .895)</w:t>
            </w:r>
          </w:p>
        </w:tc>
        <w:tc>
          <w:tcPr/>
          <w:p>
            <w:pPr>
              <w:pStyle w:val="Compact"/>
              <w:jc w:val="right"/>
            </w:pPr>
            <w:r>
              <w:t xml:space="preserve">0.181 (p = .833)</w:t>
            </w:r>
          </w:p>
        </w:tc>
        <w:tc>
          <w:tcPr/>
          <w:p>
            <w:pPr>
              <w:pStyle w:val="Compact"/>
              <w:jc w:val="right"/>
            </w:pPr>
            <w:r>
              <w:t xml:space="preserve">0.285 (p = .647)</w:t>
            </w:r>
          </w:p>
        </w:tc>
        <w:tc>
          <w:tcPr/>
          <w:p>
            <w:pPr>
              <w:pStyle w:val="Compact"/>
              <w:jc w:val="right"/>
            </w:pPr>
            <w:r>
              <w:t xml:space="preserve">0.391 (p = .562)</w:t>
            </w:r>
          </w:p>
        </w:tc>
        <w:tc>
          <w:tcPr/>
          <w:p>
            <w:pPr>
              <w:pStyle w:val="Compact"/>
              <w:jc w:val="right"/>
            </w:pPr>
            <w:r>
              <w:t xml:space="preserve">0.424 (p = .533)</w:t>
            </w:r>
          </w:p>
        </w:tc>
        <w:tc>
          <w:tcPr/>
          <w:p>
            <w:pPr>
              <w:pStyle w:val="Compact"/>
              <w:jc w:val="right"/>
            </w:pPr>
            <w:r>
              <w:rPr>
                <w:b/>
                <w:bCs/>
              </w:rPr>
              <w:t xml:space="preserve">0.532 (p = .357)</w:t>
            </w:r>
          </w:p>
        </w:tc>
        <w:tc>
          <w:tcPr/>
          <w:p>
            <w:pPr>
              <w:pStyle w:val="Compact"/>
              <w:jc w:val="right"/>
            </w:pPr>
            <w:r>
              <w:t xml:space="preserve">5</w:t>
            </w:r>
          </w:p>
        </w:tc>
      </w:tr>
      <w:tr>
        <w:tc>
          <w:tcPr/>
          <w:p>
            <w:pPr>
              <w:pStyle w:val="Compact"/>
            </w:pPr>
            <w:r>
              <w:t xml:space="preserve">Social Media</w:t>
            </w:r>
          </w:p>
        </w:tc>
        <w:tc>
          <w:tcPr/>
          <w:p>
            <w:pPr>
              <w:pStyle w:val="Compact"/>
              <w:jc w:val="right"/>
            </w:pPr>
            <w:r>
              <w:t xml:space="preserve">-0.078 (p = .929)</w:t>
            </w:r>
          </w:p>
        </w:tc>
        <w:tc>
          <w:tcPr/>
          <w:p>
            <w:pPr>
              <w:pStyle w:val="Compact"/>
              <w:jc w:val="right"/>
            </w:pPr>
            <w:r>
              <w:t xml:space="preserve">-0.065 (p = .867)</w:t>
            </w:r>
          </w:p>
        </w:tc>
        <w:tc>
          <w:tcPr/>
          <w:p>
            <w:pPr>
              <w:pStyle w:val="Compact"/>
              <w:jc w:val="right"/>
            </w:pPr>
            <w:r>
              <w:t xml:space="preserve">0.111 (p = .750)</w:t>
            </w:r>
          </w:p>
        </w:tc>
        <w:tc>
          <w:tcPr/>
          <w:p>
            <w:pPr>
              <w:pStyle w:val="Compact"/>
              <w:jc w:val="right"/>
            </w:pPr>
            <w:r>
              <w:t xml:space="preserve">0.155 (p = .706)</w:t>
            </w:r>
          </w:p>
        </w:tc>
        <w:tc>
          <w:tcPr/>
          <w:p>
            <w:pPr>
              <w:pStyle w:val="Compact"/>
              <w:jc w:val="right"/>
            </w:pPr>
            <w:r>
              <w:t xml:space="preserve">0.047 (p = .833)</w:t>
            </w:r>
          </w:p>
        </w:tc>
        <w:tc>
          <w:tcPr/>
          <w:p>
            <w:pPr>
              <w:pStyle w:val="Compact"/>
              <w:jc w:val="right"/>
            </w:pPr>
            <w:r>
              <w:t xml:space="preserve">0.027 (p = .895)</w:t>
            </w:r>
          </w:p>
        </w:tc>
        <w:tc>
          <w:tcPr/>
          <w:p>
            <w:pPr>
              <w:pStyle w:val="Compact"/>
              <w:jc w:val="right"/>
            </w:pPr>
            <w:r>
              <w:t xml:space="preserve">-0.099 (p = .722)</w:t>
            </w:r>
          </w:p>
        </w:tc>
        <w:tc>
          <w:tcPr/>
          <w:p>
            <w:pPr>
              <w:pStyle w:val="Compact"/>
              <w:jc w:val="right"/>
            </w:pPr>
            <w:r>
              <w:t xml:space="preserve">-0.203 (p = .294)</w:t>
            </w:r>
          </w:p>
        </w:tc>
        <w:tc>
          <w:tcPr/>
          <w:p>
            <w:pPr>
              <w:pStyle w:val="Compact"/>
              <w:jc w:val="right"/>
            </w:pPr>
            <w:r>
              <w:t xml:space="preserve">-0.030 (p = .938)</w:t>
            </w:r>
          </w:p>
        </w:tc>
        <w:tc>
          <w:tcPr/>
          <w:p>
            <w:pPr>
              <w:pStyle w:val="Compact"/>
              <w:jc w:val="right"/>
            </w:pPr>
            <w:r>
              <w:rPr>
                <w:b/>
                <w:bCs/>
              </w:rPr>
              <w:t xml:space="preserve">0.214 (p = .600)</w:t>
            </w:r>
          </w:p>
        </w:tc>
        <w:tc>
          <w:tcPr/>
          <w:p>
            <w:pPr>
              <w:pStyle w:val="Compact"/>
              <w:jc w:val="right"/>
            </w:pPr>
            <w:r>
              <w:t xml:space="preserve">0.025 (p = 1.000)</w:t>
            </w:r>
          </w:p>
        </w:tc>
        <w:tc>
          <w:tcPr/>
          <w:p>
            <w:pPr>
              <w:pStyle w:val="Compact"/>
              <w:jc w:val="right"/>
            </w:pPr>
            <w:r>
              <w:t xml:space="preserve">4</w:t>
            </w:r>
          </w:p>
        </w:tc>
      </w:tr>
      <w:tr>
        <w:tc>
          <w:tcPr/>
          <w:p>
            <w:pPr>
              <w:pStyle w:val="Compact"/>
            </w:pPr>
            <w:r>
              <w:t xml:space="preserve">Streaming, Audio &amp; Video</w:t>
            </w:r>
          </w:p>
        </w:tc>
        <w:tc>
          <w:tcPr/>
          <w:p>
            <w:pPr>
              <w:pStyle w:val="Compact"/>
              <w:jc w:val="right"/>
            </w:pPr>
            <w:r>
              <w:t xml:space="preserve">-0.271 (p = .357)</w:t>
            </w:r>
          </w:p>
        </w:tc>
        <w:tc>
          <w:tcPr/>
          <w:p>
            <w:pPr>
              <w:pStyle w:val="Compact"/>
              <w:jc w:val="right"/>
            </w:pPr>
            <w:r>
              <w:t xml:space="preserve">-0.218 (p = .400)</w:t>
            </w:r>
          </w:p>
        </w:tc>
        <w:tc>
          <w:tcPr/>
          <w:p>
            <w:pPr>
              <w:pStyle w:val="Compact"/>
              <w:jc w:val="right"/>
            </w:pPr>
            <w:r>
              <w:t xml:space="preserve">-0.055 (p = .750)</w:t>
            </w:r>
          </w:p>
        </w:tc>
        <w:tc>
          <w:tcPr/>
          <w:p>
            <w:pPr>
              <w:pStyle w:val="Compact"/>
              <w:jc w:val="right"/>
            </w:pPr>
            <w:r>
              <w:t xml:space="preserve">0.168 (p = .588)</w:t>
            </w:r>
          </w:p>
        </w:tc>
        <w:tc>
          <w:tcPr/>
          <w:p>
            <w:pPr>
              <w:pStyle w:val="Compact"/>
              <w:jc w:val="right"/>
            </w:pPr>
            <w:r>
              <w:t xml:space="preserve">0.240 (p = .222)</w:t>
            </w:r>
          </w:p>
        </w:tc>
        <w:tc>
          <w:tcPr/>
          <w:p>
            <w:pPr>
              <w:pStyle w:val="Compact"/>
              <w:jc w:val="right"/>
            </w:pPr>
            <w:r>
              <w:t xml:space="preserve">0.284 (p = .211)</w:t>
            </w:r>
          </w:p>
        </w:tc>
        <w:tc>
          <w:tcPr/>
          <w:p>
            <w:pPr>
              <w:pStyle w:val="Compact"/>
              <w:jc w:val="right"/>
            </w:pPr>
            <w:r>
              <w:rPr>
                <w:b/>
                <w:bCs/>
              </w:rPr>
              <w:t xml:space="preserve">0.340 (p = .167)</w:t>
            </w:r>
          </w:p>
        </w:tc>
        <w:tc>
          <w:tcPr/>
          <w:p>
            <w:pPr>
              <w:pStyle w:val="Compact"/>
              <w:jc w:val="right"/>
            </w:pPr>
            <w:r>
              <w:t xml:space="preserve">0.269 (p = .294)</w:t>
            </w:r>
          </w:p>
        </w:tc>
        <w:tc>
          <w:tcPr/>
          <w:p>
            <w:pPr>
              <w:pStyle w:val="Compact"/>
              <w:jc w:val="right"/>
            </w:pPr>
            <w:r>
              <w:t xml:space="preserve">0.153 (p = .562)</w:t>
            </w:r>
          </w:p>
        </w:tc>
        <w:tc>
          <w:tcPr/>
          <w:p>
            <w:pPr>
              <w:pStyle w:val="Compact"/>
              <w:jc w:val="right"/>
            </w:pPr>
            <w:r>
              <w:t xml:space="preserve">0.226 (p = .333)</w:t>
            </w:r>
          </w:p>
        </w:tc>
        <w:tc>
          <w:tcPr/>
          <w:p>
            <w:pPr>
              <w:pStyle w:val="Compact"/>
              <w:jc w:val="right"/>
            </w:pPr>
            <w:r>
              <w:t xml:space="preserve">0.197 (p = .571)</w:t>
            </w:r>
          </w:p>
        </w:tc>
        <w:tc>
          <w:tcPr/>
          <w:p>
            <w:pPr>
              <w:pStyle w:val="Compact"/>
              <w:jc w:val="right"/>
            </w:pPr>
            <w:r>
              <w:t xml:space="preserve">1</w:t>
            </w:r>
          </w:p>
        </w:tc>
      </w:tr>
      <w:tr>
        <w:tc>
          <w:tcPr/>
          <w:p>
            <w:pPr>
              <w:pStyle w:val="Compact"/>
            </w:pPr>
            <w:r>
              <w:t xml:space="preserve">Tracking &amp; Wearables</w:t>
            </w:r>
          </w:p>
        </w:tc>
        <w:tc>
          <w:tcPr/>
          <w:p>
            <w:pPr>
              <w:pStyle w:val="Compact"/>
              <w:jc w:val="right"/>
            </w:pPr>
            <w:r>
              <w:rPr>
                <w:b/>
                <w:bCs/>
              </w:rPr>
              <w:t xml:space="preserve">0.444 (p = .143)</w:t>
            </w:r>
          </w:p>
        </w:tc>
        <w:tc>
          <w:tcPr/>
          <w:p>
            <w:pPr>
              <w:pStyle w:val="Compact"/>
              <w:jc w:val="right"/>
            </w:pPr>
            <w:r>
              <w:t xml:space="preserve">0.374 (p = .267)</w:t>
            </w:r>
          </w:p>
        </w:tc>
        <w:tc>
          <w:tcPr/>
          <w:p>
            <w:pPr>
              <w:pStyle w:val="Compact"/>
              <w:jc w:val="right"/>
            </w:pPr>
            <w:r>
              <w:t xml:space="preserve">-0.112 (p = .750)</w:t>
            </w:r>
          </w:p>
        </w:tc>
        <w:tc>
          <w:tcPr/>
          <w:p>
            <w:pPr>
              <w:pStyle w:val="Compact"/>
              <w:jc w:val="right"/>
            </w:pPr>
            <w:r>
              <w:t xml:space="preserve">-0.062 (p = .824)</w:t>
            </w:r>
          </w:p>
        </w:tc>
        <w:tc>
          <w:tcPr/>
          <w:p>
            <w:pPr>
              <w:pStyle w:val="Compact"/>
              <w:jc w:val="right"/>
            </w:pPr>
            <w:r>
              <w:t xml:space="preserve">-0.042 (p = .778)</w:t>
            </w:r>
          </w:p>
        </w:tc>
        <w:tc>
          <w:tcPr/>
          <w:p>
            <w:pPr>
              <w:pStyle w:val="Compact"/>
              <w:jc w:val="right"/>
            </w:pPr>
            <w:r>
              <w:t xml:space="preserve">0.307 (p = .211)</w:t>
            </w:r>
          </w:p>
        </w:tc>
        <w:tc>
          <w:tcPr/>
          <w:p>
            <w:pPr>
              <w:pStyle w:val="Compact"/>
              <w:jc w:val="right"/>
            </w:pPr>
            <w:r>
              <w:t xml:space="preserve">0.375 (p = .111)</w:t>
            </w:r>
          </w:p>
        </w:tc>
        <w:tc>
          <w:tcPr/>
          <w:p>
            <w:pPr>
              <w:pStyle w:val="Compact"/>
              <w:jc w:val="right"/>
            </w:pPr>
            <w:r>
              <w:t xml:space="preserve">-0.200 (p = .412)</w:t>
            </w:r>
          </w:p>
        </w:tc>
        <w:tc>
          <w:tcPr/>
          <w:p>
            <w:pPr>
              <w:pStyle w:val="Compact"/>
              <w:jc w:val="right"/>
            </w:pPr>
            <w:r>
              <w:t xml:space="preserve">-0.219 (p = .250)</w:t>
            </w:r>
          </w:p>
        </w:tc>
        <w:tc>
          <w:tcPr/>
          <w:p>
            <w:pPr>
              <w:pStyle w:val="Compact"/>
              <w:jc w:val="right"/>
            </w:pPr>
            <w:r>
              <w:t xml:space="preserve">-0.128 (p = .600)</w:t>
            </w:r>
          </w:p>
        </w:tc>
        <w:tc>
          <w:tcPr/>
          <w:p>
            <w:pPr>
              <w:pStyle w:val="Compact"/>
              <w:jc w:val="right"/>
            </w:pPr>
            <w:r>
              <w:t xml:space="preserve">-0.202 (p = .500)</w:t>
            </w:r>
          </w:p>
        </w:tc>
        <w:tc>
          <w:tcPr/>
          <w:p>
            <w:pPr>
              <w:pStyle w:val="Compact"/>
              <w:jc w:val="right"/>
            </w:pPr>
            <w:r>
              <w:t xml:space="preserve">-5</w:t>
            </w:r>
          </w:p>
        </w:tc>
      </w:tr>
      <w:tr>
        <w:tc>
          <w:tcPr/>
          <w:p>
            <w:pPr>
              <w:pStyle w:val="Compact"/>
            </w:pPr>
            <w:r>
              <w:t xml:space="preserve">Other</w:t>
            </w:r>
          </w:p>
        </w:tc>
        <w:tc>
          <w:tcPr/>
          <w:p>
            <w:pPr>
              <w:pStyle w:val="Compact"/>
              <w:jc w:val="right"/>
            </w:pPr>
            <w:r>
              <w:t xml:space="preserve">-0.162 (p = .286)</w:t>
            </w:r>
          </w:p>
        </w:tc>
        <w:tc>
          <w:tcPr/>
          <w:p>
            <w:pPr>
              <w:pStyle w:val="Compact"/>
              <w:jc w:val="right"/>
            </w:pPr>
            <w:r>
              <w:t xml:space="preserve">0.063 (p = .800)</w:t>
            </w:r>
          </w:p>
        </w:tc>
        <w:tc>
          <w:tcPr/>
          <w:p>
            <w:pPr>
              <w:pStyle w:val="Compact"/>
              <w:jc w:val="right"/>
            </w:pPr>
            <w:r>
              <w:t xml:space="preserve">0.112 (p = .500)</w:t>
            </w:r>
          </w:p>
        </w:tc>
        <w:tc>
          <w:tcPr/>
          <w:p>
            <w:pPr>
              <w:pStyle w:val="Compact"/>
              <w:jc w:val="right"/>
            </w:pPr>
            <w:r>
              <w:t xml:space="preserve">-0.086 (p = .588)</w:t>
            </w:r>
          </w:p>
        </w:tc>
        <w:tc>
          <w:tcPr/>
          <w:p>
            <w:pPr>
              <w:pStyle w:val="Compact"/>
              <w:jc w:val="right"/>
            </w:pPr>
            <w:r>
              <w:rPr>
                <w:b/>
                <w:bCs/>
              </w:rPr>
              <w:t xml:space="preserve">0.162 (p = .278)</w:t>
            </w:r>
          </w:p>
        </w:tc>
        <w:tc>
          <w:tcPr/>
          <w:p>
            <w:pPr>
              <w:pStyle w:val="Compact"/>
              <w:jc w:val="right"/>
            </w:pPr>
            <w:r>
              <w:t xml:space="preserve">-0.033 (p = .737)</w:t>
            </w:r>
          </w:p>
        </w:tc>
        <w:tc>
          <w:tcPr/>
          <w:p>
            <w:pPr>
              <w:pStyle w:val="Compact"/>
              <w:jc w:val="right"/>
            </w:pPr>
            <w:r>
              <w:t xml:space="preserve">-0.075 (p = .556)</w:t>
            </w:r>
          </w:p>
        </w:tc>
        <w:tc>
          <w:tcPr/>
          <w:p>
            <w:pPr>
              <w:pStyle w:val="Compact"/>
              <w:jc w:val="right"/>
            </w:pPr>
            <w:r>
              <w:t xml:space="preserve">-0.105 (p = .471)</w:t>
            </w:r>
          </w:p>
        </w:tc>
        <w:tc>
          <w:tcPr/>
          <w:p>
            <w:pPr>
              <w:pStyle w:val="Compact"/>
              <w:jc w:val="right"/>
            </w:pPr>
            <w:r>
              <w:t xml:space="preserve">-0.058 (p = .750)</w:t>
            </w:r>
          </w:p>
        </w:tc>
        <w:tc>
          <w:tcPr/>
          <w:p>
            <w:pPr>
              <w:pStyle w:val="Compact"/>
              <w:jc w:val="right"/>
            </w:pPr>
            <w:r>
              <w:t xml:space="preserve">-0.154 (p = .200)</w:t>
            </w:r>
          </w:p>
        </w:tc>
        <w:tc>
          <w:tcPr/>
          <w:p>
            <w:pPr>
              <w:pStyle w:val="Compact"/>
              <w:jc w:val="right"/>
            </w:pPr>
            <w:r>
              <w:t xml:space="preserve">-0.040 (p = .857)</w:t>
            </w:r>
          </w:p>
        </w:tc>
        <w:tc>
          <w:tcPr/>
          <w:p>
            <w:pPr>
              <w:pStyle w:val="Compact"/>
              <w:jc w:val="right"/>
            </w:pPr>
            <w:r>
              <w:t xml:space="preserve">-1</w:t>
            </w:r>
          </w:p>
        </w:tc>
      </w:tr>
    </w:tbl>
    <w:bookmarkEnd w:id="62"/>
    <w:bookmarkEnd w:id="63"/>
    <w:p>
      <w:pPr>
        <w:sectPr>
          <w:pgSz w:h="11906" w:w="16838" w:orient="landscape"/>
        </w:sectPr>
      </w:pPr>
    </w:p>
    <w:bookmarkEnd w:id="64"/>
    <w:bookmarkStart w:id="65" w:name="the-case-of-generative-ai-2"/>
    <w:p>
      <w:pPr>
        <w:pStyle w:val="Heading3"/>
      </w:pPr>
      <w:r>
        <w:t xml:space="preserve">The case of Generative AI</w:t>
      </w:r>
    </w:p>
    <w:p>
      <w:pPr>
        <w:pStyle w:val="FirstParagraph"/>
      </w:pPr>
      <w:r>
        <w:t xml:space="preserve">Generative AI is the cluster with the largest academic over-representation, holding the largest academic share of any cluster (</w:t>
      </w:r>
      <m:oMath>
        <m:r>
          <m:t>14.1</m:t>
        </m:r>
        <m:r>
          <m:rPr>
            <m:sty m:val="p"/>
          </m:rPr>
          <m:t>%</m:t>
        </m:r>
      </m:oMath>
      <w:r>
        <w:t xml:space="preserve"> </w:t>
      </w:r>
      <w:r>
        <w:t xml:space="preserve">overall, and</w:t>
      </w:r>
      <w:r>
        <w:t xml:space="preserve"> </w:t>
      </w:r>
      <m:oMath>
        <m:r>
          <m:t>30.2</m:t>
        </m:r>
        <m:r>
          <m:rPr>
            <m:sty m:val="p"/>
          </m:rPr>
          <m:t>%</m:t>
        </m:r>
      </m:oMath>
      <w:r>
        <w:t xml:space="preserve"> </w:t>
      </w:r>
      <w:r>
        <w:t xml:space="preserve">at its current peak annual share in 2026, see</w:t>
      </w:r>
      <w:r>
        <w:t xml:space="preserve"> </w:t>
      </w:r>
      <w:hyperlink w:anchor="tbl-peaks">
        <w:r>
          <w:rPr>
            <w:rStyle w:val="Hyperlink"/>
          </w:rPr>
          <w:t xml:space="preserve">Table 1</w:t>
        </w:r>
      </w:hyperlink>
      <w:r>
        <w:t xml:space="preserve">) and the largest positive gap of any cluster (</w:t>
      </w:r>
      <m:oMath>
        <m:r>
          <m:rPr>
            <m:sty m:val="p"/>
          </m:rPr>
          <m:t>+</m:t>
        </m:r>
        <m:r>
          <m:t>10.1</m:t>
        </m:r>
      </m:oMath>
      <w:r>
        <w:t xml:space="preserve"> </w:t>
      </w:r>
      <w:r>
        <w:t xml:space="preserve">pp,</w:t>
      </w:r>
      <w:r>
        <w:t xml:space="preserve"> </w:t>
      </w:r>
      <m:oMath>
        <m:r>
          <m:t>q</m:t>
        </m:r>
        <m:r>
          <m:rPr>
            <m:sty m:val="p"/>
          </m:rPr>
          <m:t>&lt;</m:t>
        </m:r>
        <m:r>
          <m:t>.001</m:t>
        </m:r>
      </m:oMath>
      <w:r>
        <w:t xml:space="preserve">). Media attention towards Generative AI has rapidly increased in recent years, but not at the pace seen in our corpus, where it became the most discussed cluster overall and more dominant still in the current publication agenda. It is also the only cluster whose annual academic and media series correlate above</w:t>
      </w:r>
      <w:r>
        <w:t xml:space="preserve"> </w:t>
      </w:r>
      <m:oMath>
        <m:r>
          <m:t>.65</m:t>
        </m:r>
      </m:oMath>
      <w:r>
        <w:t xml:space="preserve"> </w:t>
      </w:r>
      <w:r>
        <w:t xml:space="preserve">at every lag examined, from</w:t>
      </w:r>
      <w:r>
        <w:t xml:space="preserve"> </w:t>
      </w:r>
      <m:oMath>
        <m:r>
          <m:t>.657</m:t>
        </m:r>
      </m:oMath>
      <w:r>
        <w:t xml:space="preserve"> </w:t>
      </w:r>
      <w:r>
        <w:t xml:space="preserve">to</w:t>
      </w:r>
      <w:r>
        <w:t xml:space="preserve"> </w:t>
      </w:r>
      <m:oMath>
        <m:r>
          <m:t>.905</m:t>
        </m:r>
      </m:oMath>
      <w:r>
        <w:t xml:space="preserve">, against a maximum of</w:t>
      </w:r>
      <w:r>
        <w:t xml:space="preserve"> </w:t>
      </w:r>
      <m:oMath>
        <m:r>
          <m:t>.724</m:t>
        </m:r>
      </m:oMath>
      <w:r>
        <w:t xml:space="preserve"> </w:t>
      </w:r>
      <w:r>
        <w:t xml:space="preserve">for any other cluster, indicating that the two trajectories rise together rather than one tracking the other.</w:t>
      </w:r>
    </w:p>
    <w:p>
      <w:r>
        <w:br w:type="page"/>
      </w:r>
    </w:p>
    <w:bookmarkEnd w:id="65"/>
    <w:bookmarkEnd w:id="66"/>
    <w:bookmarkEnd w:id="67"/>
    <w:bookmarkStart w:id="69" w:name="general-discussion"/>
    <w:p>
      <w:pPr>
        <w:pStyle w:val="Heading1"/>
      </w:pPr>
      <w:r>
        <w:t xml:space="preserve">General Discussion</w:t>
      </w:r>
    </w:p>
    <w:p>
      <w:pPr>
        <w:pStyle w:val="FirstParagraph"/>
      </w:pPr>
      <w:r>
        <w:t xml:space="preserve">In this study, we build a comprehensive overview of consumer technology research across the past 26 years and seven leading marketing journals (Analysis 1). We find that consumer technology research moves in distinct waves across sixteen technology clusters, with various technologies dominating academic attention at different times. Since 2022, Generative AI has become the most discussed and largest consumer technology cluster, both in absolute number of articles and in relative share at the current point in time.</w:t>
      </w:r>
    </w:p>
    <w:p>
      <w:pPr>
        <w:pStyle w:val="BodyText"/>
      </w:pPr>
      <w:r>
        <w:t xml:space="preserve">We find that research on specific clusters of consumer technologies largely relies on publications within its own cluster and journal (Analysis 2), but nevertheless is substantively interconnected across clusters. Co-citation analyses reveal strong anchors of consumer technology research in questions surrounding Algorithm and AI Perception, and Online Virality and Word of Mouth; and extend to other themes such as advertising and sponsoring, or relationships and engagement. Generative AI departs from both overall patterns in meaningful ways: While it mostly builds on its own literature within marketing journals, other technology clusters allocate a comparatively larger share of their references to Generative AI, indicating that the interconnectedness discussion of Generative AI with other technologies is currently one-sided. Analyzing the intellectual foundation of Generative AI, our data further suggests that research on this technology currently primarily concerns itself with its perception and acceptance.</w:t>
      </w:r>
    </w:p>
    <w:p>
      <w:pPr>
        <w:pStyle w:val="BodyText"/>
      </w:pPr>
      <w:r>
        <w:t xml:space="preserve">Academic attention has so far only weakly aligned with public attention (Analysis 3): although the relative attention assigned to technologies is moderately correlated across the two corpora, their temporal relationships are weak. Generative AI departs from this historical pattern, carrying the largest academic over-representation of any cluster, and being the only cluster whose academic and media attention correlate highly across time.</w:t>
      </w:r>
    </w:p>
    <w:bookmarkStart w:id="68" w:name="the-case-of-generative-ai-3"/>
    <w:p>
      <w:pPr>
        <w:pStyle w:val="Heading2"/>
      </w:pPr>
      <w:r>
        <w:t xml:space="preserve">The case of Generative AI</w:t>
      </w:r>
    </w:p>
    <w:p>
      <w:pPr>
        <w:pStyle w:val="FirstParagraph"/>
      </w:pPr>
      <w:r>
        <w:t xml:space="preserve">Across three analyses, we discuss the case of Generative AI in contrast to earlier consumer technologies. We demonstrate that Generative AI shows diverging patterns within academic literature (Analysis 1 and 2) and also compared with media attention (Analysis 3). But why?</w:t>
      </w:r>
    </w:p>
    <w:p>
      <w:pPr>
        <w:pStyle w:val="BodyText"/>
      </w:pPr>
      <w:r>
        <w:t xml:space="preserve">Our analysis suggests several explanations: First, Generative AI has penetrated almost every aspect of consumers’, marketers, and researchers lives, which offers ample opportunities for research questions. Second, Generative AI is being integrated into many existing consumer technologies, rooting it in a rich theoretical foundation that can possibly be drawn from, but also offering ample opportunities to validate and deepen our understanding of existing theories relating to consumer technologies in a new light. Third, Generative AI may be among the most accessible consumer technologies of the past quarter-century to study empirically, with a very low barrier to entry</w:t>
      </w:r>
      <w:r>
        <w:t xml:space="preserve"> </w:t>
      </w:r>
      <w:r>
        <w:t xml:space="preserve">(e.g.</w:t>
      </w:r>
      <w:r>
        <w:t xml:space="preserve"> </w:t>
      </w:r>
      <w:hyperlink w:anchor="X4bfed5635d964a1a6a21f3afa9bf4834a89002d">
        <w:r>
          <w:rPr>
            <w:rStyle w:val="Hyperlink"/>
          </w:rPr>
          <w:t xml:space="preserve">Joerling, 2026</w:t>
        </w:r>
      </w:hyperlink>
      <w:r>
        <w:t xml:space="preserve">)</w:t>
      </w:r>
      <w:r>
        <w:t xml:space="preserve">. While efforts have been made to ease the provision of realistic stimuli for other technologies</w:t>
      </w:r>
      <w:r>
        <w:t xml:space="preserve"> </w:t>
      </w:r>
      <w:r>
        <w:t xml:space="preserve">(e.g.,</w:t>
      </w:r>
      <w:r>
        <w:t xml:space="preserve"> </w:t>
      </w:r>
      <w:hyperlink w:anchor="ref-roggenkampEXPRESSDICEAdvancing2025">
        <w:r>
          <w:rPr>
            <w:rStyle w:val="Hyperlink"/>
          </w:rPr>
          <w:t xml:space="preserve">Roggenkamp et al., 2025</w:t>
        </w:r>
      </w:hyperlink>
      <w:r>
        <w:t xml:space="preserve">)</w:t>
      </w:r>
      <w:r>
        <w:t xml:space="preserve">, Generative AI is not only accessible to study but also makes more complex study designs feasible, through easier access to custom coding and interface generation</w:t>
      </w:r>
      <w:r>
        <w:t xml:space="preserve"> </w:t>
      </w:r>
      <w:r>
        <w:t xml:space="preserve">(e.g.,</w:t>
      </w:r>
      <w:r>
        <w:t xml:space="preserve"> </w:t>
      </w:r>
      <w:hyperlink w:anchor="ref-binzHowShouldAdvancement2025">
        <w:r>
          <w:rPr>
            <w:rStyle w:val="Hyperlink"/>
          </w:rPr>
          <w:t xml:space="preserve">Binz et al., 2025</w:t>
        </w:r>
      </w:hyperlink>
      <w:r>
        <w:t xml:space="preserve">)</w:t>
      </w:r>
      <w:r>
        <w:t xml:space="preserve">.</w:t>
      </w:r>
    </w:p>
    <w:p>
      <w:pPr>
        <w:pStyle w:val="BodyText"/>
      </w:pPr>
      <w:r>
        <w:t xml:space="preserve">de Bellis et al. (</w:t>
      </w:r>
      <w:hyperlink w:anchor="ref-VisibleMeasurableImmediate">
        <w:r>
          <w:rPr>
            <w:rStyle w:val="Hyperlink"/>
          </w:rPr>
          <w:t xml:space="preserve">2026</w:t>
        </w:r>
      </w:hyperlink>
      <w:r>
        <w:t xml:space="preserve">)</w:t>
      </w:r>
      <w:r>
        <w:t xml:space="preserve"> </w:t>
      </w:r>
      <w:r>
        <w:t xml:space="preserve">argue that consumer technology research should focus on what matters to the beneficiaries of its findings. In the case of Generative AI, the field seems to fulfill this demand: Research on the topic has risen drastically since the introduction of ChatGPT 3.5</w:t>
      </w:r>
      <w:r>
        <w:t xml:space="preserve"> </w:t>
      </w:r>
      <w:r>
        <w:t xml:space="preserve">(</w:t>
      </w:r>
      <w:hyperlink w:anchor="ref-openai2022chatgpt">
        <w:r>
          <w:rPr>
            <w:rStyle w:val="Hyperlink"/>
          </w:rPr>
          <w:t xml:space="preserve">OpenAI, 2022</w:t>
        </w:r>
      </w:hyperlink>
      <w:r>
        <w:t xml:space="preserve">)</w:t>
      </w:r>
      <w:r>
        <w:t xml:space="preserve"> </w:t>
      </w:r>
      <w:r>
        <w:t xml:space="preserve">and shows no sign of slowing down — as is the attention devoted to it in media stories. This concurrent response to a new consumer technology marks a first in 26 years of consumer technology research, and suggests that the massive penetration of this technology into many aspects of our daily lives and work has a multifold effect: The relevance and ubiquity makes the topic rich to study, attractive for journals to publish (despite earlier technologies being more concentrated on specific journals, Generative AI has been adopted and published across the board), and interesting to researchers. Especially as Generative AI transforms many existing consumer technologies such as Crypto &amp; Fintech</w:t>
      </w:r>
      <w:r>
        <w:t xml:space="preserve"> </w:t>
      </w:r>
      <w:r>
        <w:t xml:space="preserve">(</w:t>
      </w:r>
      <w:hyperlink w:anchor="ref-winderBiasedEchoesLarge2025">
        <w:r>
          <w:rPr>
            <w:rStyle w:val="Hyperlink"/>
          </w:rPr>
          <w:t xml:space="preserve">Winder et al., 2025</w:t>
        </w:r>
      </w:hyperlink>
      <w:r>
        <w:t xml:space="preserve">)</w:t>
      </w:r>
      <w:r>
        <w:t xml:space="preserve">, or Social Media</w:t>
      </w:r>
      <w:r>
        <w:t xml:space="preserve"> </w:t>
      </w:r>
      <w:r>
        <w:t xml:space="preserve">(</w:t>
      </w:r>
      <w:hyperlink w:anchor="ref-mollerImpactGenerativeAI2026">
        <w:r>
          <w:rPr>
            <w:rStyle w:val="Hyperlink"/>
          </w:rPr>
          <w:t xml:space="preserve">Møller et al., 2026</w:t>
        </w:r>
      </w:hyperlink>
      <w:r>
        <w:t xml:space="preserve">)</w:t>
      </w:r>
      <w:r>
        <w:t xml:space="preserve">, it offers ample opportunities to be applied to familiar and important paradigms in consumer technology research.</w:t>
      </w:r>
    </w:p>
    <w:p>
      <w:pPr>
        <w:pStyle w:val="BodyText"/>
      </w:pPr>
      <w:r>
        <w:t xml:space="preserve">This does however not (yet) happen to a substantive extent: While one might hypothesize that the ubiquity of Generative AI also leads to integrated and interconnected research, our bibliometric analyses show the opposite pattern: Compared to other technology clusters, research on Generative AI is more self-referential and self-contained rather than interconnected with neighboring technologies. the majority of themes studied in connection with Generative AI relate to Algorithm and AI Perception. While this research is undoubtedly relevant, the apparent ubiquity of the technology leads us to urge researchers to look beyond the perception of AI itself: and towards what it can</w:t>
      </w:r>
      <w:r>
        <w:t xml:space="preserve"> </w:t>
      </w:r>
      <w:r>
        <w:rPr>
          <w:i/>
          <w:iCs/>
        </w:rPr>
        <w:t xml:space="preserve">do</w:t>
      </w:r>
      <w:r>
        <w:t xml:space="preserve"> </w:t>
      </w:r>
      <w:r>
        <w:t xml:space="preserve">to consumer experience: fields such as relationships, or online virality and word of mouth are currently credibly below the overall baseline, yet developments in AI call for a better understanding of its impact on these aspects of consumer behavior [sources].</w:t>
      </w:r>
    </w:p>
    <w:bookmarkEnd w:id="68"/>
    <w:bookmarkEnd w:id="69"/>
    <w:bookmarkStart w:id="70" w:name="implications"/>
    <w:p>
      <w:pPr>
        <w:pStyle w:val="Heading1"/>
      </w:pPr>
      <w:r>
        <w:t xml:space="preserve">Implications</w:t>
      </w:r>
    </w:p>
    <w:p>
      <w:pPr>
        <w:pStyle w:val="FirstParagraph"/>
      </w:pPr>
      <w:r>
        <w:t xml:space="preserve">We conclude our discussion and answer to the question: Is Generative AI different? with several implications for researchers and journals. While Generative AI has undoubtedly piqued the interest of both the public and academics, researchers should not blindly follow the academic trends alone: Comparing academic attention with media attention, we see that many technologies that have fallen out of the spotlight are still discussed in the public eye. Combined with the fact that early consumer technology research was scarce in absolute numbers of articles, it is important to still consider the value additional insights on these established technologies may bring us: This holds especially true for consumer technologies inherently connected to Generative AI, as our understanding of these technologies and their impact on consumers’ lives may substantially shift under this new paradigm. One example is the Internet &amp; Broadcasting, which in itself has become completely normalized in consumer’s lifes by now, yet is currently undergoing a drastic shift in its presentation (change word, this is the wrong one). But even if researchers decide to study Generative AI, our findings warrant caution: Within a comparatively short timeframe, research on Generative AI has expanded rapidly, yet the intellectual foundation, both within marketing journals, and across the references it cites heavily, remains relatively narrow. Themes such as relationships, or online virality and word of mouth are currently understudied despite their arguable relevance to better understand Generative AI. Additionally, we show that while articles discussing other technologies reference work on Generative AI, this relationship is not mutual: It is remarkable that discourse on other consumer technologies has quickly picked up on and integrated Generative AI in their discussion, and it is imperative that this relationship does not remain one-sided, as Generative AI will most likely not replace, but augment these established consumer technologies. This point also points towards the last implication we derive from our data, which is that Generative AI must not (expclusively) be studied in isolation, but integrated into the applications consumers encounter them with. Previous work has made significant strides in facilitating more naturalistic experimental stimuli</w:t>
      </w:r>
      <w:r>
        <w:t xml:space="preserve"> </w:t>
      </w:r>
      <w:r>
        <w:t xml:space="preserve">(</w:t>
      </w:r>
      <w:hyperlink w:anchor="X4bfed5635d964a1a6a21f3afa9bf4834a89002d">
        <w:r>
          <w:rPr>
            <w:rStyle w:val="Hyperlink"/>
          </w:rPr>
          <w:t xml:space="preserve">Joerling, 2026</w:t>
        </w:r>
      </w:hyperlink>
      <w:r>
        <w:t xml:space="preserve">;</w:t>
      </w:r>
      <w:r>
        <w:t xml:space="preserve"> </w:t>
      </w:r>
      <w:hyperlink w:anchor="ref-roggenkampEXPRESSDICEAdvancing2025">
        <w:r>
          <w:rPr>
            <w:rStyle w:val="Hyperlink"/>
          </w:rPr>
          <w:t xml:space="preserve">Roggenkamp et al., 2025</w:t>
        </w:r>
      </w:hyperlink>
      <w:r>
        <w:t xml:space="preserve">)</w:t>
      </w:r>
      <w:r>
        <w:t xml:space="preserve">, and researchers should use these opportunities.</w:t>
      </w:r>
    </w:p>
    <w:p>
      <w:pPr>
        <w:pStyle w:val="BodyText"/>
      </w:pPr>
      <w:r>
        <w:t xml:space="preserve">For journals and their editors, we call for a different, yet related set of implications: First, our analyses imply a strong relationship between the priorities set by journals, and the research agendas that stem from this. Generative AI has universally been adopted as the next consumer technology to study, from theory building to applied research. It is however important for journals to condition their publication agenda on how we can actually advance our understanding of this technology: Just like for researchers, we recommend journal editors to not only assess propositions on articles about Generative AI in isolation, but also how they contribute to our further understanding of how this technology builds on, and diverges from, the earlier work conducted on consumer technologies. Constructing a parsimonious and integrated network of theories and technology-understanding might be our best chance as a field to be able to keep up with a subject matter that evolves faster than we are able to publish. Beyond Generative AI, we also recommend for journals to not chase novelty at the cost of comulative knowledge advancement: Our analysis shows that early-dominant technology clusters have fallen out of focus in academic attention, yet remain relevant in the media, and offer more theoretical angles to be approached under. Understanding the latent technologies shaping more specific applications (such as Algorithms &amp; Recommendations as a broader baseline influencing more specific technologies such as E-Commerce, or Social Media as a particular family of algorithms), may further contribute to build a substantive and sustainable understanding of the technological world consumers’ operate in.</w:t>
      </w:r>
    </w:p>
    <w:p>
      <w:pPr>
        <w:pStyle w:val="BodyText"/>
      </w:pPr>
      <w:r>
        <w:t xml:space="preserve">We conclude our discussion of the question</w:t>
      </w:r>
      <w:r>
        <w:t xml:space="preserve"> </w:t>
      </w:r>
      <w:r>
        <w:rPr>
          <w:i/>
          <w:iCs/>
        </w:rPr>
        <w:t xml:space="preserve">Is Generative AI different?</w:t>
      </w:r>
      <w:r>
        <w:t xml:space="preserve"> </w:t>
      </w:r>
      <w:r>
        <w:t xml:space="preserve">with several implications for researchers and journals:</w:t>
      </w:r>
    </w:p>
    <w:p>
      <w:pPr>
        <w:pStyle w:val="BodyText"/>
      </w:pPr>
      <w:r>
        <w:t xml:space="preserve">While Generative AI has undoubtedly piqued the interest of both the public and academics, researchers should not blindly follow academic trends alone. Comparing academic attention with media attention, we see that many technologies that have fallen out of the spotlight are still discussed in the public eye. Combined with the fact that early consumer technology research was scarce in absolute numbers of articles, it remains important to consider the value that additional insights on these established technologies may bring. This holds especially true for consumer technologies inherently connected to Generative AI, as our understanding of these technologies and their impact on consumers’ lives may shift substantially under this new paradigm. Examples such as the Internet &amp; Broadcasting or Social Media, which have by now become completely normalized in consumers’ lives, yet is currently undergoing a drastic shift in how it is experienced</w:t>
      </w:r>
      <w:r>
        <w:t xml:space="preserve"> </w:t>
      </w:r>
      <w:r>
        <w:t xml:space="preserve">(</w:t>
      </w:r>
      <w:hyperlink w:anchor="ref-muzumdarDeadInternetTheory2025">
        <w:r>
          <w:rPr>
            <w:rStyle w:val="Hyperlink"/>
          </w:rPr>
          <w:t xml:space="preserve">Muzumdar et al., 2025</w:t>
        </w:r>
      </w:hyperlink>
      <w:r>
        <w:t xml:space="preserve">)</w:t>
      </w:r>
      <w:r>
        <w:t xml:space="preserve">.</w:t>
      </w:r>
    </w:p>
    <w:p>
      <w:pPr>
        <w:pStyle w:val="BodyText"/>
      </w:pPr>
      <w:r>
        <w:t xml:space="preserve">But even if researchers decide to study Generative AI, our findings warrant caution. Within a comparatively short timeframe, research on Generative AI has expanded rapidly, yet its intellectual foundation, both within marketing journals and across the references it cites heavily, remains relatively narrow. Themes such as relationships, or online virality and word of mouth are currently understudied despite their arguable relevance for understanding Generative AI</w:t>
      </w:r>
      <w:r>
        <w:t xml:space="preserve"> </w:t>
      </w:r>
      <w:r>
        <w:t xml:space="preserve">(</w:t>
      </w:r>
      <w:hyperlink w:anchor="ref-kirkWhyHumanAI2025">
        <w:r>
          <w:rPr>
            <w:rStyle w:val="Hyperlink"/>
          </w:rPr>
          <w:t xml:space="preserve">Kirk et al., 2025</w:t>
        </w:r>
      </w:hyperlink>
      <w:r>
        <w:t xml:space="preserve">;</w:t>
      </w:r>
      <w:r>
        <w:t xml:space="preserve"> </w:t>
      </w:r>
      <w:hyperlink w:anchor="ref-aigeneratedalgorithm2026">
        <w:r>
          <w:rPr>
            <w:rStyle w:val="Hyperlink"/>
          </w:rPr>
          <w:t xml:space="preserve">Stanusch et al., 2026</w:t>
        </w:r>
      </w:hyperlink>
      <w:r>
        <w:t xml:space="preserve">)</w:t>
      </w:r>
      <w:r>
        <w:t xml:space="preserve">. Additionally, we show that while articles discussing other technologies reference work on Generative AI, this relationship is not mutual. It is remarkable that discourse on other consumer technologies has so quickly picked up and integrated Generative AI, and it is imperative that this relationship does not remain one-sided, as Generative AI will most likely not replace, but augment these established consumer technologies. This also points towards the last implication we derive from our data, namely that Generative AI must not be studied (exclusively) in isolation, but integrated into the applications through which consumers encounter it. Previous work has made significant strides in facilitating more naturalistic experimental stimuli</w:t>
      </w:r>
      <w:r>
        <w:t xml:space="preserve"> </w:t>
      </w:r>
      <w:r>
        <w:t xml:space="preserve">(</w:t>
      </w:r>
      <w:hyperlink w:anchor="X4bfed5635d964a1a6a21f3afa9bf4834a89002d">
        <w:r>
          <w:rPr>
            <w:rStyle w:val="Hyperlink"/>
          </w:rPr>
          <w:t xml:space="preserve">Joerling, 2026</w:t>
        </w:r>
      </w:hyperlink>
      <w:r>
        <w:t xml:space="preserve">;</w:t>
      </w:r>
      <w:r>
        <w:t xml:space="preserve"> </w:t>
      </w:r>
      <w:hyperlink w:anchor="ref-roggenkampEXPRESSDICEAdvancing2025">
        <w:r>
          <w:rPr>
            <w:rStyle w:val="Hyperlink"/>
          </w:rPr>
          <w:t xml:space="preserve">Roggenkamp et al., 2025</w:t>
        </w:r>
      </w:hyperlink>
      <w:r>
        <w:t xml:space="preserve">)</w:t>
      </w:r>
      <w:r>
        <w:t xml:space="preserve">, and researchers should use these opportunities.</w:t>
      </w:r>
    </w:p>
    <w:p>
      <w:pPr>
        <w:pStyle w:val="BodyText"/>
      </w:pPr>
      <w:r>
        <w:t xml:space="preserve">For journals and their editors, we derive a different, yet related set of implications. First, our analyses imply a strong relationship between the priorities set by journals and the research agendas that stem from them. Generative AI has universally been adopted as the next consumer technology to study, from theory building to applied research. It is however important for journals to condition their publication agenda on how we can actually advance our understanding of this technology: just as for researchers, we recommend that journal editors assess propositions on Generative AI not in isolation, but also with regard to how they contribute to our understanding of how this technology builds on, and diverges from, earlier work on consumer technologies. Constructing a parsimonious and integrated network of theories and technology understanding might be our best chance as a field to keep up with a subject matter that evolves faster than we are able to publish. Beyond Generative AI, we also recommend that journals not chase novelty at the cost of cumulative knowledge advancement. Our analysis shows that early-dominant technology clusters have fallen out of academic focus, yet remain relevant in the media and offer further theoretical angles from which they can be approached. Understanding the latent technologies that shape more specific applications, such as Algorithms &amp; Recommendations as a broader baseline influencing more specific technologies such as E-Commerce, or Social Media as a particular family of algorithms, may further contribute to a substantive and sustainable understanding of the technological world consumers operate in.</w:t>
      </w:r>
    </w:p>
    <w:bookmarkEnd w:id="70"/>
    <w:bookmarkStart w:id="71" w:name="limitations-and-further-research"/>
    <w:p>
      <w:pPr>
        <w:pStyle w:val="Heading1"/>
      </w:pPr>
      <w:r>
        <w:t xml:space="preserve">Limitations and further research</w:t>
      </w:r>
    </w:p>
    <w:p>
      <w:pPr>
        <w:pStyle w:val="FirstParagraph"/>
      </w:pPr>
      <w:r>
        <w:t xml:space="preserve">Our work is not without limitations. Most importantly, we acknowledge that any analysis and data we report is correlational, and we make no causal claims about attention or connectedness. Further, we focus our analysis on seven leading marketing journals, thus providing an assessment and map of a specific field, and not on research surrounding Generative AI at large. Third, our analysis is exclusively based on titles and abstracts, meaning that technologies ubiquitious enough that they need not be mentioned in this metadata anymore might have been missed.</w:t>
      </w:r>
    </w:p>
    <w:p>
      <w:pPr>
        <w:pStyle w:val="BodyText"/>
      </w:pPr>
      <w:r>
        <w:t xml:space="preserve">In three analyses, we provide an overview of 26 years of consumer technology research in marketing, and compare this baseline against the case of Generative AI. This foundation provides opportunities for further research: First, we assessed the body of empirical work on consumer technologies. It is worthwhile asking if our findings generalize to consumer technology research beyond empirical work, especially in terms of divergences from public attention. We might lag behind or disregard public attention in our empirical work, but conceptual work may be anticipating future trends. A second, natural extension would be to not only look at the technologies studied, and the intellectual foundation in terms of bibliometric analyses, but to extend our analysis to a full-text analysis identifying the mechansims studied in connection to these technologies. Lastly, we treat semantic information from consumer technology descriptions as the authors of articles provide them as a basis to form our bottom-up, empirical clustering of consumer technologies. This finding could be extended and validated from a more theoretical perspective, as semantic modeling is subject to subtle semantic changes, whereas a theoretical taxonomy of consumer technologies may prove useful for further understanding and advancing our field.</w:t>
      </w:r>
    </w:p>
    <w:bookmarkEnd w:id="71"/>
    <w:bookmarkStart w:id="154" w:name="references"/>
    <w:p>
      <w:pPr>
        <w:pStyle w:val="Heading1"/>
      </w:pPr>
      <w:r>
        <w:t xml:space="preserve">References</w:t>
      </w:r>
    </w:p>
    <w:bookmarkStart w:id="153" w:name="refs"/>
    <w:bookmarkStart w:id="72" w:name="ref-andrewBayesianDataAnalysis"/>
    <w:p>
      <w:pPr>
        <w:pStyle w:val="Bibliography"/>
      </w:pPr>
      <w:r>
        <w:t xml:space="preserve">Andrew, G. (2010).</w:t>
      </w:r>
      <w:r>
        <w:t xml:space="preserve"> </w:t>
      </w:r>
      <w:r>
        <w:rPr>
          <w:i/>
          <w:iCs/>
        </w:rPr>
        <w:t xml:space="preserve">Bayesian</w:t>
      </w:r>
      <w:r>
        <w:rPr>
          <w:i/>
          <w:iCs/>
        </w:rPr>
        <w:t xml:space="preserve"> </w:t>
      </w:r>
      <w:r>
        <w:rPr>
          <w:i/>
          <w:iCs/>
        </w:rPr>
        <w:t xml:space="preserve">Data Analysis</w:t>
      </w:r>
      <w:r>
        <w:rPr>
          <w:i/>
          <w:iCs/>
        </w:rPr>
        <w:t xml:space="preserve">,</w:t>
      </w:r>
      <w:r>
        <w:rPr>
          <w:i/>
          <w:iCs/>
        </w:rPr>
        <w:t xml:space="preserve"> </w:t>
      </w:r>
      <w:r>
        <w:rPr>
          <w:i/>
          <w:iCs/>
        </w:rPr>
        <w:t xml:space="preserve">Third Edition</w:t>
      </w:r>
      <w:r>
        <w:t xml:space="preserve">.</w:t>
      </w:r>
    </w:p>
    <w:bookmarkEnd w:id="72"/>
    <w:bookmarkStart w:id="74" w:name="X77c6a6fb7e9371a37a306d4adddd389bde7954b"/>
    <w:p>
      <w:pPr>
        <w:pStyle w:val="Bibliography"/>
      </w:pPr>
      <w:r>
        <w:t xml:space="preserve">Aria, M., &amp; Cuccurullo, C. (2017). Bibliometrix :</w:t>
      </w:r>
      <w:r>
        <w:t xml:space="preserve"> </w:t>
      </w:r>
      <w:r>
        <w:t xml:space="preserve">An R-tool</w:t>
      </w:r>
      <w:r>
        <w:t xml:space="preserve"> </w:t>
      </w:r>
      <w:r>
        <w:t xml:space="preserve">for comprehensive science mapping analysis.</w:t>
      </w:r>
      <w:r>
        <w:t xml:space="preserve"> </w:t>
      </w:r>
      <w:r>
        <w:rPr>
          <w:i/>
          <w:iCs/>
        </w:rPr>
        <w:t xml:space="preserve">Journal of Informetrics</w:t>
      </w:r>
      <w:r>
        <w:t xml:space="preserve">,</w:t>
      </w:r>
      <w:r>
        <w:t xml:space="preserve"> </w:t>
      </w:r>
      <w:r>
        <w:rPr>
          <w:i/>
          <w:iCs/>
        </w:rPr>
        <w:t xml:space="preserve">11</w:t>
      </w:r>
      <w:r>
        <w:t xml:space="preserve">(4), 959–975.</w:t>
      </w:r>
      <w:r>
        <w:t xml:space="preserve"> </w:t>
      </w:r>
      <w:hyperlink r:id="rId73">
        <w:r>
          <w:rPr>
            <w:rStyle w:val="Hyperlink"/>
          </w:rPr>
          <w:t xml:space="preserve">https://doi.org/10.1016/j.joi.2017.08.007</w:t>
        </w:r>
      </w:hyperlink>
    </w:p>
    <w:bookmarkEnd w:id="74"/>
    <w:bookmarkStart w:id="76" w:name="ref-specialissue2026"/>
    <w:p>
      <w:pPr>
        <w:pStyle w:val="Bibliography"/>
      </w:pPr>
      <w:r>
        <w:t xml:space="preserve">Bart, Y., Naik, P. A., &amp; Peters, K. (2026).</w:t>
      </w:r>
      <w:r>
        <w:t xml:space="preserve"> </w:t>
      </w:r>
      <w:r>
        <w:rPr>
          <w:i/>
          <w:iCs/>
        </w:rPr>
        <w:t xml:space="preserve">The</w:t>
      </w:r>
      <w:r>
        <w:rPr>
          <w:i/>
          <w:iCs/>
        </w:rPr>
        <w:t xml:space="preserve"> </w:t>
      </w:r>
      <w:r>
        <w:rPr>
          <w:i/>
          <w:iCs/>
        </w:rPr>
        <w:t xml:space="preserve">Transformative Role</w:t>
      </w:r>
      <w:r>
        <w:rPr>
          <w:i/>
          <w:iCs/>
        </w:rPr>
        <w:t xml:space="preserve"> </w:t>
      </w:r>
      <w:r>
        <w:rPr>
          <w:i/>
          <w:iCs/>
        </w:rPr>
        <w:t xml:space="preserve">of</w:t>
      </w:r>
      <w:r>
        <w:rPr>
          <w:i/>
          <w:iCs/>
        </w:rPr>
        <w:t xml:space="preserve"> </w:t>
      </w:r>
      <w:r>
        <w:rPr>
          <w:i/>
          <w:iCs/>
        </w:rPr>
        <w:t xml:space="preserve">Artificial Intelligence</w:t>
      </w:r>
      <w:r>
        <w:rPr>
          <w:i/>
          <w:iCs/>
        </w:rPr>
        <w:t xml:space="preserve"> </w:t>
      </w:r>
      <w:r>
        <w:rPr>
          <w:i/>
          <w:iCs/>
        </w:rPr>
        <w:t xml:space="preserve">in</w:t>
      </w:r>
      <w:r>
        <w:rPr>
          <w:i/>
          <w:iCs/>
        </w:rPr>
        <w:t xml:space="preserve"> </w:t>
      </w:r>
      <w:r>
        <w:rPr>
          <w:i/>
          <w:iCs/>
        </w:rPr>
        <w:t xml:space="preserve">Marketing Theory</w:t>
      </w:r>
      <w:r>
        <w:rPr>
          <w:i/>
          <w:iCs/>
        </w:rPr>
        <w:t xml:space="preserve"> </w:t>
      </w:r>
      <w:r>
        <w:rPr>
          <w:i/>
          <w:iCs/>
        </w:rPr>
        <w:t xml:space="preserve">and</w:t>
      </w:r>
      <w:r>
        <w:rPr>
          <w:i/>
          <w:iCs/>
        </w:rPr>
        <w:t xml:space="preserve"> </w:t>
      </w:r>
      <w:r>
        <w:rPr>
          <w:i/>
          <w:iCs/>
        </w:rPr>
        <w:t xml:space="preserve">Practice</w:t>
      </w:r>
      <w:r>
        <w:t xml:space="preserve">. Call for papers; International Journal of Research in Marketing.</w:t>
      </w:r>
      <w:r>
        <w:t xml:space="preserve"> </w:t>
      </w:r>
      <w:hyperlink r:id="rId75">
        <w:r>
          <w:rPr>
            <w:rStyle w:val="Hyperlink"/>
          </w:rPr>
          <w:t xml:space="preserve">https://www.sciencedirect.com/special-issue/334595/the-transformative-role-of-artificial-intelligence-in-marketing-theory-and-practice</w:t>
        </w:r>
      </w:hyperlink>
    </w:p>
    <w:bookmarkEnd w:id="76"/>
    <w:bookmarkStart w:id="78" w:name="ref-bermejoMediaCloud202026"/>
    <w:p>
      <w:pPr>
        <w:pStyle w:val="Bibliography"/>
      </w:pPr>
      <w:r>
        <w:t xml:space="preserve">Bermejo, F., Bhargava, R., Budne, P., Gulley, P., Leon, E., McGrady, R., Ndulue, E. B., &amp; Zuckerman, E. (2026). Media</w:t>
      </w:r>
      <w:r>
        <w:t xml:space="preserve"> </w:t>
      </w:r>
      <w:r>
        <w:t xml:space="preserve">Cloud</w:t>
      </w:r>
      <w:r>
        <w:t xml:space="preserve"> </w:t>
      </w:r>
      <w:r>
        <w:t xml:space="preserve">2.0:</w:t>
      </w:r>
      <w:r>
        <w:t xml:space="preserve"> </w:t>
      </w:r>
      <w:r>
        <w:t xml:space="preserve">An Updated Open Web News Archive</w:t>
      </w:r>
      <w:r>
        <w:t xml:space="preserve">.</w:t>
      </w:r>
      <w:r>
        <w:t xml:space="preserve"> </w:t>
      </w:r>
      <w:r>
        <w:rPr>
          <w:i/>
          <w:iCs/>
        </w:rPr>
        <w:t xml:space="preserve">Proceedings of the International AAAI Conference on Web and Social Media</w:t>
      </w:r>
      <w:r>
        <w:t xml:space="preserve">,</w:t>
      </w:r>
      <w:r>
        <w:t xml:space="preserve"> </w:t>
      </w:r>
      <w:r>
        <w:rPr>
          <w:i/>
          <w:iCs/>
        </w:rPr>
        <w:t xml:space="preserve">20</w:t>
      </w:r>
      <w:r>
        <w:t xml:space="preserve">(1), 2735–2746.</w:t>
      </w:r>
      <w:r>
        <w:t xml:space="preserve"> </w:t>
      </w:r>
      <w:hyperlink r:id="rId77">
        <w:r>
          <w:rPr>
            <w:rStyle w:val="Hyperlink"/>
          </w:rPr>
          <w:t xml:space="preserve">https://doi.org/10.1609/icwsm.v20i1.42778</w:t>
        </w:r>
      </w:hyperlink>
    </w:p>
    <w:bookmarkEnd w:id="78"/>
    <w:bookmarkStart w:id="80" w:name="ref-binzHowShouldAdvancement2025"/>
    <w:p>
      <w:pPr>
        <w:pStyle w:val="Bibliography"/>
      </w:pPr>
      <w:r>
        <w:t xml:space="preserve">Binz, M., Alaniz, S., Roskies, A., Aczel, B., Bergstrom, C. T., Allen, C., Schad, D., Wulff, D., West, J. D., Zhang, Q., Shiffrin, R. M., Gershman, S. J., Popov, V., Bender, E. M., Marelli, M., Botvinick, M. M., Akata, Z., &amp; Schulz, E. (2025). How should the advancement of large language models affect the practice of science?</w:t>
      </w:r>
      <w:r>
        <w:t xml:space="preserve"> </w:t>
      </w:r>
      <w:r>
        <w:rPr>
          <w:i/>
          <w:iCs/>
        </w:rPr>
        <w:t xml:space="preserve">Proceedings of the National Academy of Sciences</w:t>
      </w:r>
      <w:r>
        <w:t xml:space="preserve">,</w:t>
      </w:r>
      <w:r>
        <w:t xml:space="preserve"> </w:t>
      </w:r>
      <w:r>
        <w:rPr>
          <w:i/>
          <w:iCs/>
        </w:rPr>
        <w:t xml:space="preserve">122</w:t>
      </w:r>
      <w:r>
        <w:t xml:space="preserve">(5), e2401227121.</w:t>
      </w:r>
      <w:r>
        <w:t xml:space="preserve"> </w:t>
      </w:r>
      <w:hyperlink r:id="rId79">
        <w:r>
          <w:rPr>
            <w:rStyle w:val="Hyperlink"/>
          </w:rPr>
          <w:t xml:space="preserve">https://doi.org/10.1073/pnas.2401227121</w:t>
        </w:r>
      </w:hyperlink>
    </w:p>
    <w:bookmarkEnd w:id="80"/>
    <w:bookmarkStart w:id="82" w:name="ref-blondelFastUnfoldingCommunities2008"/>
    <w:p>
      <w:pPr>
        <w:pStyle w:val="Bibliography"/>
      </w:pPr>
      <w:r>
        <w:t xml:space="preserve">Blondel, V. D., Guillaume, J.-L., Lambiotte, R., &amp; Lefebvre, E. (2008). Fast unfolding of communities in large networks.</w:t>
      </w:r>
      <w:r>
        <w:t xml:space="preserve"> </w:t>
      </w:r>
      <w:r>
        <w:rPr>
          <w:i/>
          <w:iCs/>
        </w:rPr>
        <w:t xml:space="preserve">Journal of Statistical Mechanics: Theory and Experiment</w:t>
      </w:r>
      <w:r>
        <w:t xml:space="preserve">,</w:t>
      </w:r>
      <w:r>
        <w:t xml:space="preserve"> </w:t>
      </w:r>
      <w:r>
        <w:rPr>
          <w:i/>
          <w:iCs/>
        </w:rPr>
        <w:t xml:space="preserve">2008</w:t>
      </w:r>
      <w:r>
        <w:t xml:space="preserve">(10), P10008.</w:t>
      </w:r>
      <w:r>
        <w:t xml:space="preserve"> </w:t>
      </w:r>
      <w:hyperlink r:id="rId81">
        <w:r>
          <w:rPr>
            <w:rStyle w:val="Hyperlink"/>
          </w:rPr>
          <w:t xml:space="preserve">https://doi.org/10.1088/1742-5468/2008/10/P10008</w:t>
        </w:r>
      </w:hyperlink>
    </w:p>
    <w:bookmarkEnd w:id="82"/>
    <w:bookmarkStart w:id="84" w:name="ref-calinskiDendriteMethodCluster1974"/>
    <w:p>
      <w:pPr>
        <w:pStyle w:val="Bibliography"/>
      </w:pPr>
      <w:r>
        <w:t xml:space="preserve">Caliński, T., &amp; Harabasz, J. (1974). A dendrite method for cluster analysis.</w:t>
      </w:r>
      <w:r>
        <w:t xml:space="preserve"> </w:t>
      </w:r>
      <w:r>
        <w:rPr>
          <w:i/>
          <w:iCs/>
        </w:rPr>
        <w:t xml:space="preserve">Communications in Statistics</w:t>
      </w:r>
      <w:r>
        <w:t xml:space="preserve">,</w:t>
      </w:r>
      <w:r>
        <w:t xml:space="preserve"> </w:t>
      </w:r>
      <w:r>
        <w:rPr>
          <w:i/>
          <w:iCs/>
        </w:rPr>
        <w:t xml:space="preserve">3</w:t>
      </w:r>
      <w:r>
        <w:t xml:space="preserve">(1), 1–27.</w:t>
      </w:r>
      <w:r>
        <w:t xml:space="preserve"> </w:t>
      </w:r>
      <w:hyperlink r:id="rId83">
        <w:r>
          <w:rPr>
            <w:rStyle w:val="Hyperlink"/>
          </w:rPr>
          <w:t xml:space="preserve">https://doi.org/10.1080/03610927408827101</w:t>
        </w:r>
      </w:hyperlink>
    </w:p>
    <w:bookmarkEnd w:id="84"/>
    <w:bookmarkStart w:id="86" w:name="ref-cilloGenerativeAIInnovation2025"/>
    <w:p>
      <w:pPr>
        <w:pStyle w:val="Bibliography"/>
      </w:pPr>
      <w:r>
        <w:t xml:space="preserve">Cillo, P., &amp; Rubera, G. (2025). Generative</w:t>
      </w:r>
      <w:r>
        <w:t xml:space="preserve"> </w:t>
      </w:r>
      <w:r>
        <w:t xml:space="preserve">AI</w:t>
      </w:r>
      <w:r>
        <w:t xml:space="preserve"> </w:t>
      </w:r>
      <w:r>
        <w:t xml:space="preserve">in innovation and marketing processes:</w:t>
      </w:r>
      <w:r>
        <w:t xml:space="preserve"> </w:t>
      </w:r>
      <w:r>
        <w:t xml:space="preserve">A</w:t>
      </w:r>
      <w:r>
        <w:t xml:space="preserve"> </w:t>
      </w:r>
      <w:r>
        <w:t xml:space="preserve">roadmap of research opportunities.</w:t>
      </w:r>
      <w:r>
        <w:t xml:space="preserve"> </w:t>
      </w:r>
      <w:r>
        <w:rPr>
          <w:i/>
          <w:iCs/>
        </w:rPr>
        <w:t xml:space="preserve">Journal of the Academy of Marketing Science</w:t>
      </w:r>
      <w:r>
        <w:t xml:space="preserve">,</w:t>
      </w:r>
      <w:r>
        <w:t xml:space="preserve"> </w:t>
      </w:r>
      <w:r>
        <w:rPr>
          <w:i/>
          <w:iCs/>
        </w:rPr>
        <w:t xml:space="preserve">53</w:t>
      </w:r>
      <w:r>
        <w:t xml:space="preserve">(3), 684–701.</w:t>
      </w:r>
      <w:r>
        <w:t xml:space="preserve"> </w:t>
      </w:r>
      <w:hyperlink r:id="rId85">
        <w:r>
          <w:rPr>
            <w:rStyle w:val="Hyperlink"/>
          </w:rPr>
          <w:t xml:space="preserve">https://doi.org/10.1007/s11747-024-01044-7</w:t>
        </w:r>
      </w:hyperlink>
    </w:p>
    <w:bookmarkEnd w:id="86"/>
    <w:bookmarkStart w:id="88" w:name="ref-daviesClusterSeparationMeasure1979"/>
    <w:p>
      <w:pPr>
        <w:pStyle w:val="Bibliography"/>
      </w:pPr>
      <w:r>
        <w:t xml:space="preserve">Davies, D. L., &amp; Bouldin, D. W. (1979). A</w:t>
      </w:r>
      <w:r>
        <w:t xml:space="preserve"> </w:t>
      </w:r>
      <w:r>
        <w:t xml:space="preserve">Cluster Separation Measure</w:t>
      </w:r>
      <w:r>
        <w:t xml:space="preserve">.</w:t>
      </w:r>
      <w:r>
        <w:t xml:space="preserve"> </w:t>
      </w:r>
      <w:r>
        <w:rPr>
          <w:i/>
          <w:iCs/>
        </w:rPr>
        <w:t xml:space="preserve">IEEE Transactions on Pattern Analysis and Machine Intelligence</w:t>
      </w:r>
      <w:r>
        <w:t xml:space="preserve">,</w:t>
      </w:r>
      <w:r>
        <w:t xml:space="preserve"> </w:t>
      </w:r>
      <w:r>
        <w:rPr>
          <w:i/>
          <w:iCs/>
        </w:rPr>
        <w:t xml:space="preserve">PAMI-1</w:t>
      </w:r>
      <w:r>
        <w:t xml:space="preserve">(2), 224–227.</w:t>
      </w:r>
      <w:r>
        <w:t xml:space="preserve"> </w:t>
      </w:r>
      <w:hyperlink r:id="rId87">
        <w:r>
          <w:rPr>
            <w:rStyle w:val="Hyperlink"/>
          </w:rPr>
          <w:t xml:space="preserve">https://doi.org/10.1109/TPAMI.1979.4766909</w:t>
        </w:r>
      </w:hyperlink>
    </w:p>
    <w:bookmarkEnd w:id="88"/>
    <w:bookmarkStart w:id="89" w:name="ref-VisibleMeasurableImmediate"/>
    <w:p>
      <w:pPr>
        <w:pStyle w:val="Bibliography"/>
      </w:pPr>
      <w:r>
        <w:t xml:space="preserve">de Bellis, E., Klesse, A.-K., &amp; Valenzuela, A. (2026).</w:t>
      </w:r>
      <w:r>
        <w:t xml:space="preserve"> </w:t>
      </w:r>
      <w:r>
        <w:rPr>
          <w:i/>
          <w:iCs/>
        </w:rPr>
        <w:t xml:space="preserve">The</w:t>
      </w:r>
      <w:r>
        <w:rPr>
          <w:i/>
          <w:iCs/>
        </w:rPr>
        <w:t xml:space="preserve"> </w:t>
      </w:r>
      <w:r>
        <w:rPr>
          <w:i/>
          <w:iCs/>
        </w:rPr>
        <w:t xml:space="preserve">Visible</w:t>
      </w:r>
      <w:r>
        <w:rPr>
          <w:i/>
          <w:iCs/>
        </w:rPr>
        <w:t xml:space="preserve">, the</w:t>
      </w:r>
      <w:r>
        <w:rPr>
          <w:i/>
          <w:iCs/>
        </w:rPr>
        <w:t xml:space="preserve"> </w:t>
      </w:r>
      <w:r>
        <w:rPr>
          <w:i/>
          <w:iCs/>
        </w:rPr>
        <w:t xml:space="preserve">Measurable</w:t>
      </w:r>
      <w:r>
        <w:rPr>
          <w:i/>
          <w:iCs/>
        </w:rPr>
        <w:t xml:space="preserve">, and the</w:t>
      </w:r>
      <w:r>
        <w:rPr>
          <w:i/>
          <w:iCs/>
        </w:rPr>
        <w:t xml:space="preserve"> </w:t>
      </w:r>
      <w:r>
        <w:rPr>
          <w:i/>
          <w:iCs/>
        </w:rPr>
        <w:t xml:space="preserve">Immediate</w:t>
      </w:r>
      <w:r>
        <w:t xml:space="preserve">.</w:t>
      </w:r>
    </w:p>
    <w:bookmarkEnd w:id="89"/>
    <w:bookmarkStart w:id="91" w:name="ref-donthuHowConductBibliometric2021"/>
    <w:p>
      <w:pPr>
        <w:pStyle w:val="Bibliography"/>
      </w:pPr>
      <w:r>
        <w:t xml:space="preserve">Donthu, N., Kumar, S., Mukherjee, D., Pandey, N., &amp; Lim, W. M. (2021). How to conduct a bibliometric analysis:</w:t>
      </w:r>
      <w:r>
        <w:t xml:space="preserve"> </w:t>
      </w:r>
      <w:r>
        <w:t xml:space="preserve">An</w:t>
      </w:r>
      <w:r>
        <w:t xml:space="preserve"> </w:t>
      </w:r>
      <w:r>
        <w:t xml:space="preserve">overview and guidelines.</w:t>
      </w:r>
      <w:r>
        <w:t xml:space="preserve"> </w:t>
      </w:r>
      <w:r>
        <w:rPr>
          <w:i/>
          <w:iCs/>
        </w:rPr>
        <w:t xml:space="preserve">Journal of Business Research</w:t>
      </w:r>
      <w:r>
        <w:t xml:space="preserve">,</w:t>
      </w:r>
      <w:r>
        <w:t xml:space="preserve"> </w:t>
      </w:r>
      <w:r>
        <w:rPr>
          <w:i/>
          <w:iCs/>
        </w:rPr>
        <w:t xml:space="preserve">133</w:t>
      </w:r>
      <w:r>
        <w:t xml:space="preserve">, 285–296.</w:t>
      </w:r>
      <w:r>
        <w:t xml:space="preserve"> </w:t>
      </w:r>
      <w:hyperlink r:id="rId90">
        <w:r>
          <w:rPr>
            <w:rStyle w:val="Hyperlink"/>
          </w:rPr>
          <w:t xml:space="preserve">https://doi.org/10.1016/j.jbusres.2021.04.070</w:t>
        </w:r>
      </w:hyperlink>
    </w:p>
    <w:bookmarkEnd w:id="91"/>
    <w:bookmarkStart w:id="93" w:name="ref-fischerReuseNeedlePay2024"/>
    <w:p>
      <w:pPr>
        <w:pStyle w:val="Bibliography"/>
      </w:pPr>
      <w:r>
        <w:t xml:space="preserve">Fischer, O., Lob, A. B., &amp; Frey, R. (2024, November 22).</w:t>
      </w:r>
      <w:r>
        <w:t xml:space="preserve"> </w:t>
      </w:r>
      <w:r>
        <w:rPr>
          <w:i/>
          <w:iCs/>
        </w:rPr>
        <w:t xml:space="preserve">"</w:t>
      </w:r>
      <w:r>
        <w:rPr>
          <w:i/>
          <w:iCs/>
        </w:rPr>
        <w:t xml:space="preserve">To</w:t>
      </w:r>
      <w:r>
        <w:rPr>
          <w:i/>
          <w:iCs/>
        </w:rPr>
        <w:t xml:space="preserve"> </w:t>
      </w:r>
      <w:r>
        <w:rPr>
          <w:i/>
          <w:iCs/>
        </w:rPr>
        <w:t xml:space="preserve">reuse a needle or to pay digitally"?</w:t>
      </w:r>
      <w:r>
        <w:rPr>
          <w:i/>
          <w:iCs/>
        </w:rPr>
        <w:t xml:space="preserve"> </w:t>
      </w:r>
      <w:r>
        <w:rPr>
          <w:i/>
          <w:iCs/>
        </w:rPr>
        <w:t xml:space="preserve">A</w:t>
      </w:r>
      <w:r>
        <w:rPr>
          <w:i/>
          <w:iCs/>
        </w:rPr>
        <w:t xml:space="preserve"> </w:t>
      </w:r>
      <w:r>
        <w:rPr>
          <w:i/>
          <w:iCs/>
        </w:rPr>
        <w:t xml:space="preserve">comparative analysis of researchers’ and laypeople’s perspectives on risky choices and associated mechanisms</w:t>
      </w:r>
      <w:r>
        <w:t xml:space="preserve">.</w:t>
      </w:r>
      <w:r>
        <w:t xml:space="preserve"> </w:t>
      </w:r>
      <w:hyperlink r:id="rId92">
        <w:r>
          <w:rPr>
            <w:rStyle w:val="Hyperlink"/>
          </w:rPr>
          <w:t xml:space="preserve">https://doi.org/10.31234/osf.io/h43cj</w:t>
        </w:r>
      </w:hyperlink>
    </w:p>
    <w:bookmarkEnd w:id="93"/>
    <w:bookmarkStart w:id="95" w:name="X18974fea3fe182b56cf39c321495ac6ff97ecd7"/>
    <w:p>
      <w:pPr>
        <w:pStyle w:val="Bibliography"/>
      </w:pPr>
      <w:r>
        <w:t xml:space="preserve">Garfield, E. (2004). Historiographic</w:t>
      </w:r>
      <w:r>
        <w:t xml:space="preserve"> </w:t>
      </w:r>
      <w:r>
        <w:t xml:space="preserve">Mapping</w:t>
      </w:r>
      <w:r>
        <w:t xml:space="preserve"> </w:t>
      </w:r>
      <w:r>
        <w:t xml:space="preserve">of</w:t>
      </w:r>
      <w:r>
        <w:t xml:space="preserve"> </w:t>
      </w:r>
      <w:r>
        <w:t xml:space="preserve">Knowledge Domains Literature</w:t>
      </w:r>
      <w:r>
        <w:t xml:space="preserve">.</w:t>
      </w:r>
      <w:r>
        <w:t xml:space="preserve"> </w:t>
      </w:r>
      <w:r>
        <w:rPr>
          <w:i/>
          <w:iCs/>
        </w:rPr>
        <w:t xml:space="preserve">Journal of Information Science</w:t>
      </w:r>
      <w:r>
        <w:t xml:space="preserve">,</w:t>
      </w:r>
      <w:r>
        <w:t xml:space="preserve"> </w:t>
      </w:r>
      <w:r>
        <w:rPr>
          <w:i/>
          <w:iCs/>
        </w:rPr>
        <w:t xml:space="preserve">30</w:t>
      </w:r>
      <w:r>
        <w:t xml:space="preserve">(2), 119–145.</w:t>
      </w:r>
      <w:r>
        <w:t xml:space="preserve"> </w:t>
      </w:r>
      <w:hyperlink r:id="rId94">
        <w:r>
          <w:rPr>
            <w:rStyle w:val="Hyperlink"/>
          </w:rPr>
          <w:t xml:space="preserve">https://doi.org/10.1177/0165551504042802</w:t>
        </w:r>
      </w:hyperlink>
    </w:p>
    <w:bookmarkEnd w:id="95"/>
    <w:bookmarkStart w:id="97" w:name="ref-grewalHowGenerativeAI2025"/>
    <w:p>
      <w:pPr>
        <w:pStyle w:val="Bibliography"/>
      </w:pPr>
      <w:r>
        <w:t xml:space="preserve">Grewal, D., Satornino, C. B., Davenport, T., &amp; Guha, A. (2025). How generative</w:t>
      </w:r>
      <w:r>
        <w:t xml:space="preserve"> </w:t>
      </w:r>
      <w:r>
        <w:t xml:space="preserve">AI Is</w:t>
      </w:r>
      <w:r>
        <w:t xml:space="preserve"> </w:t>
      </w:r>
      <w:r>
        <w:t xml:space="preserve">shaping the future of marketing.</w:t>
      </w:r>
      <w:r>
        <w:t xml:space="preserve"> </w:t>
      </w:r>
      <w:r>
        <w:rPr>
          <w:i/>
          <w:iCs/>
        </w:rPr>
        <w:t xml:space="preserve">Journal of the Academy of Marketing Science</w:t>
      </w:r>
      <w:r>
        <w:t xml:space="preserve">,</w:t>
      </w:r>
      <w:r>
        <w:t xml:space="preserve"> </w:t>
      </w:r>
      <w:r>
        <w:rPr>
          <w:i/>
          <w:iCs/>
        </w:rPr>
        <w:t xml:space="preserve">53</w:t>
      </w:r>
      <w:r>
        <w:t xml:space="preserve">(3), 702–722.</w:t>
      </w:r>
      <w:r>
        <w:t xml:space="preserve"> </w:t>
      </w:r>
      <w:hyperlink r:id="rId96">
        <w:r>
          <w:rPr>
            <w:rStyle w:val="Hyperlink"/>
          </w:rPr>
          <w:t xml:space="preserve">https://doi.org/10.1007/s11747-024-01064-3</w:t>
        </w:r>
      </w:hyperlink>
    </w:p>
    <w:bookmarkEnd w:id="97"/>
    <w:bookmarkStart w:id="99" w:name="ref-hoffmanRiseNewTechnologies2022"/>
    <w:p>
      <w:pPr>
        <w:pStyle w:val="Bibliography"/>
      </w:pPr>
      <w:r>
        <w:t xml:space="preserve">Hoffman, D. L., Moreau, C. P., Stremersch, S., &amp; Wedel, M. (2022). The</w:t>
      </w:r>
      <w:r>
        <w:t xml:space="preserve"> </w:t>
      </w:r>
      <w:r>
        <w:t xml:space="preserve">Rise</w:t>
      </w:r>
      <w:r>
        <w:t xml:space="preserve"> </w:t>
      </w:r>
      <w:r>
        <w:t xml:space="preserve">of</w:t>
      </w:r>
      <w:r>
        <w:t xml:space="preserve"> </w:t>
      </w:r>
      <w:r>
        <w:t xml:space="preserve">New Technologies</w:t>
      </w:r>
      <w:r>
        <w:t xml:space="preserve"> </w:t>
      </w:r>
      <w:r>
        <w:t xml:space="preserve">in</w:t>
      </w:r>
      <w:r>
        <w:t xml:space="preserve"> </w:t>
      </w:r>
      <w:r>
        <w:t xml:space="preserve">Marketing</w:t>
      </w:r>
      <w:r>
        <w:t xml:space="preserve">:</w:t>
      </w:r>
      <w:r>
        <w:t xml:space="preserve"> </w:t>
      </w:r>
      <w:r>
        <w:t xml:space="preserve">A Framework</w:t>
      </w:r>
      <w:r>
        <w:t xml:space="preserve"> </w:t>
      </w:r>
      <w:r>
        <w:t xml:space="preserve">and</w:t>
      </w:r>
      <w:r>
        <w:t xml:space="preserve"> </w:t>
      </w:r>
      <w:r>
        <w:t xml:space="preserve">Outlook</w:t>
      </w:r>
      <w:r>
        <w:t xml:space="preserve">.</w:t>
      </w:r>
      <w:r>
        <w:t xml:space="preserve"> </w:t>
      </w:r>
      <w:r>
        <w:rPr>
          <w:i/>
          <w:iCs/>
        </w:rPr>
        <w:t xml:space="preserve">Journal of Marketing</w:t>
      </w:r>
      <w:r>
        <w:t xml:space="preserve">,</w:t>
      </w:r>
      <w:r>
        <w:t xml:space="preserve"> </w:t>
      </w:r>
      <w:r>
        <w:rPr>
          <w:i/>
          <w:iCs/>
        </w:rPr>
        <w:t xml:space="preserve">86</w:t>
      </w:r>
      <w:r>
        <w:t xml:space="preserve">(1), 1–6.</w:t>
      </w:r>
      <w:r>
        <w:t xml:space="preserve"> </w:t>
      </w:r>
      <w:hyperlink r:id="rId98">
        <w:r>
          <w:rPr>
            <w:rStyle w:val="Hyperlink"/>
          </w:rPr>
          <w:t xml:space="preserve">https://doi.org/10.1177/00222429211061636</w:t>
        </w:r>
      </w:hyperlink>
    </w:p>
    <w:bookmarkEnd w:id="99"/>
    <w:bookmarkStart w:id="101" w:name="ref-huChatGPTSetsRecord2023"/>
    <w:p>
      <w:pPr>
        <w:pStyle w:val="Bibliography"/>
      </w:pPr>
      <w:r>
        <w:t xml:space="preserve">Hu, K., &amp; Hu, K. (2023, February 2).</w:t>
      </w:r>
      <w:r>
        <w:t xml:space="preserve"> </w:t>
      </w:r>
      <w:r>
        <w:t xml:space="preserve">ChatGPT</w:t>
      </w:r>
      <w:r>
        <w:t xml:space="preserve"> </w:t>
      </w:r>
      <w:r>
        <w:t xml:space="preserve">sets record for fastest-growing user base - analyst note.</w:t>
      </w:r>
      <w:r>
        <w:t xml:space="preserve"> </w:t>
      </w:r>
      <w:r>
        <w:rPr>
          <w:i/>
          <w:iCs/>
        </w:rPr>
        <w:t xml:space="preserve">Reuters: Technology</w:t>
      </w:r>
      <w:r>
        <w:t xml:space="preserve">.</w:t>
      </w:r>
      <w:r>
        <w:t xml:space="preserve"> </w:t>
      </w:r>
      <w:hyperlink r:id="rId100">
        <w:r>
          <w:rPr>
            <w:rStyle w:val="Hyperlink"/>
          </w:rPr>
          <w:t xml:space="preserve">https://www.reuters.com/technology/chatgpt-sets-record-fastest-growing-user-base-analyst-note-2023-02-01/</w:t>
        </w:r>
      </w:hyperlink>
    </w:p>
    <w:bookmarkEnd w:id="101"/>
    <w:bookmarkStart w:id="103" w:name="X4bfed5635d964a1a6a21f3afa9bf4834a89002d"/>
    <w:p>
      <w:pPr>
        <w:pStyle w:val="Bibliography"/>
      </w:pPr>
      <w:r>
        <w:t xml:space="preserve">Joerling, M. (2026). Integrating</w:t>
      </w:r>
      <w:r>
        <w:t xml:space="preserve"> </w:t>
      </w:r>
      <w:r>
        <w:t xml:space="preserve">GenAI</w:t>
      </w:r>
      <w:r>
        <w:t xml:space="preserve"> </w:t>
      </w:r>
      <w:r>
        <w:t xml:space="preserve">interactions in marketing studies:</w:t>
      </w:r>
      <w:r>
        <w:t xml:space="preserve"> </w:t>
      </w:r>
      <w:r>
        <w:t xml:space="preserve">A</w:t>
      </w:r>
      <w:r>
        <w:t xml:space="preserve"> </w:t>
      </w:r>
      <w:r>
        <w:t xml:space="preserve">methodological guide.</w:t>
      </w:r>
      <w:r>
        <w:t xml:space="preserve"> </w:t>
      </w:r>
      <w:r>
        <w:rPr>
          <w:i/>
          <w:iCs/>
        </w:rPr>
        <w:t xml:space="preserve">International Journal of Research in Marketing</w:t>
      </w:r>
      <w:r>
        <w:t xml:space="preserve">,</w:t>
      </w:r>
      <w:r>
        <w:t xml:space="preserve"> </w:t>
      </w:r>
      <w:r>
        <w:rPr>
          <w:i/>
          <w:iCs/>
        </w:rPr>
        <w:t xml:space="preserve">43</w:t>
      </w:r>
      <w:r>
        <w:t xml:space="preserve">(1), 28–47.</w:t>
      </w:r>
      <w:r>
        <w:t xml:space="preserve"> </w:t>
      </w:r>
      <w:hyperlink r:id="rId102">
        <w:r>
          <w:rPr>
            <w:rStyle w:val="Hyperlink"/>
          </w:rPr>
          <w:t xml:space="preserve">https://doi.org/10.1016/j.ijresmar.2025.12.003</w:t>
        </w:r>
      </w:hyperlink>
    </w:p>
    <w:bookmarkEnd w:id="103"/>
    <w:bookmarkStart w:id="105" w:name="ref-kennedyHowAmericansView2025"/>
    <w:p>
      <w:pPr>
        <w:pStyle w:val="Bibliography"/>
      </w:pPr>
      <w:r>
        <w:t xml:space="preserve">Kennedy, B., Yam, E., Kikuchi, E., Pula, I., &amp; Fuentes, J. (2025, September 17).</w:t>
      </w:r>
      <w:r>
        <w:t xml:space="preserve"> </w:t>
      </w:r>
      <w:r>
        <w:rPr>
          <w:i/>
          <w:iCs/>
        </w:rPr>
        <w:t xml:space="preserve">How</w:t>
      </w:r>
      <w:r>
        <w:rPr>
          <w:i/>
          <w:iCs/>
        </w:rPr>
        <w:t xml:space="preserve"> </w:t>
      </w:r>
      <w:r>
        <w:rPr>
          <w:i/>
          <w:iCs/>
        </w:rPr>
        <w:t xml:space="preserve">Americans View AI</w:t>
      </w:r>
      <w:r>
        <w:rPr>
          <w:i/>
          <w:iCs/>
        </w:rPr>
        <w:t xml:space="preserve"> </w:t>
      </w:r>
      <w:r>
        <w:rPr>
          <w:i/>
          <w:iCs/>
        </w:rPr>
        <w:t xml:space="preserve">and</w:t>
      </w:r>
      <w:r>
        <w:rPr>
          <w:i/>
          <w:iCs/>
        </w:rPr>
        <w:t xml:space="preserve"> </w:t>
      </w:r>
      <w:r>
        <w:rPr>
          <w:i/>
          <w:iCs/>
        </w:rPr>
        <w:t xml:space="preserve">Its Impact</w:t>
      </w:r>
      <w:r>
        <w:rPr>
          <w:i/>
          <w:iCs/>
        </w:rPr>
        <w:t xml:space="preserve"> </w:t>
      </w:r>
      <w:r>
        <w:rPr>
          <w:i/>
          <w:iCs/>
        </w:rPr>
        <w:t xml:space="preserve">on</w:t>
      </w:r>
      <w:r>
        <w:rPr>
          <w:i/>
          <w:iCs/>
        </w:rPr>
        <w:t xml:space="preserve"> </w:t>
      </w:r>
      <w:r>
        <w:rPr>
          <w:i/>
          <w:iCs/>
        </w:rPr>
        <w:t xml:space="preserve">People</w:t>
      </w:r>
      <w:r>
        <w:rPr>
          <w:i/>
          <w:iCs/>
        </w:rPr>
        <w:t xml:space="preserve"> </w:t>
      </w:r>
      <w:r>
        <w:rPr>
          <w:i/>
          <w:iCs/>
        </w:rPr>
        <w:t xml:space="preserve">and</w:t>
      </w:r>
      <w:r>
        <w:rPr>
          <w:i/>
          <w:iCs/>
        </w:rPr>
        <w:t xml:space="preserve"> </w:t>
      </w:r>
      <w:r>
        <w:rPr>
          <w:i/>
          <w:iCs/>
        </w:rPr>
        <w:t xml:space="preserve">Society</w:t>
      </w:r>
      <w:r>
        <w:t xml:space="preserve">. Pew Research Center.</w:t>
      </w:r>
      <w:r>
        <w:t xml:space="preserve"> </w:t>
      </w:r>
      <w:hyperlink r:id="rId104">
        <w:r>
          <w:rPr>
            <w:rStyle w:val="Hyperlink"/>
          </w:rPr>
          <w:t xml:space="preserve">https://www.pewresearch.org/science/2025/09/17/how-americans-view-ai-and-its-impact-on-people-and-society/</w:t>
        </w:r>
      </w:hyperlink>
    </w:p>
    <w:bookmarkEnd w:id="105"/>
    <w:bookmarkStart w:id="107" w:name="ref-kirkWhyHumanAI2025"/>
    <w:p>
      <w:pPr>
        <w:pStyle w:val="Bibliography"/>
      </w:pPr>
      <w:r>
        <w:t xml:space="preserve">Kirk, H. R., Gabriel, I., Summerfield, C., Vidgen, B., &amp; Hale, S. A. (2025). Why human–</w:t>
      </w:r>
      <w:r>
        <w:t xml:space="preserve">AI</w:t>
      </w:r>
      <w:r>
        <w:t xml:space="preserve"> </w:t>
      </w:r>
      <w:r>
        <w:t xml:space="preserve">relationships need socioaffective alignment.</w:t>
      </w:r>
      <w:r>
        <w:t xml:space="preserve"> </w:t>
      </w:r>
      <w:r>
        <w:rPr>
          <w:i/>
          <w:iCs/>
        </w:rPr>
        <w:t xml:space="preserve">Humanities and Social Sciences Communications</w:t>
      </w:r>
      <w:r>
        <w:t xml:space="preserve">,</w:t>
      </w:r>
      <w:r>
        <w:t xml:space="preserve"> </w:t>
      </w:r>
      <w:r>
        <w:rPr>
          <w:i/>
          <w:iCs/>
        </w:rPr>
        <w:t xml:space="preserve">12</w:t>
      </w:r>
      <w:r>
        <w:t xml:space="preserve">(1), 728.</w:t>
      </w:r>
      <w:r>
        <w:t xml:space="preserve"> </w:t>
      </w:r>
      <w:hyperlink r:id="rId106">
        <w:r>
          <w:rPr>
            <w:rStyle w:val="Hyperlink"/>
          </w:rPr>
          <w:t xml:space="preserve">https://doi.org/10.1057/s41599-025-04532-5</w:t>
        </w:r>
      </w:hyperlink>
    </w:p>
    <w:bookmarkEnd w:id="107"/>
    <w:bookmarkStart w:id="108" w:name="X1ee6c0be2793064c85ed6527d182657f89961b8"/>
    <w:p>
      <w:pPr>
        <w:pStyle w:val="Bibliography"/>
      </w:pPr>
      <w:r>
        <w:t xml:space="preserve">MacQueen, J. (1967). Some methods for classification and analysis of multivariate observations. In L. M. Le Cam &amp; J. Neyman (Eds.),</w:t>
      </w:r>
      <w:r>
        <w:t xml:space="preserve"> </w:t>
      </w:r>
      <w:r>
        <w:rPr>
          <w:i/>
          <w:iCs/>
        </w:rPr>
        <w:t xml:space="preserve">Proceedings of the fifth berkeley symposium on mathematical statistics and probability</w:t>
      </w:r>
      <w:r>
        <w:t xml:space="preserve"> </w:t>
      </w:r>
      <w:r>
        <w:t xml:space="preserve">(Vol. 1, pp. 281–297). University of California Press.</w:t>
      </w:r>
    </w:p>
    <w:bookmarkEnd w:id="108"/>
    <w:bookmarkStart w:id="110" w:name="ref-malterPresentFutureConsumer2020"/>
    <w:p>
      <w:pPr>
        <w:pStyle w:val="Bibliography"/>
      </w:pPr>
      <w:r>
        <w:t xml:space="preserve">Malter, M. S., Holbrook, M. B., Kahn, B. E., Parker, J. R., &amp; Lehmann, D. R. (2020). The past, present, and future of consumer research.</w:t>
      </w:r>
      <w:r>
        <w:t xml:space="preserve"> </w:t>
      </w:r>
      <w:r>
        <w:rPr>
          <w:i/>
          <w:iCs/>
        </w:rPr>
        <w:t xml:space="preserve">Marketing Letters</w:t>
      </w:r>
      <w:r>
        <w:t xml:space="preserve">,</w:t>
      </w:r>
      <w:r>
        <w:t xml:space="preserve"> </w:t>
      </w:r>
      <w:r>
        <w:rPr>
          <w:i/>
          <w:iCs/>
        </w:rPr>
        <w:t xml:space="preserve">31</w:t>
      </w:r>
      <w:r>
        <w:t xml:space="preserve">(2–3), 137–149.</w:t>
      </w:r>
      <w:r>
        <w:t xml:space="preserve"> </w:t>
      </w:r>
      <w:hyperlink r:id="rId109">
        <w:r>
          <w:rPr>
            <w:rStyle w:val="Hyperlink"/>
          </w:rPr>
          <w:t xml:space="preserve">https://doi.org/10.1007/s11002-020-09526-8</w:t>
        </w:r>
      </w:hyperlink>
    </w:p>
    <w:bookmarkEnd w:id="110"/>
    <w:bookmarkStart w:id="112" w:name="ref-mcinnesUMAPUniformManifold2018"/>
    <w:p>
      <w:pPr>
        <w:pStyle w:val="Bibliography"/>
      </w:pPr>
      <w:r>
        <w:t xml:space="preserve">McInnes, L., Healy, J., Saul, N., &amp; Großberger, L. (2018).</w:t>
      </w:r>
      <w:r>
        <w:t xml:space="preserve"> </w:t>
      </w:r>
      <w:r>
        <w:t xml:space="preserve">UMAP</w:t>
      </w:r>
      <w:r>
        <w:t xml:space="preserve">:</w:t>
      </w:r>
      <w:r>
        <w:t xml:space="preserve"> </w:t>
      </w:r>
      <w:r>
        <w:t xml:space="preserve">Uniform Manifold Approximation</w:t>
      </w:r>
      <w:r>
        <w:t xml:space="preserve"> </w:t>
      </w:r>
      <w:r>
        <w:t xml:space="preserve">and</w:t>
      </w:r>
      <w:r>
        <w:t xml:space="preserve"> </w:t>
      </w:r>
      <w:r>
        <w:t xml:space="preserve">Projection</w:t>
      </w:r>
      <w:r>
        <w:t xml:space="preserve">.</w:t>
      </w:r>
      <w:r>
        <w:t xml:space="preserve"> </w:t>
      </w:r>
      <w:r>
        <w:rPr>
          <w:i/>
          <w:iCs/>
        </w:rPr>
        <w:t xml:space="preserve">Journal of Open Source Software</w:t>
      </w:r>
      <w:r>
        <w:t xml:space="preserve">,</w:t>
      </w:r>
      <w:r>
        <w:t xml:space="preserve"> </w:t>
      </w:r>
      <w:r>
        <w:rPr>
          <w:i/>
          <w:iCs/>
        </w:rPr>
        <w:t xml:space="preserve">3</w:t>
      </w:r>
      <w:r>
        <w:t xml:space="preserve">(29), 861.</w:t>
      </w:r>
      <w:r>
        <w:t xml:space="preserve"> </w:t>
      </w:r>
      <w:hyperlink r:id="rId111">
        <w:r>
          <w:rPr>
            <w:rStyle w:val="Hyperlink"/>
          </w:rPr>
          <w:t xml:space="preserve">https://doi.org/10.21105/joss.00861</w:t>
        </w:r>
      </w:hyperlink>
    </w:p>
    <w:bookmarkEnd w:id="112"/>
    <w:bookmarkStart w:id="114" w:name="ref-mollerImpactGenerativeAI2026"/>
    <w:p>
      <w:pPr>
        <w:pStyle w:val="Bibliography"/>
      </w:pPr>
      <w:r>
        <w:t xml:space="preserve">Møller, A. G., Romero, D. M., Jurgens, D., &amp; Aiello, L. M. (2026). The impact of generative</w:t>
      </w:r>
      <w:r>
        <w:t xml:space="preserve"> </w:t>
      </w:r>
      <w:r>
        <w:t xml:space="preserve">AI</w:t>
      </w:r>
      <w:r>
        <w:t xml:space="preserve"> </w:t>
      </w:r>
      <w:r>
        <w:t xml:space="preserve">on social media: An experimental study.</w:t>
      </w:r>
      <w:r>
        <w:t xml:space="preserve"> </w:t>
      </w:r>
      <w:r>
        <w:rPr>
          <w:i/>
          <w:iCs/>
        </w:rPr>
        <w:t xml:space="preserve">Scientific Reports</w:t>
      </w:r>
      <w:r>
        <w:t xml:space="preserve">,</w:t>
      </w:r>
      <w:r>
        <w:t xml:space="preserve"> </w:t>
      </w:r>
      <w:r>
        <w:rPr>
          <w:i/>
          <w:iCs/>
        </w:rPr>
        <w:t xml:space="preserve">16</w:t>
      </w:r>
      <w:r>
        <w:t xml:space="preserve">(1), 9376.</w:t>
      </w:r>
      <w:r>
        <w:t xml:space="preserve"> </w:t>
      </w:r>
      <w:hyperlink r:id="rId113">
        <w:r>
          <w:rPr>
            <w:rStyle w:val="Hyperlink"/>
          </w:rPr>
          <w:t xml:space="preserve">https://doi.org/10.1038/s41598-026-40110-8</w:t>
        </w:r>
      </w:hyperlink>
    </w:p>
    <w:bookmarkEnd w:id="114"/>
    <w:bookmarkStart w:id="116" w:name="ref-moschellaAIMuchMore2025"/>
    <w:p>
      <w:pPr>
        <w:pStyle w:val="Bibliography"/>
      </w:pPr>
      <w:r>
        <w:t xml:space="preserve">Moschella, D. (2025).</w:t>
      </w:r>
      <w:r>
        <w:t xml:space="preserve"> </w:t>
      </w:r>
      <w:r>
        <w:rPr>
          <w:i/>
          <w:iCs/>
        </w:rPr>
        <w:t xml:space="preserve">AI Is Much More Evolutionary Than Revolutionary</w:t>
      </w:r>
      <w:r>
        <w:t xml:space="preserve">.</w:t>
      </w:r>
      <w:r>
        <w:t xml:space="preserve"> </w:t>
      </w:r>
      <w:hyperlink r:id="rId115">
        <w:r>
          <w:rPr>
            <w:rStyle w:val="Hyperlink"/>
          </w:rPr>
          <w:t xml:space="preserve">https://itif.org/publications/2025/09/22/ai-is-much-more-evolutionary-than-revolutionary/</w:t>
        </w:r>
      </w:hyperlink>
    </w:p>
    <w:bookmarkEnd w:id="116"/>
    <w:bookmarkStart w:id="118" w:name="ref-muzumdarDeadInternetTheory2025"/>
    <w:p>
      <w:pPr>
        <w:pStyle w:val="Bibliography"/>
      </w:pPr>
      <w:r>
        <w:t xml:space="preserve">Muzumdar, P., Cheemalapati, S., RamiReddy, S. R., Singh, K., Kurian, G., &amp; Muley, A. (2025). The</w:t>
      </w:r>
      <w:r>
        <w:t xml:space="preserve"> </w:t>
      </w:r>
      <w:r>
        <w:t xml:space="preserve">Dead Internet Theory</w:t>
      </w:r>
      <w:r>
        <w:t xml:space="preserve">:</w:t>
      </w:r>
      <w:r>
        <w:t xml:space="preserve"> </w:t>
      </w:r>
      <w:r>
        <w:t xml:space="preserve">A Survey</w:t>
      </w:r>
      <w:r>
        <w:t xml:space="preserve"> </w:t>
      </w:r>
      <w:r>
        <w:t xml:space="preserve">on</w:t>
      </w:r>
      <w:r>
        <w:t xml:space="preserve"> </w:t>
      </w:r>
      <w:r>
        <w:t xml:space="preserve">Artificial Interactions</w:t>
      </w:r>
      <w:r>
        <w:t xml:space="preserve"> </w:t>
      </w:r>
      <w:r>
        <w:t xml:space="preserve">and the</w:t>
      </w:r>
      <w:r>
        <w:t xml:space="preserve"> </w:t>
      </w:r>
      <w:r>
        <w:t xml:space="preserve">Future</w:t>
      </w:r>
      <w:r>
        <w:t xml:space="preserve"> </w:t>
      </w:r>
      <w:r>
        <w:t xml:space="preserve">of</w:t>
      </w:r>
      <w:r>
        <w:t xml:space="preserve"> </w:t>
      </w:r>
      <w:r>
        <w:t xml:space="preserve">Social Media</w:t>
      </w:r>
      <w:r>
        <w:t xml:space="preserve">.</w:t>
      </w:r>
      <w:r>
        <w:t xml:space="preserve"> </w:t>
      </w:r>
      <w:r>
        <w:rPr>
          <w:i/>
          <w:iCs/>
        </w:rPr>
        <w:t xml:space="preserve">Asian Journal of Research in Computer Science</w:t>
      </w:r>
      <w:r>
        <w:t xml:space="preserve">,</w:t>
      </w:r>
      <w:r>
        <w:t xml:space="preserve"> </w:t>
      </w:r>
      <w:r>
        <w:rPr>
          <w:i/>
          <w:iCs/>
        </w:rPr>
        <w:t xml:space="preserve">18</w:t>
      </w:r>
      <w:r>
        <w:t xml:space="preserve">(1), 67–73.</w:t>
      </w:r>
      <w:r>
        <w:t xml:space="preserve"> </w:t>
      </w:r>
      <w:hyperlink r:id="rId117">
        <w:r>
          <w:rPr>
            <w:rStyle w:val="Hyperlink"/>
          </w:rPr>
          <w:t xml:space="preserve">https://doi.org/10.9734/ajrcos/2025/v18i1549</w:t>
        </w:r>
      </w:hyperlink>
    </w:p>
    <w:bookmarkEnd w:id="118"/>
    <w:bookmarkStart w:id="120" w:name="ref-openai2022chatgpt"/>
    <w:p>
      <w:pPr>
        <w:pStyle w:val="Bibliography"/>
      </w:pPr>
      <w:r>
        <w:t xml:space="preserve">OpenAI. (2022).</w:t>
      </w:r>
      <w:r>
        <w:t xml:space="preserve"> </w:t>
      </w:r>
      <w:r>
        <w:rPr>
          <w:i/>
          <w:iCs/>
        </w:rPr>
        <w:t xml:space="preserve">Introducing</w:t>
      </w:r>
      <w:r>
        <w:rPr>
          <w:i/>
          <w:iCs/>
        </w:rPr>
        <w:t xml:space="preserve"> </w:t>
      </w:r>
      <w:r>
        <w:rPr>
          <w:i/>
          <w:iCs/>
        </w:rPr>
        <w:t xml:space="preserve">ChatGPT</w:t>
      </w:r>
      <w:r>
        <w:t xml:space="preserve">. OpenAI.</w:t>
      </w:r>
      <w:r>
        <w:t xml:space="preserve"> </w:t>
      </w:r>
      <w:hyperlink r:id="rId119">
        <w:r>
          <w:rPr>
            <w:rStyle w:val="Hyperlink"/>
          </w:rPr>
          <w:t xml:space="preserve">https://openai.com/index/chatgpt/</w:t>
        </w:r>
      </w:hyperlink>
    </w:p>
    <w:bookmarkEnd w:id="120"/>
    <w:bookmarkStart w:id="122" w:name="ref-ramanUnveilingDynamicsAI2024"/>
    <w:p>
      <w:pPr>
        <w:pStyle w:val="Bibliography"/>
      </w:pPr>
      <w:r>
        <w:t xml:space="preserve">Raman, R., Pattnaik, D., Hughes, L., &amp; Nedungadi, P. (2024). Unveiling the dynamics of</w:t>
      </w:r>
      <w:r>
        <w:t xml:space="preserve"> </w:t>
      </w:r>
      <w:r>
        <w:t xml:space="preserve">AI</w:t>
      </w:r>
      <w:r>
        <w:t xml:space="preserve"> </w:t>
      </w:r>
      <w:r>
        <w:t xml:space="preserve">applications:</w:t>
      </w:r>
      <w:r>
        <w:t xml:space="preserve"> </w:t>
      </w:r>
      <w:r>
        <w:t xml:space="preserve">A</w:t>
      </w:r>
      <w:r>
        <w:t xml:space="preserve"> </w:t>
      </w:r>
      <w:r>
        <w:t xml:space="preserve">review of reviews using scientometrics and</w:t>
      </w:r>
      <w:r>
        <w:t xml:space="preserve"> </w:t>
      </w:r>
      <w:r>
        <w:t xml:space="preserve">BERTopic</w:t>
      </w:r>
      <w:r>
        <w:t xml:space="preserve"> </w:t>
      </w:r>
      <w:r>
        <w:t xml:space="preserve">modeling.</w:t>
      </w:r>
      <w:r>
        <w:t xml:space="preserve"> </w:t>
      </w:r>
      <w:r>
        <w:rPr>
          <w:i/>
          <w:iCs/>
        </w:rPr>
        <w:t xml:space="preserve">Journal of Innovation &amp; Knowledge</w:t>
      </w:r>
      <w:r>
        <w:t xml:space="preserve">,</w:t>
      </w:r>
      <w:r>
        <w:t xml:space="preserve"> </w:t>
      </w:r>
      <w:r>
        <w:rPr>
          <w:i/>
          <w:iCs/>
        </w:rPr>
        <w:t xml:space="preserve">9</w:t>
      </w:r>
      <w:r>
        <w:t xml:space="preserve">(3), 100517.</w:t>
      </w:r>
      <w:r>
        <w:t xml:space="preserve"> </w:t>
      </w:r>
      <w:hyperlink r:id="rId121">
        <w:r>
          <w:rPr>
            <w:rStyle w:val="Hyperlink"/>
          </w:rPr>
          <w:t xml:space="preserve">https://doi.org/10.1016/j.jik.2024.100517</w:t>
        </w:r>
      </w:hyperlink>
    </w:p>
    <w:bookmarkEnd w:id="122"/>
    <w:bookmarkStart w:id="124" w:name="ref-reimers2019sentencebert"/>
    <w:p>
      <w:pPr>
        <w:pStyle w:val="Bibliography"/>
      </w:pPr>
      <w:r>
        <w:t xml:space="preserve">Reimers, N., &amp; Gurevych, I. (2019). Sentence-</w:t>
      </w:r>
      <w:r>
        <w:t xml:space="preserve">BERT</w:t>
      </w:r>
      <w:r>
        <w:t xml:space="preserve">:</w:t>
      </w:r>
      <w:r>
        <w:t xml:space="preserve"> </w:t>
      </w:r>
      <w:r>
        <w:t xml:space="preserve">Sentence</w:t>
      </w:r>
      <w:r>
        <w:t xml:space="preserve"> </w:t>
      </w:r>
      <w:r>
        <w:t xml:space="preserve">embeddings using siamese</w:t>
      </w:r>
      <w:r>
        <w:t xml:space="preserve"> </w:t>
      </w:r>
      <w:r>
        <w:t xml:space="preserve">BERT-networks</w:t>
      </w:r>
      <w:r>
        <w:t xml:space="preserve">.</w:t>
      </w:r>
      <w:r>
        <w:t xml:space="preserve"> </w:t>
      </w:r>
      <w:r>
        <w:rPr>
          <w:i/>
          <w:iCs/>
        </w:rPr>
        <w:t xml:space="preserve">Proceedings of the 2019 Conference on Empirical Methods in Natural Language Processing and the 9th International Joint Conference on Natural Language Processing</w:t>
      </w:r>
      <w:r>
        <w:t xml:space="preserve">, 3982–3992.</w:t>
      </w:r>
      <w:r>
        <w:t xml:space="preserve"> </w:t>
      </w:r>
      <w:hyperlink r:id="rId123">
        <w:r>
          <w:rPr>
            <w:rStyle w:val="Hyperlink"/>
          </w:rPr>
          <w:t xml:space="preserve">https://doi.org/10.18653/v1/D19-1410</w:t>
        </w:r>
      </w:hyperlink>
    </w:p>
    <w:bookmarkEnd w:id="124"/>
    <w:bookmarkStart w:id="126" w:name="ref-riandhiAIConsumerBehavior2025"/>
    <w:p>
      <w:pPr>
        <w:pStyle w:val="Bibliography"/>
      </w:pPr>
      <w:r>
        <w:t xml:space="preserve">Riandhi, A. N., Arviansyah, M. R., &amp; Sondari, M. C. (2025).</w:t>
      </w:r>
      <w:r>
        <w:t xml:space="preserve"> </w:t>
      </w:r>
      <w:r>
        <w:t xml:space="preserve">AI</w:t>
      </w:r>
      <w:r>
        <w:t xml:space="preserve"> </w:t>
      </w:r>
      <w:r>
        <w:t xml:space="preserve">and consumer behavior:</w:t>
      </w:r>
      <w:r>
        <w:t xml:space="preserve"> </w:t>
      </w:r>
      <w:r>
        <w:t xml:space="preserve">Trends</w:t>
      </w:r>
      <w:r>
        <w:t xml:space="preserve">, technologies, and future directions from a scopus-based systematic review.</w:t>
      </w:r>
      <w:r>
        <w:t xml:space="preserve"> </w:t>
      </w:r>
      <w:r>
        <w:rPr>
          <w:i/>
          <w:iCs/>
        </w:rPr>
        <w:t xml:space="preserve">Cogent Business &amp; Management</w:t>
      </w:r>
      <w:r>
        <w:t xml:space="preserve">,</w:t>
      </w:r>
      <w:r>
        <w:t xml:space="preserve"> </w:t>
      </w:r>
      <w:r>
        <w:rPr>
          <w:i/>
          <w:iCs/>
        </w:rPr>
        <w:t xml:space="preserve">12</w:t>
      </w:r>
      <w:r>
        <w:t xml:space="preserve">(1), 2544984.</w:t>
      </w:r>
      <w:r>
        <w:t xml:space="preserve"> </w:t>
      </w:r>
      <w:hyperlink r:id="rId125">
        <w:r>
          <w:rPr>
            <w:rStyle w:val="Hyperlink"/>
          </w:rPr>
          <w:t xml:space="preserve">https://doi.org/10.1080/23311975.2025.2544984</w:t>
        </w:r>
      </w:hyperlink>
    </w:p>
    <w:bookmarkEnd w:id="126"/>
    <w:bookmarkStart w:id="128" w:name="ref-roberts2021mediacloud"/>
    <w:p>
      <w:pPr>
        <w:pStyle w:val="Bibliography"/>
      </w:pPr>
      <w:r>
        <w:t xml:space="preserve">Roberts, H., Bhargava, R., Valiukas, L., Jen, D., Malik, M. M., Bishop, C. S., Ndulue, E. B., Dave, A., Clark, J., Etling, B., et al. (2021). Media cloud:</w:t>
      </w:r>
      <w:r>
        <w:t xml:space="preserve"> </w:t>
      </w:r>
      <w:r>
        <w:t xml:space="preserve">Massive</w:t>
      </w:r>
      <w:r>
        <w:t xml:space="preserve"> </w:t>
      </w:r>
      <w:r>
        <w:t xml:space="preserve">open source collection of global news on the open web.</w:t>
      </w:r>
      <w:r>
        <w:t xml:space="preserve"> </w:t>
      </w:r>
      <w:r>
        <w:rPr>
          <w:i/>
          <w:iCs/>
        </w:rPr>
        <w:t xml:space="preserve">Proceedings of the International</w:t>
      </w:r>
      <w:r>
        <w:rPr>
          <w:i/>
          <w:iCs/>
        </w:rPr>
        <w:t xml:space="preserve"> </w:t>
      </w:r>
      <w:r>
        <w:rPr>
          <w:i/>
          <w:iCs/>
        </w:rPr>
        <w:t xml:space="preserve">AAAI</w:t>
      </w:r>
      <w:r>
        <w:rPr>
          <w:i/>
          <w:iCs/>
        </w:rPr>
        <w:t xml:space="preserve"> </w:t>
      </w:r>
      <w:r>
        <w:rPr>
          <w:i/>
          <w:iCs/>
        </w:rPr>
        <w:t xml:space="preserve">Conference on Web and Social Media</w:t>
      </w:r>
      <w:r>
        <w:t xml:space="preserve">,</w:t>
      </w:r>
      <w:r>
        <w:t xml:space="preserve"> </w:t>
      </w:r>
      <w:r>
        <w:rPr>
          <w:i/>
          <w:iCs/>
        </w:rPr>
        <w:t xml:space="preserve">15</w:t>
      </w:r>
      <w:r>
        <w:t xml:space="preserve">, 1034–1045.</w:t>
      </w:r>
      <w:r>
        <w:t xml:space="preserve"> </w:t>
      </w:r>
      <w:hyperlink r:id="rId127">
        <w:r>
          <w:rPr>
            <w:rStyle w:val="Hyperlink"/>
          </w:rPr>
          <w:t xml:space="preserve">https://doi.org/10.1609/icwsm.v15i1.18127</w:t>
        </w:r>
      </w:hyperlink>
    </w:p>
    <w:bookmarkEnd w:id="128"/>
    <w:bookmarkStart w:id="130" w:name="ref-roggenkampEXPRESSDICEAdvancing2025"/>
    <w:p>
      <w:pPr>
        <w:pStyle w:val="Bibliography"/>
      </w:pPr>
      <w:r>
        <w:t xml:space="preserve">Roggenkamp, H., Boegershausen, J., &amp; Hildebrand, C. (2025).</w:t>
      </w:r>
      <w:r>
        <w:t xml:space="preserve"> </w:t>
      </w:r>
      <w:r>
        <w:t xml:space="preserve">EXPRESS</w:t>
      </w:r>
      <w:r>
        <w:t xml:space="preserve">:</w:t>
      </w:r>
      <w:r>
        <w:t xml:space="preserve"> </w:t>
      </w:r>
      <w:r>
        <w:t xml:space="preserve">DICE</w:t>
      </w:r>
      <w:r>
        <w:t xml:space="preserve">:</w:t>
      </w:r>
      <w:r>
        <w:t xml:space="preserve"> </w:t>
      </w:r>
      <w:r>
        <w:t xml:space="preserve">Advancing Social Media Research</w:t>
      </w:r>
      <w:r>
        <w:t xml:space="preserve"> </w:t>
      </w:r>
      <w:r>
        <w:t xml:space="preserve">through</w:t>
      </w:r>
      <w:r>
        <w:t xml:space="preserve"> </w:t>
      </w:r>
      <w:r>
        <w:t xml:space="preserve">Digital In-Context Experiments</w:t>
      </w:r>
      <w:r>
        <w:t xml:space="preserve">.</w:t>
      </w:r>
      <w:r>
        <w:t xml:space="preserve"> </w:t>
      </w:r>
      <w:r>
        <w:rPr>
          <w:i/>
          <w:iCs/>
        </w:rPr>
        <w:t xml:space="preserve">Journal of Marketing</w:t>
      </w:r>
      <w:r>
        <w:t xml:space="preserve">, 00222429251371702.</w:t>
      </w:r>
      <w:r>
        <w:t xml:space="preserve"> </w:t>
      </w:r>
      <w:hyperlink r:id="rId129">
        <w:r>
          <w:rPr>
            <w:rStyle w:val="Hyperlink"/>
          </w:rPr>
          <w:t xml:space="preserve">https://doi.org/10.1177/00222429251371702</w:t>
        </w:r>
      </w:hyperlink>
    </w:p>
    <w:bookmarkEnd w:id="130"/>
    <w:bookmarkStart w:id="132" w:name="ref-rousseeuwSilhouettesGraphicalAid1987"/>
    <w:p>
      <w:pPr>
        <w:pStyle w:val="Bibliography"/>
      </w:pPr>
      <w:r>
        <w:t xml:space="preserve">Rousseeuw, P. J. (1987). Silhouettes:</w:t>
      </w:r>
      <w:r>
        <w:t xml:space="preserve"> </w:t>
      </w:r>
      <w:r>
        <w:t xml:space="preserve">A</w:t>
      </w:r>
      <w:r>
        <w:t xml:space="preserve"> </w:t>
      </w:r>
      <w:r>
        <w:t xml:space="preserve">graphical aid to the interpretation and validation of cluster analysis.</w:t>
      </w:r>
      <w:r>
        <w:t xml:space="preserve"> </w:t>
      </w:r>
      <w:r>
        <w:rPr>
          <w:i/>
          <w:iCs/>
        </w:rPr>
        <w:t xml:space="preserve">Journal of Computational and Applied Mathematics</w:t>
      </w:r>
      <w:r>
        <w:t xml:space="preserve">,</w:t>
      </w:r>
      <w:r>
        <w:t xml:space="preserve"> </w:t>
      </w:r>
      <w:r>
        <w:rPr>
          <w:i/>
          <w:iCs/>
        </w:rPr>
        <w:t xml:space="preserve">20</w:t>
      </w:r>
      <w:r>
        <w:t xml:space="preserve">, 53–65.</w:t>
      </w:r>
      <w:r>
        <w:t xml:space="preserve"> </w:t>
      </w:r>
      <w:hyperlink r:id="rId131">
        <w:r>
          <w:rPr>
            <w:rStyle w:val="Hyperlink"/>
          </w:rPr>
          <w:t xml:space="preserve">https://doi.org/10.1016/0377-0427(87)90125-7</w:t>
        </w:r>
      </w:hyperlink>
    </w:p>
    <w:bookmarkEnd w:id="132"/>
    <w:bookmarkStart w:id="134" w:name="ref-scheufeleFramingTheoryMedia1999"/>
    <w:p>
      <w:pPr>
        <w:pStyle w:val="Bibliography"/>
      </w:pPr>
      <w:r>
        <w:t xml:space="preserve">Scheufele, D. A. (1999). Framing as a</w:t>
      </w:r>
      <w:r>
        <w:t xml:space="preserve"> </w:t>
      </w:r>
      <w:r>
        <w:t xml:space="preserve">Theory</w:t>
      </w:r>
      <w:r>
        <w:t xml:space="preserve"> </w:t>
      </w:r>
      <w:r>
        <w:t xml:space="preserve">of</w:t>
      </w:r>
      <w:r>
        <w:t xml:space="preserve"> </w:t>
      </w:r>
      <w:r>
        <w:t xml:space="preserve">Media Effects</w:t>
      </w:r>
      <w:r>
        <w:t xml:space="preserve">.</w:t>
      </w:r>
      <w:r>
        <w:t xml:space="preserve"> </w:t>
      </w:r>
      <w:r>
        <w:rPr>
          <w:i/>
          <w:iCs/>
        </w:rPr>
        <w:t xml:space="preserve">Journal of Communication</w:t>
      </w:r>
      <w:r>
        <w:t xml:space="preserve">,</w:t>
      </w:r>
      <w:r>
        <w:t xml:space="preserve"> </w:t>
      </w:r>
      <w:r>
        <w:rPr>
          <w:i/>
          <w:iCs/>
        </w:rPr>
        <w:t xml:space="preserve">49</w:t>
      </w:r>
      <w:r>
        <w:t xml:space="preserve">(1), 103–122.</w:t>
      </w:r>
      <w:r>
        <w:t xml:space="preserve"> </w:t>
      </w:r>
      <w:hyperlink r:id="rId133">
        <w:r>
          <w:rPr>
            <w:rStyle w:val="Hyperlink"/>
          </w:rPr>
          <w:t xml:space="preserve">https://doi.org/10.1111/j.1460-2466.1999.tb02784.x</w:t>
        </w:r>
      </w:hyperlink>
    </w:p>
    <w:bookmarkEnd w:id="134"/>
    <w:bookmarkStart w:id="136" w:name="ref-MostVisitedWebsites"/>
    <w:p>
      <w:pPr>
        <w:pStyle w:val="Bibliography"/>
      </w:pPr>
      <w:r>
        <w:t xml:space="preserve">Semrush. (2026).</w:t>
      </w:r>
      <w:r>
        <w:t xml:space="preserve"> </w:t>
      </w:r>
      <w:r>
        <w:rPr>
          <w:i/>
          <w:iCs/>
        </w:rPr>
        <w:t xml:space="preserve">Most</w:t>
      </w:r>
      <w:r>
        <w:rPr>
          <w:i/>
          <w:iCs/>
        </w:rPr>
        <w:t xml:space="preserve"> </w:t>
      </w:r>
      <w:r>
        <w:rPr>
          <w:i/>
          <w:iCs/>
        </w:rPr>
        <w:t xml:space="preserve">Visited Websites</w:t>
      </w:r>
      <w:r>
        <w:rPr>
          <w:i/>
          <w:iCs/>
        </w:rPr>
        <w:t xml:space="preserve"> </w:t>
      </w:r>
      <w:r>
        <w:rPr>
          <w:i/>
          <w:iCs/>
        </w:rPr>
        <w:t xml:space="preserve">in the</w:t>
      </w:r>
      <w:r>
        <w:rPr>
          <w:i/>
          <w:iCs/>
        </w:rPr>
        <w:t xml:space="preserve"> </w:t>
      </w:r>
      <w:r>
        <w:rPr>
          <w:i/>
          <w:iCs/>
        </w:rPr>
        <w:t xml:space="preserve">World July</w:t>
      </w:r>
      <w:r>
        <w:rPr>
          <w:i/>
          <w:iCs/>
        </w:rPr>
        <w:t xml:space="preserve"> </w:t>
      </w:r>
      <w:r>
        <w:rPr>
          <w:i/>
          <w:iCs/>
        </w:rPr>
        <w:t xml:space="preserve">2026 |</w:t>
      </w:r>
      <w:r>
        <w:rPr>
          <w:i/>
          <w:iCs/>
        </w:rPr>
        <w:t xml:space="preserve"> </w:t>
      </w:r>
      <w:r>
        <w:rPr>
          <w:i/>
          <w:iCs/>
        </w:rPr>
        <w:t xml:space="preserve">Top Websites</w:t>
      </w:r>
      <w:r>
        <w:rPr>
          <w:i/>
          <w:iCs/>
        </w:rPr>
        <w:t xml:space="preserve"> </w:t>
      </w:r>
      <w:r>
        <w:rPr>
          <w:i/>
          <w:iCs/>
        </w:rPr>
        <w:t xml:space="preserve">&amp;</w:t>
      </w:r>
      <w:r>
        <w:rPr>
          <w:i/>
          <w:iCs/>
        </w:rPr>
        <w:t xml:space="preserve"> </w:t>
      </w:r>
      <w:r>
        <w:rPr>
          <w:i/>
          <w:iCs/>
        </w:rPr>
        <w:t xml:space="preserve">Popular Rankings</w:t>
      </w:r>
      <w:r>
        <w:t xml:space="preserve">. Semrush; Semrush.</w:t>
      </w:r>
      <w:r>
        <w:t xml:space="preserve"> </w:t>
      </w:r>
      <w:hyperlink r:id="rId135">
        <w:r>
          <w:rPr>
            <w:rStyle w:val="Hyperlink"/>
          </w:rPr>
          <w:t xml:space="preserve">https://www.semrush.com/trending-websites/global/all</w:t>
        </w:r>
      </w:hyperlink>
    </w:p>
    <w:bookmarkEnd w:id="136"/>
    <w:bookmarkStart w:id="138" w:name="ref-sentenceTransformersAllMiniLML6v2"/>
    <w:p>
      <w:pPr>
        <w:pStyle w:val="Bibliography"/>
      </w:pPr>
      <w:r>
        <w:t xml:space="preserve">Sentence Transformers. (2026).</w:t>
      </w:r>
      <w:r>
        <w:t xml:space="preserve"> </w:t>
      </w:r>
      <w:r>
        <w:rPr>
          <w:i/>
          <w:iCs/>
        </w:rPr>
        <w:t xml:space="preserve">All-</w:t>
      </w:r>
      <w:r>
        <w:rPr>
          <w:i/>
          <w:iCs/>
        </w:rPr>
        <w:t xml:space="preserve">MiniLM-L6-v2</w:t>
      </w:r>
      <w:r>
        <w:t xml:space="preserve">. Hugging Face model repository.</w:t>
      </w:r>
      <w:r>
        <w:t xml:space="preserve"> </w:t>
      </w:r>
      <w:hyperlink r:id="rId137">
        <w:r>
          <w:rPr>
            <w:rStyle w:val="Hyperlink"/>
          </w:rPr>
          <w:t xml:space="preserve">https://huggingface.co/sentence-transformers/all-MiniLM-L6-v2</w:t>
        </w:r>
      </w:hyperlink>
    </w:p>
    <w:bookmarkEnd w:id="138"/>
    <w:bookmarkStart w:id="140" w:name="ref-smallCOCITATIONCONTEXTANALYSIS1980"/>
    <w:p>
      <w:pPr>
        <w:pStyle w:val="Bibliography"/>
      </w:pPr>
      <w:r>
        <w:t xml:space="preserve">Small, H. (1980).</w:t>
      </w:r>
      <w:r>
        <w:t xml:space="preserve"> </w:t>
      </w:r>
      <w:r>
        <w:t xml:space="preserve">CO</w:t>
      </w:r>
      <w:r>
        <w:t xml:space="preserve">‐</w:t>
      </w:r>
      <w:r>
        <w:t xml:space="preserve">CITATION CONTEXT ANALYSIS AND THE STRUCTURE OF PARADIGMS</w:t>
      </w:r>
      <w:r>
        <w:t xml:space="preserve">.</w:t>
      </w:r>
      <w:r>
        <w:t xml:space="preserve"> </w:t>
      </w:r>
      <w:r>
        <w:rPr>
          <w:i/>
          <w:iCs/>
        </w:rPr>
        <w:t xml:space="preserve">Journal of Documentation</w:t>
      </w:r>
      <w:r>
        <w:t xml:space="preserve">,</w:t>
      </w:r>
      <w:r>
        <w:t xml:space="preserve"> </w:t>
      </w:r>
      <w:r>
        <w:rPr>
          <w:i/>
          <w:iCs/>
        </w:rPr>
        <w:t xml:space="preserve">36</w:t>
      </w:r>
      <w:r>
        <w:t xml:space="preserve">(3), 183–196.</w:t>
      </w:r>
      <w:r>
        <w:t xml:space="preserve"> </w:t>
      </w:r>
      <w:hyperlink r:id="rId139">
        <w:r>
          <w:rPr>
            <w:rStyle w:val="Hyperlink"/>
          </w:rPr>
          <w:t xml:space="preserve">https://doi.org/10.1108/eb026695</w:t>
        </w:r>
      </w:hyperlink>
    </w:p>
    <w:bookmarkEnd w:id="140"/>
    <w:bookmarkStart w:id="141" w:name="ref-aigeneratedalgorithm2026"/>
    <w:p>
      <w:pPr>
        <w:pStyle w:val="Bibliography"/>
      </w:pPr>
      <w:r>
        <w:t xml:space="preserve">Stanusch, N., Degeling, M., Romano, S., Cetin, R. B., Schüler, M., &amp; Semenzin, S. (2026).</w:t>
      </w:r>
      <w:r>
        <w:t xml:space="preserve"> </w:t>
      </w:r>
      <w:r>
        <w:t xml:space="preserve">AI-Generated Algorithmic Virality</w:t>
      </w:r>
      <w:r>
        <w:t xml:space="preserve">.</w:t>
      </w:r>
      <w:r>
        <w:t xml:space="preserve"> </w:t>
      </w:r>
      <w:r>
        <w:rPr>
          <w:i/>
          <w:iCs/>
        </w:rPr>
        <w:t xml:space="preserve">AI Forensics 2026</w:t>
      </w:r>
      <w:r>
        <w:t xml:space="preserve">.</w:t>
      </w:r>
    </w:p>
    <w:bookmarkEnd w:id="141"/>
    <w:bookmarkStart w:id="143" w:name="X19b8dd2f280f6120269f36e58656b3b5b75516c"/>
    <w:p>
      <w:pPr>
        <w:pStyle w:val="Bibliography"/>
      </w:pPr>
      <w:r>
        <w:t xml:space="preserve">Venna, J., &amp; Kaski, S. (2001). Neighborhood</w:t>
      </w:r>
      <w:r>
        <w:t xml:space="preserve"> </w:t>
      </w:r>
      <w:r>
        <w:t xml:space="preserve">Preservation</w:t>
      </w:r>
      <w:r>
        <w:t xml:space="preserve"> </w:t>
      </w:r>
      <w:r>
        <w:t xml:space="preserve">in</w:t>
      </w:r>
      <w:r>
        <w:t xml:space="preserve"> </w:t>
      </w:r>
      <w:r>
        <w:t xml:space="preserve">Nonlinear Projection Methods</w:t>
      </w:r>
      <w:r>
        <w:t xml:space="preserve">:</w:t>
      </w:r>
      <w:r>
        <w:t xml:space="preserve"> </w:t>
      </w:r>
      <w:r>
        <w:t xml:space="preserve">An Experimental Study</w:t>
      </w:r>
      <w:r>
        <w:t xml:space="preserve">. In G. Dorffner, H. Bischof, &amp; K. Hornik (Eds.),</w:t>
      </w:r>
      <w:r>
        <w:t xml:space="preserve"> </w:t>
      </w:r>
      <w:r>
        <w:rPr>
          <w:i/>
          <w:iCs/>
        </w:rPr>
        <w:t xml:space="preserve">Artificial</w:t>
      </w:r>
      <w:r>
        <w:rPr>
          <w:i/>
          <w:iCs/>
        </w:rPr>
        <w:t xml:space="preserve"> </w:t>
      </w:r>
      <w:r>
        <w:rPr>
          <w:i/>
          <w:iCs/>
        </w:rPr>
        <w:t xml:space="preserve">Neural Networks</w:t>
      </w:r>
      <w:r>
        <w:rPr>
          <w:i/>
          <w:iCs/>
        </w:rPr>
        <w:t xml:space="preserve"> </w:t>
      </w:r>
      <w:r>
        <w:rPr>
          <w:i/>
          <w:iCs/>
        </w:rPr>
        <w:t xml:space="preserve">—</w:t>
      </w:r>
      <w:r>
        <w:rPr>
          <w:i/>
          <w:iCs/>
        </w:rPr>
        <w:t xml:space="preserve"> </w:t>
      </w:r>
      <w:r>
        <w:rPr>
          <w:i/>
          <w:iCs/>
        </w:rPr>
        <w:t xml:space="preserve">ICANN</w:t>
      </w:r>
      <w:r>
        <w:rPr>
          <w:i/>
          <w:iCs/>
        </w:rPr>
        <w:t xml:space="preserve"> </w:t>
      </w:r>
      <w:r>
        <w:rPr>
          <w:i/>
          <w:iCs/>
        </w:rPr>
        <w:t xml:space="preserve">2001</w:t>
      </w:r>
      <w:r>
        <w:t xml:space="preserve"> </w:t>
      </w:r>
      <w:r>
        <w:t xml:space="preserve">(Vol. 2130, pp. 485–491). Springer Berlin Heidelberg.</w:t>
      </w:r>
      <w:r>
        <w:t xml:space="preserve"> </w:t>
      </w:r>
      <w:hyperlink r:id="rId142">
        <w:r>
          <w:rPr>
            <w:rStyle w:val="Hyperlink"/>
          </w:rPr>
          <w:t xml:space="preserve">https://doi.org/10.1007/3-540-44668-0_68</w:t>
        </w:r>
      </w:hyperlink>
    </w:p>
    <w:bookmarkEnd w:id="143"/>
    <w:bookmarkStart w:id="145" w:name="ref-wangEditorialChangingLandscape2026"/>
    <w:p>
      <w:pPr>
        <w:pStyle w:val="Bibliography"/>
      </w:pPr>
      <w:r>
        <w:t xml:space="preserve">Wang, C. L. (2026). Editorial:</w:t>
      </w:r>
      <w:r>
        <w:t xml:space="preserve"> </w:t>
      </w:r>
      <w:r>
        <w:t xml:space="preserve">The</w:t>
      </w:r>
      <w:r>
        <w:t xml:space="preserve"> </w:t>
      </w:r>
      <w:r>
        <w:t xml:space="preserve">changing landscape of marketing research in the</w:t>
      </w:r>
      <w:r>
        <w:t xml:space="preserve"> </w:t>
      </w:r>
      <w:r>
        <w:t xml:space="preserve">AI</w:t>
      </w:r>
      <w:r>
        <w:t xml:space="preserve"> </w:t>
      </w:r>
      <w:r>
        <w:t xml:space="preserve">era: Prospects and challenges.</w:t>
      </w:r>
      <w:r>
        <w:t xml:space="preserve"> </w:t>
      </w:r>
      <w:r>
        <w:rPr>
          <w:i/>
          <w:iCs/>
        </w:rPr>
        <w:t xml:space="preserve">Journal of Research in Interactive Marketing</w:t>
      </w:r>
      <w:r>
        <w:t xml:space="preserve">,</w:t>
      </w:r>
      <w:r>
        <w:t xml:space="preserve"> </w:t>
      </w:r>
      <w:r>
        <w:rPr>
          <w:i/>
          <w:iCs/>
        </w:rPr>
        <w:t xml:space="preserve">20</w:t>
      </w:r>
      <w:r>
        <w:t xml:space="preserve">(1), 1–10.</w:t>
      </w:r>
      <w:r>
        <w:t xml:space="preserve"> </w:t>
      </w:r>
      <w:hyperlink r:id="rId144">
        <w:r>
          <w:rPr>
            <w:rStyle w:val="Hyperlink"/>
          </w:rPr>
          <w:t xml:space="preserve">https://doi.org/10.1108/JRIM-02-2026-766</w:t>
        </w:r>
      </w:hyperlink>
    </w:p>
    <w:bookmarkEnd w:id="145"/>
    <w:bookmarkStart w:id="146" w:name="ref-wang2020minilm"/>
    <w:p>
      <w:pPr>
        <w:pStyle w:val="Bibliography"/>
      </w:pPr>
      <w:r>
        <w:t xml:space="preserve">Wang, W., Wei, F., Dong, L., Bao, H., Yang, N., &amp; Zhou, M. (2020).</w:t>
      </w:r>
      <w:r>
        <w:t xml:space="preserve"> </w:t>
      </w:r>
      <w:r>
        <w:t xml:space="preserve">MiniLM</w:t>
      </w:r>
      <w:r>
        <w:t xml:space="preserve">:</w:t>
      </w:r>
      <w:r>
        <w:t xml:space="preserve"> </w:t>
      </w:r>
      <w:r>
        <w:t xml:space="preserve">Deep</w:t>
      </w:r>
      <w:r>
        <w:t xml:space="preserve"> </w:t>
      </w:r>
      <w:r>
        <w:t xml:space="preserve">self-attention distillation for task-agnostic compression of pre-trained transformers.</w:t>
      </w:r>
      <w:r>
        <w:t xml:space="preserve"> </w:t>
      </w:r>
      <w:r>
        <w:rPr>
          <w:i/>
          <w:iCs/>
        </w:rPr>
        <w:t xml:space="preserve">Advances in Neural Information Processing Systems</w:t>
      </w:r>
      <w:r>
        <w:t xml:space="preserve">,</w:t>
      </w:r>
      <w:r>
        <w:t xml:space="preserve"> </w:t>
      </w:r>
      <w:r>
        <w:rPr>
          <w:i/>
          <w:iCs/>
        </w:rPr>
        <w:t xml:space="preserve">33</w:t>
      </w:r>
      <w:r>
        <w:t xml:space="preserve">, 5776–5788.</w:t>
      </w:r>
    </w:p>
    <w:bookmarkEnd w:id="146"/>
    <w:bookmarkStart w:id="148" w:name="ref-winderBiasedEchoesLarge2025"/>
    <w:p>
      <w:pPr>
        <w:pStyle w:val="Bibliography"/>
      </w:pPr>
      <w:r>
        <w:t xml:space="preserve">Winder, P., Hildebrand, C., &amp; Hartmann, J. (2025). Biased echoes:</w:t>
      </w:r>
      <w:r>
        <w:t xml:space="preserve"> </w:t>
      </w:r>
      <w:r>
        <w:t xml:space="preserve">Large</w:t>
      </w:r>
      <w:r>
        <w:t xml:space="preserve"> </w:t>
      </w:r>
      <w:r>
        <w:t xml:space="preserve">language models reinforce investment biases and increase portfolio risks of private investors.</w:t>
      </w:r>
      <w:r>
        <w:t xml:space="preserve"> </w:t>
      </w:r>
      <w:r>
        <w:rPr>
          <w:i/>
          <w:iCs/>
        </w:rPr>
        <w:t xml:space="preserve">PLOS One</w:t>
      </w:r>
      <w:r>
        <w:t xml:space="preserve">,</w:t>
      </w:r>
      <w:r>
        <w:t xml:space="preserve"> </w:t>
      </w:r>
      <w:r>
        <w:rPr>
          <w:i/>
          <w:iCs/>
        </w:rPr>
        <w:t xml:space="preserve">20</w:t>
      </w:r>
      <w:r>
        <w:t xml:space="preserve">(6), e0325459.</w:t>
      </w:r>
      <w:r>
        <w:t xml:space="preserve"> </w:t>
      </w:r>
      <w:hyperlink r:id="rId147">
        <w:r>
          <w:rPr>
            <w:rStyle w:val="Hyperlink"/>
          </w:rPr>
          <w:t xml:space="preserve">https://doi.org/10.1371/journal.pone.0325459</w:t>
        </w:r>
      </w:hyperlink>
    </w:p>
    <w:bookmarkEnd w:id="148"/>
    <w:bookmarkStart w:id="150" w:name="ref-wulffEscapingJingleJangleJungle2026"/>
    <w:p>
      <w:pPr>
        <w:pStyle w:val="Bibliography"/>
      </w:pPr>
      <w:r>
        <w:t xml:space="preserve">Wulff, D. U., &amp; Mata, R. (2026). Escaping the</w:t>
      </w:r>
      <w:r>
        <w:t xml:space="preserve"> </w:t>
      </w:r>
      <w:r>
        <w:t xml:space="preserve">Jingle-Jangle Jungle</w:t>
      </w:r>
      <w:r>
        <w:t xml:space="preserve">:</w:t>
      </w:r>
      <w:r>
        <w:t xml:space="preserve"> </w:t>
      </w:r>
      <w:r>
        <w:t xml:space="preserve">Increasing Conceptual Clarity</w:t>
      </w:r>
      <w:r>
        <w:t xml:space="preserve"> </w:t>
      </w:r>
      <w:r>
        <w:t xml:space="preserve">in</w:t>
      </w:r>
      <w:r>
        <w:t xml:space="preserve"> </w:t>
      </w:r>
      <w:r>
        <w:t xml:space="preserve">Psychology Using Large Language Models</w:t>
      </w:r>
      <w:r>
        <w:t xml:space="preserve">.</w:t>
      </w:r>
      <w:r>
        <w:t xml:space="preserve"> </w:t>
      </w:r>
      <w:r>
        <w:rPr>
          <w:i/>
          <w:iCs/>
        </w:rPr>
        <w:t xml:space="preserve">Current Directions in Psychological Science</w:t>
      </w:r>
      <w:r>
        <w:t xml:space="preserve">,</w:t>
      </w:r>
      <w:r>
        <w:t xml:space="preserve"> </w:t>
      </w:r>
      <w:r>
        <w:rPr>
          <w:i/>
          <w:iCs/>
        </w:rPr>
        <w:t xml:space="preserve">35</w:t>
      </w:r>
      <w:r>
        <w:t xml:space="preserve">(2), 59–65.</w:t>
      </w:r>
      <w:r>
        <w:t xml:space="preserve"> </w:t>
      </w:r>
      <w:hyperlink r:id="rId149">
        <w:r>
          <w:rPr>
            <w:rStyle w:val="Hyperlink"/>
          </w:rPr>
          <w:t xml:space="preserve">https://doi.org/10.1177/09637214251382083</w:t>
        </w:r>
      </w:hyperlink>
    </w:p>
    <w:bookmarkEnd w:id="150"/>
    <w:bookmarkStart w:id="152" w:name="ref-zacharyAIRevolutionLatest2026"/>
    <w:p>
      <w:pPr>
        <w:pStyle w:val="Bibliography"/>
      </w:pPr>
      <w:r>
        <w:t xml:space="preserve">Zachary, G. P. (2026, May 3).</w:t>
      </w:r>
      <w:r>
        <w:t xml:space="preserve"> </w:t>
      </w:r>
      <w:r>
        <w:rPr>
          <w:i/>
          <w:iCs/>
        </w:rPr>
        <w:t xml:space="preserve">Is the</w:t>
      </w:r>
      <w:r>
        <w:rPr>
          <w:i/>
          <w:iCs/>
        </w:rPr>
        <w:t xml:space="preserve"> </w:t>
      </w:r>
      <w:r>
        <w:rPr>
          <w:i/>
          <w:iCs/>
        </w:rPr>
        <w:t xml:space="preserve">AI</w:t>
      </w:r>
      <w:r>
        <w:rPr>
          <w:i/>
          <w:iCs/>
        </w:rPr>
        <w:t xml:space="preserve"> </w:t>
      </w:r>
      <w:r>
        <w:rPr>
          <w:i/>
          <w:iCs/>
        </w:rPr>
        <w:t xml:space="preserve">“</w:t>
      </w:r>
      <w:r>
        <w:rPr>
          <w:i/>
          <w:iCs/>
        </w:rPr>
        <w:t xml:space="preserve">Revolution</w:t>
      </w:r>
      <w:r>
        <w:rPr>
          <w:i/>
          <w:iCs/>
        </w:rPr>
        <w:t xml:space="preserve">”</w:t>
      </w:r>
      <w:r>
        <w:rPr>
          <w:i/>
          <w:iCs/>
        </w:rPr>
        <w:t xml:space="preserve"> </w:t>
      </w:r>
      <w:r>
        <w:rPr>
          <w:i/>
          <w:iCs/>
        </w:rPr>
        <w:t xml:space="preserve">the</w:t>
      </w:r>
      <w:r>
        <w:rPr>
          <w:i/>
          <w:iCs/>
        </w:rPr>
        <w:t xml:space="preserve"> </w:t>
      </w:r>
      <w:r>
        <w:rPr>
          <w:i/>
          <w:iCs/>
        </w:rPr>
        <w:t xml:space="preserve">Latest Example</w:t>
      </w:r>
      <w:r>
        <w:rPr>
          <w:i/>
          <w:iCs/>
        </w:rPr>
        <w:t xml:space="preserve"> </w:t>
      </w:r>
      <w:r>
        <w:rPr>
          <w:i/>
          <w:iCs/>
        </w:rPr>
        <w:t xml:space="preserve">of</w:t>
      </w:r>
      <w:r>
        <w:rPr>
          <w:i/>
          <w:iCs/>
        </w:rPr>
        <w:t xml:space="preserve"> </w:t>
      </w:r>
      <w:r>
        <w:rPr>
          <w:i/>
          <w:iCs/>
        </w:rPr>
        <w:t xml:space="preserve">Technological Change Driving History</w:t>
      </w:r>
      <w:r>
        <w:rPr>
          <w:i/>
          <w:iCs/>
        </w:rPr>
        <w:t xml:space="preserve">?</w:t>
      </w:r>
      <w:r>
        <w:t xml:space="preserve"> IEEE Technology; Society.</w:t>
      </w:r>
      <w:r>
        <w:t xml:space="preserve"> </w:t>
      </w:r>
      <w:hyperlink r:id="rId151">
        <w:r>
          <w:rPr>
            <w:rStyle w:val="Hyperlink"/>
          </w:rPr>
          <w:t xml:space="preserve">https://technologyandsociety.org/is-the-ai-revolution-the-latest-example-of-technological-change-driving-history/</w:t>
        </w:r>
      </w:hyperlink>
    </w:p>
    <w:bookmarkEnd w:id="152"/>
    <w:bookmarkEnd w:id="153"/>
    <w:bookmarkEnd w:id="154"/>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t xml:space="preserve">MediaCloud only indexes media stories reliably since 2008</w:t>
      </w:r>
      <w:r>
        <w:t xml:space="preserve"> </w:t>
      </w:r>
      <w:r>
        <w:t xml:space="preserve">(</w:t>
      </w:r>
      <w:hyperlink w:anchor="ref-bermejoMediaCloud202026">
        <w:r>
          <w:rPr>
            <w:rStyle w:val="Hyperlink"/>
          </w:rPr>
          <w:t xml:space="preserve">Bermejo et al., 2026</w:t>
        </w:r>
      </w:hyperlink>
      <w:r>
        <w:t xml:space="preserve">)</w:t>
      </w:r>
      <w:r>
        <w:t xml:space="preserve">, which is why we exclude earlier data from our analysis.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38" Target="media/rId38.png" /><Relationship Type="http://schemas.openxmlformats.org/officeDocument/2006/relationships/image" Id="rId45" Target="media/rId45.png" /><Relationship Type="http://schemas.openxmlformats.org/officeDocument/2006/relationships/image" Id="rId58" Target="media/rId58.png" /><Relationship Type="http://schemas.openxmlformats.org/officeDocument/2006/relationships/image" Id="rId26" Target="media/rId26.svg" /><Relationship Type="http://schemas.openxmlformats.org/officeDocument/2006/relationships/hyperlink" Id="rId37" Target="..\99_writing/appendices/A_model-choice.qmd#sec-technology-clustering" TargetMode="External" /><Relationship Type="http://schemas.openxmlformats.org/officeDocument/2006/relationships/hyperlink" Id="rId42" Target="..\99_writing/appendices/B_additional-analysis-1.qmd#sec-temporal-trajectories" TargetMode="External" /><Relationship Type="http://schemas.openxmlformats.org/officeDocument/2006/relationships/hyperlink" Id="rId52" Target="..\99_writing/appendices/C_additional-analysis-2.qmd#sec-academic-foundation" TargetMode="External" /><Relationship Type="http://schemas.openxmlformats.org/officeDocument/2006/relationships/hyperlink" Id="rId34" Target="..\99_writing/appendices/E_additional-analysis-3.qmd#sec-mediacloud-analysis" TargetMode="External" /><Relationship Type="http://schemas.openxmlformats.org/officeDocument/2006/relationships/hyperlink" Id="rId142" Target="https://doi.org/10.1007/3-540-44668-0_68" TargetMode="External" /><Relationship Type="http://schemas.openxmlformats.org/officeDocument/2006/relationships/hyperlink" Id="rId109" Target="https://doi.org/10.1007/s11002-020-09526-8" TargetMode="External" /><Relationship Type="http://schemas.openxmlformats.org/officeDocument/2006/relationships/hyperlink" Id="rId85" Target="https://doi.org/10.1007/s11747-024-01044-7" TargetMode="External" /><Relationship Type="http://schemas.openxmlformats.org/officeDocument/2006/relationships/hyperlink" Id="rId96" Target="https://doi.org/10.1007/s11747-024-01064-3" TargetMode="External" /><Relationship Type="http://schemas.openxmlformats.org/officeDocument/2006/relationships/hyperlink" Id="rId131" Target="https://doi.org/10.1016/0377-0427(87)90125-7" TargetMode="External" /><Relationship Type="http://schemas.openxmlformats.org/officeDocument/2006/relationships/hyperlink" Id="rId102" Target="https://doi.org/10.1016/j.ijresmar.2025.12.003" TargetMode="External" /><Relationship Type="http://schemas.openxmlformats.org/officeDocument/2006/relationships/hyperlink" Id="rId90" Target="https://doi.org/10.1016/j.jbusres.2021.04.070" TargetMode="External" /><Relationship Type="http://schemas.openxmlformats.org/officeDocument/2006/relationships/hyperlink" Id="rId121" Target="https://doi.org/10.1016/j.jik.2024.100517" TargetMode="External" /><Relationship Type="http://schemas.openxmlformats.org/officeDocument/2006/relationships/hyperlink" Id="rId73" Target="https://doi.org/10.1016/j.joi.2017.08.007" TargetMode="External" /><Relationship Type="http://schemas.openxmlformats.org/officeDocument/2006/relationships/hyperlink" Id="rId113" Target="https://doi.org/10.1038/s41598-026-40110-8" TargetMode="External" /><Relationship Type="http://schemas.openxmlformats.org/officeDocument/2006/relationships/hyperlink" Id="rId106" Target="https://doi.org/10.1057/s41599-025-04532-5" TargetMode="External" /><Relationship Type="http://schemas.openxmlformats.org/officeDocument/2006/relationships/hyperlink" Id="rId79" Target="https://doi.org/10.1073/pnas.2401227121" TargetMode="External" /><Relationship Type="http://schemas.openxmlformats.org/officeDocument/2006/relationships/hyperlink" Id="rId83" Target="https://doi.org/10.1080/03610927408827101" TargetMode="External" /><Relationship Type="http://schemas.openxmlformats.org/officeDocument/2006/relationships/hyperlink" Id="rId125" Target="https://doi.org/10.1080/23311975.2025.2544984" TargetMode="External" /><Relationship Type="http://schemas.openxmlformats.org/officeDocument/2006/relationships/hyperlink" Id="rId81" Target="https://doi.org/10.1088/1742-5468/2008/10/P10008" TargetMode="External" /><Relationship Type="http://schemas.openxmlformats.org/officeDocument/2006/relationships/hyperlink" Id="rId144" Target="https://doi.org/10.1108/JRIM-02-2026-766" TargetMode="External" /><Relationship Type="http://schemas.openxmlformats.org/officeDocument/2006/relationships/hyperlink" Id="rId139" Target="https://doi.org/10.1108/eb026695" TargetMode="External" /><Relationship Type="http://schemas.openxmlformats.org/officeDocument/2006/relationships/hyperlink" Id="rId87" Target="https://doi.org/10.1109/TPAMI.1979.4766909" TargetMode="External" /><Relationship Type="http://schemas.openxmlformats.org/officeDocument/2006/relationships/hyperlink" Id="rId133" Target="https://doi.org/10.1111/j.1460-2466.1999.tb02784.x" TargetMode="External" /><Relationship Type="http://schemas.openxmlformats.org/officeDocument/2006/relationships/hyperlink" Id="rId98" Target="https://doi.org/10.1177/00222429211061636" TargetMode="External" /><Relationship Type="http://schemas.openxmlformats.org/officeDocument/2006/relationships/hyperlink" Id="rId129" Target="https://doi.org/10.1177/00222429251371702" TargetMode="External" /><Relationship Type="http://schemas.openxmlformats.org/officeDocument/2006/relationships/hyperlink" Id="rId94" Target="https://doi.org/10.1177/0165551504042802" TargetMode="External" /><Relationship Type="http://schemas.openxmlformats.org/officeDocument/2006/relationships/hyperlink" Id="rId149" Target="https://doi.org/10.1177/09637214251382083" TargetMode="External" /><Relationship Type="http://schemas.openxmlformats.org/officeDocument/2006/relationships/hyperlink" Id="rId147" Target="https://doi.org/10.1371/journal.pone.0325459" TargetMode="External" /><Relationship Type="http://schemas.openxmlformats.org/officeDocument/2006/relationships/hyperlink" Id="rId127" Target="https://doi.org/10.1609/icwsm.v15i1.18127" TargetMode="External" /><Relationship Type="http://schemas.openxmlformats.org/officeDocument/2006/relationships/hyperlink" Id="rId77" Target="https://doi.org/10.1609/icwsm.v20i1.42778" TargetMode="External" /><Relationship Type="http://schemas.openxmlformats.org/officeDocument/2006/relationships/hyperlink" Id="rId123" Target="https://doi.org/10.18653/v1/D19-1410" TargetMode="External" /><Relationship Type="http://schemas.openxmlformats.org/officeDocument/2006/relationships/hyperlink" Id="rId111" Target="https://doi.org/10.21105/joss.00861" TargetMode="External" /><Relationship Type="http://schemas.openxmlformats.org/officeDocument/2006/relationships/hyperlink" Id="rId92" Target="https://doi.org/10.31234/osf.io/h43cj" TargetMode="External" /><Relationship Type="http://schemas.openxmlformats.org/officeDocument/2006/relationships/hyperlink" Id="rId117" Target="https://doi.org/10.9734/ajrcos/2025/v18i1549" TargetMode="External" /><Relationship Type="http://schemas.openxmlformats.org/officeDocument/2006/relationships/hyperlink" Id="rId137" Target="https://huggingface.co/sentence-transformers/all-MiniLM-L6-v2" TargetMode="External" /><Relationship Type="http://schemas.openxmlformats.org/officeDocument/2006/relationships/hyperlink" Id="rId115" Target="https://itif.org/publications/2025/09/22/ai-is-much-more-evolutionary-than-revolutionary/" TargetMode="External" /><Relationship Type="http://schemas.openxmlformats.org/officeDocument/2006/relationships/hyperlink" Id="rId119" Target="https://openai.com/index/chatgpt/" TargetMode="External" /><Relationship Type="http://schemas.openxmlformats.org/officeDocument/2006/relationships/hyperlink" Id="rId151" Target="https://technologyandsociety.org/is-the-ai-revolution-the-latest-example-of-technological-change-driving-history/" TargetMode="External" /><Relationship Type="http://schemas.openxmlformats.org/officeDocument/2006/relationships/hyperlink" Id="rId104" Target="https://www.pewresearch.org/science/2025/09/17/how-americans-view-ai-and-its-impact-on-people-and-society/" TargetMode="External" /><Relationship Type="http://schemas.openxmlformats.org/officeDocument/2006/relationships/hyperlink" Id="rId100" Target="https://www.reuters.com/technology/chatgpt-sets-record-fastest-growing-user-base-analyst-note-2023-02-01/" TargetMode="External" /><Relationship Type="http://schemas.openxmlformats.org/officeDocument/2006/relationships/hyperlink" Id="rId75" Target="https://www.sciencedirect.com/special-issue/334595/the-transformative-role-of-artificial-intelligence-in-marketing-theory-and-practice" TargetMode="External" /><Relationship Type="http://schemas.openxmlformats.org/officeDocument/2006/relationships/hyperlink" Id="rId135" Target="https://www.semrush.com/trending-websites/global/all" TargetMode="External" /><Relationship Type="http://schemas.openxmlformats.org/officeDocument/2006/relationships/hyperlink" Id="rId21" Target="mailto:sabourani.stocker@unisg.ch" TargetMode="External" /></Relationships>
</file>

<file path=word/_rels/footnotes.xml.rels><?xml version="1.0" encoding="UTF-8"?><Relationships xmlns="http://schemas.openxmlformats.org/package/2006/relationships"><Relationship Type="http://schemas.openxmlformats.org/officeDocument/2006/relationships/hyperlink" Id="rId37" Target="..\99_writing/appendices/A_model-choice.qmd#sec-technology-clustering" TargetMode="External" /><Relationship Type="http://schemas.openxmlformats.org/officeDocument/2006/relationships/hyperlink" Id="rId42" Target="..\99_writing/appendices/B_additional-analysis-1.qmd#sec-temporal-trajectories" TargetMode="External" /><Relationship Type="http://schemas.openxmlformats.org/officeDocument/2006/relationships/hyperlink" Id="rId52" Target="..\99_writing/appendices/C_additional-analysis-2.qmd#sec-academic-foundation" TargetMode="External" /><Relationship Type="http://schemas.openxmlformats.org/officeDocument/2006/relationships/hyperlink" Id="rId34" Target="..\99_writing/appendices/E_additional-analysis-3.qmd#sec-mediacloud-analysis" TargetMode="External" /><Relationship Type="http://schemas.openxmlformats.org/officeDocument/2006/relationships/hyperlink" Id="rId142" Target="https://doi.org/10.1007/3-540-44668-0_68" TargetMode="External" /><Relationship Type="http://schemas.openxmlformats.org/officeDocument/2006/relationships/hyperlink" Id="rId109" Target="https://doi.org/10.1007/s11002-020-09526-8" TargetMode="External" /><Relationship Type="http://schemas.openxmlformats.org/officeDocument/2006/relationships/hyperlink" Id="rId85" Target="https://doi.org/10.1007/s11747-024-01044-7" TargetMode="External" /><Relationship Type="http://schemas.openxmlformats.org/officeDocument/2006/relationships/hyperlink" Id="rId96" Target="https://doi.org/10.1007/s11747-024-01064-3" TargetMode="External" /><Relationship Type="http://schemas.openxmlformats.org/officeDocument/2006/relationships/hyperlink" Id="rId131" Target="https://doi.org/10.1016/0377-0427(87)90125-7" TargetMode="External" /><Relationship Type="http://schemas.openxmlformats.org/officeDocument/2006/relationships/hyperlink" Id="rId102" Target="https://doi.org/10.1016/j.ijresmar.2025.12.003" TargetMode="External" /><Relationship Type="http://schemas.openxmlformats.org/officeDocument/2006/relationships/hyperlink" Id="rId90" Target="https://doi.org/10.1016/j.jbusres.2021.04.070" TargetMode="External" /><Relationship Type="http://schemas.openxmlformats.org/officeDocument/2006/relationships/hyperlink" Id="rId121" Target="https://doi.org/10.1016/j.jik.2024.100517" TargetMode="External" /><Relationship Type="http://schemas.openxmlformats.org/officeDocument/2006/relationships/hyperlink" Id="rId73" Target="https://doi.org/10.1016/j.joi.2017.08.007" TargetMode="External" /><Relationship Type="http://schemas.openxmlformats.org/officeDocument/2006/relationships/hyperlink" Id="rId113" Target="https://doi.org/10.1038/s41598-026-40110-8" TargetMode="External" /><Relationship Type="http://schemas.openxmlformats.org/officeDocument/2006/relationships/hyperlink" Id="rId106" Target="https://doi.org/10.1057/s41599-025-04532-5" TargetMode="External" /><Relationship Type="http://schemas.openxmlformats.org/officeDocument/2006/relationships/hyperlink" Id="rId79" Target="https://doi.org/10.1073/pnas.2401227121" TargetMode="External" /><Relationship Type="http://schemas.openxmlformats.org/officeDocument/2006/relationships/hyperlink" Id="rId83" Target="https://doi.org/10.1080/03610927408827101" TargetMode="External" /><Relationship Type="http://schemas.openxmlformats.org/officeDocument/2006/relationships/hyperlink" Id="rId125" Target="https://doi.org/10.1080/23311975.2025.2544984" TargetMode="External" /><Relationship Type="http://schemas.openxmlformats.org/officeDocument/2006/relationships/hyperlink" Id="rId81" Target="https://doi.org/10.1088/1742-5468/2008/10/P10008" TargetMode="External" /><Relationship Type="http://schemas.openxmlformats.org/officeDocument/2006/relationships/hyperlink" Id="rId144" Target="https://doi.org/10.1108/JRIM-02-2026-766" TargetMode="External" /><Relationship Type="http://schemas.openxmlformats.org/officeDocument/2006/relationships/hyperlink" Id="rId139" Target="https://doi.org/10.1108/eb026695" TargetMode="External" /><Relationship Type="http://schemas.openxmlformats.org/officeDocument/2006/relationships/hyperlink" Id="rId87" Target="https://doi.org/10.1109/TPAMI.1979.4766909" TargetMode="External" /><Relationship Type="http://schemas.openxmlformats.org/officeDocument/2006/relationships/hyperlink" Id="rId133" Target="https://doi.org/10.1111/j.1460-2466.1999.tb02784.x" TargetMode="External" /><Relationship Type="http://schemas.openxmlformats.org/officeDocument/2006/relationships/hyperlink" Id="rId98" Target="https://doi.org/10.1177/00222429211061636" TargetMode="External" /><Relationship Type="http://schemas.openxmlformats.org/officeDocument/2006/relationships/hyperlink" Id="rId129" Target="https://doi.org/10.1177/00222429251371702" TargetMode="External" /><Relationship Type="http://schemas.openxmlformats.org/officeDocument/2006/relationships/hyperlink" Id="rId94" Target="https://doi.org/10.1177/0165551504042802" TargetMode="External" /><Relationship Type="http://schemas.openxmlformats.org/officeDocument/2006/relationships/hyperlink" Id="rId149" Target="https://doi.org/10.1177/09637214251382083" TargetMode="External" /><Relationship Type="http://schemas.openxmlformats.org/officeDocument/2006/relationships/hyperlink" Id="rId147" Target="https://doi.org/10.1371/journal.pone.0325459" TargetMode="External" /><Relationship Type="http://schemas.openxmlformats.org/officeDocument/2006/relationships/hyperlink" Id="rId127" Target="https://doi.org/10.1609/icwsm.v15i1.18127" TargetMode="External" /><Relationship Type="http://schemas.openxmlformats.org/officeDocument/2006/relationships/hyperlink" Id="rId77" Target="https://doi.org/10.1609/icwsm.v20i1.42778" TargetMode="External" /><Relationship Type="http://schemas.openxmlformats.org/officeDocument/2006/relationships/hyperlink" Id="rId123" Target="https://doi.org/10.18653/v1/D19-1410" TargetMode="External" /><Relationship Type="http://schemas.openxmlformats.org/officeDocument/2006/relationships/hyperlink" Id="rId111" Target="https://doi.org/10.21105/joss.00861" TargetMode="External" /><Relationship Type="http://schemas.openxmlformats.org/officeDocument/2006/relationships/hyperlink" Id="rId92" Target="https://doi.org/10.31234/osf.io/h43cj" TargetMode="External" /><Relationship Type="http://schemas.openxmlformats.org/officeDocument/2006/relationships/hyperlink" Id="rId117" Target="https://doi.org/10.9734/ajrcos/2025/v18i1549" TargetMode="External" /><Relationship Type="http://schemas.openxmlformats.org/officeDocument/2006/relationships/hyperlink" Id="rId137" Target="https://huggingface.co/sentence-transformers/all-MiniLM-L6-v2" TargetMode="External" /><Relationship Type="http://schemas.openxmlformats.org/officeDocument/2006/relationships/hyperlink" Id="rId115" Target="https://itif.org/publications/2025/09/22/ai-is-much-more-evolutionary-than-revolutionary/" TargetMode="External" /><Relationship Type="http://schemas.openxmlformats.org/officeDocument/2006/relationships/hyperlink" Id="rId119" Target="https://openai.com/index/chatgpt/" TargetMode="External" /><Relationship Type="http://schemas.openxmlformats.org/officeDocument/2006/relationships/hyperlink" Id="rId151" Target="https://technologyandsociety.org/is-the-ai-revolution-the-latest-example-of-technological-change-driving-history/" TargetMode="External" /><Relationship Type="http://schemas.openxmlformats.org/officeDocument/2006/relationships/hyperlink" Id="rId104" Target="https://www.pewresearch.org/science/2025/09/17/how-americans-view-ai-and-its-impact-on-people-and-society/" TargetMode="External" /><Relationship Type="http://schemas.openxmlformats.org/officeDocument/2006/relationships/hyperlink" Id="rId100" Target="https://www.reuters.com/technology/chatgpt-sets-record-fastest-growing-user-base-analyst-note-2023-02-01/" TargetMode="External" /><Relationship Type="http://schemas.openxmlformats.org/officeDocument/2006/relationships/hyperlink" Id="rId75" Target="https://www.sciencedirect.com/special-issue/334595/the-transformative-role-of-artificial-intelligence-in-marketing-theory-and-practice" TargetMode="External" /><Relationship Type="http://schemas.openxmlformats.org/officeDocument/2006/relationships/hyperlink" Id="rId135" Target="https://www.semrush.com/trending-websites/global/all" TargetMode="External" /><Relationship Type="http://schemas.openxmlformats.org/officeDocument/2006/relationships/hyperlink" Id="rId21" Target="mailto:sabourani.stocker@unisg.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MAPPING CONSUMER-TECHNOLOGY RESEARCH</dc:description>
  <cp:keywords>new consumer technologies, generative AI, semantic modeling, bibliometric analysis, media attention</cp:keywords>
  <dcterms:created xsi:type="dcterms:W3CDTF">2026-09-12T17:46:32Z</dcterms:created>
  <dcterms:modified xsi:type="dcterms:W3CDTF">2026-09-12T17:46:32Z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Consumer technology research continually shifts as new technologies emerge, challenging cumulative science in a domain where the empirical object itself keeps changing. We build a quarter-century overview of how the field adapts and accumulates knowledge by screening 10,000 articles from seven leading marketing and consumer research journals and mapping out 16 technology clusters through semantic modeling. Specifically, we (1) map how academic attention moves across successive technology waves, (2) examine co-citation, historiographic coupling, and journal citation patterns to determine whether domains build on shared intellectual foundations, and (3) compare these trajectories with media attention to assess whether the field redirects its attention toward technologies that become salient in its external environment. We find distinct academic waves that are generally weakly aligned with media attention but remain substantially intellectually interconnected. Benchmarking Generative AI against these historical patterns, we find that it has been adopted across journals at unprecedented speed, yet rests on a comparatively narrow intellectual foundation and draws on earlier technology clusters less than those clusters already draw on it. We derive implications for researchers, and for journals, whose agenda-setting role makes them central to ensuring that attention to emerging technologies advances cumulative rather than merely novel knowledge.</vt:lpwstr>
  </property>
  <property fmtid="{D5CDD505-2E9C-101B-9397-08002B2CF9AE}" pid="5" name="apaauthor">
    <vt:lpwstr/>
  </property>
  <property fmtid="{D5CDD505-2E9C-101B-9397-08002B2CF9AE}" pid="6" name="apatitle">
    <vt:lpwstr>Mapping the Field: Learnings from a Quarter-Century of Consumer-Technology Research</vt:lpwstr>
  </property>
  <property fmtid="{D5CDD505-2E9C-101B-9397-08002B2CF9AE}" pid="7" name="apatitledisplay">
    <vt:lpwstr>Mapping the Field: Learnings from a Quarter-Century of Consumer-Technology Research</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rossref">
    <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fig-cap-location">
    <vt:lpwstr>top</vt:lpwstr>
  </property>
  <property fmtid="{D5CDD505-2E9C-101B-9397-08002B2CF9AE}" pid="17" name="floatsintext">
    <vt:lpwstr>True</vt:lpwstr>
  </property>
  <property fmtid="{D5CDD505-2E9C-101B-9397-08002B2CF9AE}" pid="18" name="header-includes">
    <vt:lpwstr/>
  </property>
  <property fmtid="{D5CDD505-2E9C-101B-9397-08002B2CF9AE}" pid="19" name="include-after">
    <vt:lpwstr/>
  </property>
  <property fmtid="{D5CDD505-2E9C-101B-9397-08002B2CF9AE}" pid="20" name="include-before">
    <vt:lpwstr/>
  </property>
  <property fmtid="{D5CDD505-2E9C-101B-9397-08002B2CF9AE}" pid="21" name="jou-running-authors">
    <vt:lpwstr>Stocker et al.</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number-depth">
    <vt:lpwstr>3</vt:lpwstr>
  </property>
  <property fmtid="{D5CDD505-2E9C-101B-9397-08002B2CF9AE}" pid="28" name="numbersections">
    <vt:lpwstr>False</vt:lpwstr>
  </property>
  <property fmtid="{D5CDD505-2E9C-101B-9397-08002B2CF9AE}" pid="29" name="oneaffiliation">
    <vt:lpwstr>False</vt:lpwstr>
  </property>
  <property fmtid="{D5CDD505-2E9C-101B-9397-08002B2CF9AE}" pid="30" name="oneauthor">
    <vt:lpwstr>False</vt:lpwstr>
  </property>
  <property fmtid="{D5CDD505-2E9C-101B-9397-08002B2CF9AE}" pid="31" name="references">
    <vt:lpwstr/>
  </property>
  <property fmtid="{D5CDD505-2E9C-101B-9397-08002B2CF9AE}" pid="32" name="revealjs-plugins">
    <vt:lpwstr/>
  </property>
  <property fmtid="{D5CDD505-2E9C-101B-9397-08002B2CF9AE}" pid="33" name="shorttitle">
    <vt:lpwstr>MAPPING CONSUMER-TECHNOLOGY RESEARCH</vt:lpwstr>
  </property>
  <property fmtid="{D5CDD505-2E9C-101B-9397-08002B2CF9AE}" pid="34" name="suppress-abstract">
    <vt:lpwstr>False</vt:lpwstr>
  </property>
  <property fmtid="{D5CDD505-2E9C-101B-9397-08002B2CF9AE}" pid="35" name="suppress-affiliation">
    <vt:lpwstr>False</vt:lpwstr>
  </property>
  <property fmtid="{D5CDD505-2E9C-101B-9397-08002B2CF9AE}" pid="36" name="suppress-author">
    <vt:lpwstr>False</vt:lpwstr>
  </property>
  <property fmtid="{D5CDD505-2E9C-101B-9397-08002B2CF9AE}" pid="37" name="suppress-author-note">
    <vt:lpwstr>False</vt:lpwstr>
  </property>
  <property fmtid="{D5CDD505-2E9C-101B-9397-08002B2CF9AE}" pid="38" name="suppress-corresponding-address">
    <vt:lpwstr>False</vt:lpwstr>
  </property>
  <property fmtid="{D5CDD505-2E9C-101B-9397-08002B2CF9AE}" pid="39" name="suppress-corresponding-affiliation-name">
    <vt:lpwstr>False</vt:lpwstr>
  </property>
  <property fmtid="{D5CDD505-2E9C-101B-9397-08002B2CF9AE}" pid="40" name="suppress-corresponding-city">
    <vt:lpwstr>False</vt:lpwstr>
  </property>
  <property fmtid="{D5CDD505-2E9C-101B-9397-08002B2CF9AE}" pid="41" name="suppress-corresponding-country">
    <vt:lpwstr>False</vt:lpwstr>
  </property>
  <property fmtid="{D5CDD505-2E9C-101B-9397-08002B2CF9AE}" pid="42" name="suppress-corresponding-department">
    <vt:lpwstr>False</vt:lpwstr>
  </property>
  <property fmtid="{D5CDD505-2E9C-101B-9397-08002B2CF9AE}" pid="43" name="suppress-corresponding-email">
    <vt:lpwstr>False</vt:lpwstr>
  </property>
  <property fmtid="{D5CDD505-2E9C-101B-9397-08002B2CF9AE}" pid="44" name="suppress-corresponding-group">
    <vt:lpwstr>False</vt:lpwstr>
  </property>
  <property fmtid="{D5CDD505-2E9C-101B-9397-08002B2CF9AE}" pid="45" name="suppress-corresponding-paragraph">
    <vt:lpwstr>False</vt:lpwstr>
  </property>
  <property fmtid="{D5CDD505-2E9C-101B-9397-08002B2CF9AE}" pid="46" name="suppress-corresponding-postal-code">
    <vt:lpwstr>False</vt:lpwstr>
  </property>
  <property fmtid="{D5CDD505-2E9C-101B-9397-08002B2CF9AE}" pid="47" name="suppress-corresponding-region">
    <vt:lpwstr>False</vt:lpwstr>
  </property>
  <property fmtid="{D5CDD505-2E9C-101B-9397-08002B2CF9AE}" pid="48" name="suppress-credit-statement">
    <vt:lpwstr>False</vt:lpwstr>
  </property>
  <property fmtid="{D5CDD505-2E9C-101B-9397-08002B2CF9AE}" pid="49" name="suppress-disclosures-paragraph">
    <vt:lpwstr>False</vt:lpwstr>
  </property>
  <property fmtid="{D5CDD505-2E9C-101B-9397-08002B2CF9AE}" pid="50" name="suppress-impact-statement">
    <vt:lpwstr>False</vt:lpwstr>
  </property>
  <property fmtid="{D5CDD505-2E9C-101B-9397-08002B2CF9AE}" pid="51" name="suppress-keywords">
    <vt:lpwstr>False</vt:lpwstr>
  </property>
  <property fmtid="{D5CDD505-2E9C-101B-9397-08002B2CF9AE}" pid="52" name="suppress-orcid">
    <vt:lpwstr>False</vt:lpwstr>
  </property>
  <property fmtid="{D5CDD505-2E9C-101B-9397-08002B2CF9AE}" pid="53" name="suppress-short-title">
    <vt:lpwstr>False</vt:lpwstr>
  </property>
  <property fmtid="{D5CDD505-2E9C-101B-9397-08002B2CF9AE}" pid="54" name="suppress-status-change-paragraph">
    <vt:lpwstr>False</vt:lpwstr>
  </property>
  <property fmtid="{D5CDD505-2E9C-101B-9397-08002B2CF9AE}" pid="55" name="suppress-supplemental-materials">
    <vt:lpwstr>False</vt:lpwstr>
  </property>
  <property fmtid="{D5CDD505-2E9C-101B-9397-08002B2CF9AE}" pid="56" name="suppress-title">
    <vt:lpwstr>False</vt:lpwstr>
  </property>
  <property fmtid="{D5CDD505-2E9C-101B-9397-08002B2CF9AE}" pid="57" name="suppress-title-introduction">
    <vt:lpwstr>False</vt:lpwstr>
  </property>
  <property fmtid="{D5CDD505-2E9C-101B-9397-08002B2CF9AE}" pid="58" name="suppress-title-page">
    <vt:lpwstr>False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oc-title">
    <vt:lpwstr>Table of contents</vt:lpwstr>
  </property>
  <property fmtid="{D5CDD505-2E9C-101B-9397-08002B2CF9AE}" pid="62" name="wordn">
    <vt:lpwstr>7204</vt:lpwstr>
  </property>
  <property fmtid="{D5CDD505-2E9C-101B-9397-08002B2CF9AE}" pid="63" name="zerocitations">
    <vt:lpwstr>False</vt:lpwstr>
  </property>
</Properties>
</file>