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observed and fitted share at the peak, effective degrees of freedom and</w:t>
      </w:r>
      <w:r>
        <w:t xml:space="preserve"> </w:t>
      </w:r>
      <m:oMath>
        <m:r>
          <m:t>p</m:t>
        </m:r>
      </m:oMath>
      <w:r>
        <w:t xml:space="preserve">-values of each technology cluster within consumer-technology research, estimated with one negative-binomial generalized additive model per cluster of yearly mentions on a smooth of publication year (k = 10), offset by all technology mentions of that year. Mentions are the cluster’s total mentions across 2000-2026. The peak is the maximum of the fitted curve. The</w:t>
      </w:r>
      <w:r>
        <w:t xml:space="preserve"> </w:t>
      </w:r>
      <m:oMath>
        <m:r>
          <m:t>p</m:t>
        </m:r>
      </m:oMath>
      <w:r>
        <w:t xml:space="preserve">-value tests the smooth against a flat trend;</w:t>
      </w:r>
      <w:r>
        <w:t xml:space="preserve"> </w:t>
      </w:r>
      <m:oMath>
        <m:r>
          <m:t>p</m:t>
        </m:r>
      </m:oMath>
      <w:r>
        <w:rPr>
          <w:vertAlign w:val="subscript"/>
        </w:rPr>
        <w:t xml:space="preserve">BH</w:t>
      </w:r>
      <w:r>
        <w:t xml:space="preserve"> </w:t>
      </w:r>
      <w:r>
        <w:t xml:space="preserve">is Benjamini-Hochberg adjusted across the 16 clusters.</w:t>
      </w:r>
    </w:p>
    <w:bookmarkStart w:id="45" w:name="tbl-peaks"/>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edf</w:t>
            </w:r>
          </w:p>
        </w:tc>
        <w:tc>
          <w:tcPr/>
          <w:p>
            <w:pPr>
              <w:pStyle w:val="Compact"/>
              <w:jc w:val="righ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Observed share</w:t>
            </w:r>
          </w:p>
        </w:tc>
        <w:tc>
          <w:tcPr/>
          <w:p>
            <w:pPr>
              <w:pStyle w:val="Compact"/>
              <w:jc w:val="right"/>
            </w:pPr>
            <w:r>
              <w:t xml:space="preserve">Fitted share</w:t>
            </w:r>
          </w:p>
        </w:tc>
        <w:tc>
          <w:tcPr/>
          <w:p>
            <w:pPr>
              <w:pStyle w:val="Compact"/>
              <w:jc w:val="right"/>
            </w:pPr>
            <w:r>
              <w:rPr>
                <w:i/>
                <w:iCs/>
              </w:rPr>
              <w:t xml:space="preserve">p</w:t>
            </w:r>
          </w:p>
        </w:tc>
        <w:tc>
          <w:tcPr/>
          <w:p>
            <w:pPr>
              <w:pStyle w:val="Compact"/>
              <w:jc w:val="right"/>
            </w:pPr>
            <w:r>
              <w:rPr>
                <w:i/>
                <w:iCs/>
              </w:rPr>
              <w:t xml:space="preserve">p</w:t>
            </w:r>
            <w:r>
              <w:rPr>
                <w:vertAlign w:val="subscript"/>
              </w:rPr>
              <w:t xml:space="preserve">BH</w:t>
            </w:r>
          </w:p>
        </w:tc>
      </w:tr>
      <w:tr>
        <w:tc>
          <w:tcPr/>
          <w:p>
            <w:pPr>
              <w:pStyle w:val="Compact"/>
            </w:pPr>
            <w:r>
              <w:t xml:space="preserve">1.30</w:t>
            </w:r>
          </w:p>
        </w:tc>
        <w:tc>
          <w:tcPr/>
          <w:p>
            <w:pPr>
              <w:pStyle w:val="Compact"/>
              <w:jc w:val="righ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4.2%</w:t>
            </w:r>
          </w:p>
        </w:tc>
        <w:tc>
          <w:tcPr/>
          <w:p>
            <w:pPr>
              <w:pStyle w:val="Compact"/>
              <w:jc w:val="right"/>
            </w:pPr>
            <w:r>
              <w:t xml:space="preserve">7.2%</w:t>
            </w:r>
          </w:p>
        </w:tc>
        <w:tc>
          <w:tcPr/>
          <w:p>
            <w:pPr>
              <w:pStyle w:val="Compact"/>
              <w:jc w:val="right"/>
            </w:pPr>
            <w:r>
              <w:t xml:space="preserve">.605</w:t>
            </w:r>
          </w:p>
        </w:tc>
        <w:tc>
          <w:tcPr/>
          <w:p>
            <w:pPr>
              <w:pStyle w:val="Compact"/>
              <w:jc w:val="right"/>
            </w:pPr>
            <w:r>
              <w:t xml:space="preserve">.646</w:t>
            </w:r>
          </w:p>
        </w:tc>
      </w:tr>
      <w:tr>
        <w:tc>
          <w:tcPr/>
          <w:p>
            <w:pPr>
              <w:pStyle w:val="Compact"/>
            </w:pPr>
            <w:r>
              <w:t xml:space="preserve">1.00</w:t>
            </w:r>
          </w:p>
        </w:tc>
        <w:tc>
          <w:tcPr/>
          <w:p>
            <w:pPr>
              <w:pStyle w:val="Compact"/>
              <w:jc w:val="righ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6.0%</w:t>
            </w:r>
          </w:p>
        </w:tc>
        <w:tc>
          <w:tcPr/>
          <w:p>
            <w:pPr>
              <w:pStyle w:val="Compact"/>
              <w:jc w:val="right"/>
            </w:pPr>
            <w:r>
              <w:t xml:space="preserve">&lt; .001</w:t>
            </w:r>
          </w:p>
        </w:tc>
        <w:tc>
          <w:tcPr/>
          <w:p>
            <w:pPr>
              <w:pStyle w:val="Compact"/>
              <w:jc w:val="right"/>
            </w:pPr>
            <w:r>
              <w:t xml:space="preserve">.003</w:t>
            </w:r>
          </w:p>
        </w:tc>
      </w:tr>
      <w:tr>
        <w:tc>
          <w:tcPr/>
          <w:p>
            <w:pPr>
              <w:pStyle w:val="Compact"/>
            </w:pPr>
            <w:r>
              <w:t xml:space="preserve">2.94</w:t>
            </w:r>
          </w:p>
        </w:tc>
        <w:tc>
          <w:tcPr/>
          <w:p>
            <w:pPr>
              <w:pStyle w:val="Compact"/>
              <w:jc w:val="righ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10.7%</w:t>
            </w:r>
          </w:p>
        </w:tc>
        <w:tc>
          <w:tcPr/>
          <w:p>
            <w:pPr>
              <w:pStyle w:val="Compact"/>
              <w:jc w:val="right"/>
            </w:pPr>
            <w:r>
              <w:t xml:space="preserve">5.4%</w:t>
            </w:r>
          </w:p>
        </w:tc>
        <w:tc>
          <w:tcPr/>
          <w:p>
            <w:pPr>
              <w:pStyle w:val="Compact"/>
              <w:jc w:val="right"/>
            </w:pPr>
            <w:r>
              <w:t xml:space="preserve">.006</w:t>
            </w:r>
          </w:p>
        </w:tc>
        <w:tc>
          <w:tcPr/>
          <w:p>
            <w:pPr>
              <w:pStyle w:val="Compact"/>
              <w:jc w:val="right"/>
            </w:pPr>
            <w:r>
              <w:t xml:space="preserve">.011</w:t>
            </w:r>
          </w:p>
        </w:tc>
      </w:tr>
      <w:tr>
        <w:tc>
          <w:tcPr/>
          <w:p>
            <w:pPr>
              <w:pStyle w:val="Compact"/>
            </w:pPr>
            <w:r>
              <w:t xml:space="preserve">1.77</w:t>
            </w:r>
          </w:p>
        </w:tc>
        <w:tc>
          <w:tcPr/>
          <w:p>
            <w:pPr>
              <w:pStyle w:val="Compact"/>
              <w:jc w:val="righ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19.2%</w:t>
            </w:r>
          </w:p>
        </w:tc>
        <w:tc>
          <w:tcPr/>
          <w:p>
            <w:pPr>
              <w:pStyle w:val="Compact"/>
              <w:jc w:val="right"/>
            </w:pPr>
            <w:r>
              <w:t xml:space="preserve">21.5%</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2.16</w:t>
            </w:r>
          </w:p>
        </w:tc>
        <w:tc>
          <w:tcPr/>
          <w:p>
            <w:pPr>
              <w:pStyle w:val="Compact"/>
              <w:jc w:val="righ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10.4%</w:t>
            </w:r>
          </w:p>
        </w:tc>
        <w:tc>
          <w:tcPr/>
          <w:p>
            <w:pPr>
              <w:pStyle w:val="Compact"/>
              <w:jc w:val="right"/>
            </w:pPr>
            <w:r>
              <w:t xml:space="preserve">.038</w:t>
            </w:r>
          </w:p>
        </w:tc>
        <w:tc>
          <w:tcPr/>
          <w:p>
            <w:pPr>
              <w:pStyle w:val="Compact"/>
              <w:jc w:val="right"/>
            </w:pPr>
            <w:r>
              <w:t xml:space="preserve">.061</w:t>
            </w:r>
          </w:p>
        </w:tc>
      </w:tr>
      <w:tr>
        <w:tc>
          <w:tcPr/>
          <w:p>
            <w:pPr>
              <w:pStyle w:val="Compact"/>
            </w:pPr>
            <w:r>
              <w:t xml:space="preserve">1.00</w:t>
            </w:r>
          </w:p>
        </w:tc>
        <w:tc>
          <w:tcPr/>
          <w:p>
            <w:pPr>
              <w:pStyle w:val="Compact"/>
              <w:jc w:val="righ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15.4%</w:t>
            </w:r>
          </w:p>
        </w:tc>
        <w:tc>
          <w:tcPr/>
          <w:p>
            <w:pPr>
              <w:pStyle w:val="Compact"/>
              <w:jc w:val="right"/>
            </w:pPr>
            <w:r>
              <w:t xml:space="preserve">11.6%</w:t>
            </w:r>
          </w:p>
        </w:tc>
        <w:tc>
          <w:tcPr/>
          <w:p>
            <w:pPr>
              <w:pStyle w:val="Compact"/>
              <w:jc w:val="right"/>
            </w:pPr>
            <w:r>
              <w:t xml:space="preserve">.001</w:t>
            </w:r>
          </w:p>
        </w:tc>
        <w:tc>
          <w:tcPr/>
          <w:p>
            <w:pPr>
              <w:pStyle w:val="Compact"/>
              <w:jc w:val="right"/>
            </w:pPr>
            <w:r>
              <w:t xml:space="preserve">.003</w:t>
            </w:r>
          </w:p>
        </w:tc>
      </w:tr>
      <w:tr>
        <w:tc>
          <w:tcPr/>
          <w:p>
            <w:pPr>
              <w:pStyle w:val="Compact"/>
            </w:pPr>
            <w:r>
              <w:t xml:space="preserve">1.00</w:t>
            </w:r>
          </w:p>
        </w:tc>
        <w:tc>
          <w:tcPr/>
          <w:p>
            <w:pPr>
              <w:pStyle w:val="Compact"/>
              <w:jc w:val="righ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9.4%</w:t>
            </w:r>
          </w:p>
        </w:tc>
        <w:tc>
          <w:tcPr/>
          <w:p>
            <w:pPr>
              <w:pStyle w:val="Compact"/>
              <w:jc w:val="right"/>
            </w:pPr>
            <w:r>
              <w:t xml:space="preserve">.002</w:t>
            </w:r>
          </w:p>
        </w:tc>
        <w:tc>
          <w:tcPr/>
          <w:p>
            <w:pPr>
              <w:pStyle w:val="Compact"/>
              <w:jc w:val="right"/>
            </w:pPr>
            <w:r>
              <w:t xml:space="preserve">.006</w:t>
            </w:r>
          </w:p>
        </w:tc>
      </w:tr>
      <w:tr>
        <w:tc>
          <w:tcPr/>
          <w:p>
            <w:pPr>
              <w:pStyle w:val="Compact"/>
            </w:pPr>
            <w:r>
              <w:t xml:space="preserve">2.72</w:t>
            </w:r>
          </w:p>
        </w:tc>
        <w:tc>
          <w:tcPr/>
          <w:p>
            <w:pPr>
              <w:pStyle w:val="Compact"/>
              <w:jc w:val="righ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28.6%</w:t>
            </w:r>
          </w:p>
        </w:tc>
        <w:tc>
          <w:tcPr/>
          <w:p>
            <w:pPr>
              <w:pStyle w:val="Compact"/>
              <w:jc w:val="right"/>
            </w:pPr>
            <w:r>
              <w:t xml:space="preserve">29.7%</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23.1%</w:t>
            </w:r>
          </w:p>
        </w:tc>
        <w:tc>
          <w:tcPr/>
          <w:p>
            <w:pPr>
              <w:pStyle w:val="Compact"/>
              <w:jc w:val="right"/>
            </w:pPr>
            <w:r>
              <w:t xml:space="preserve">29.4%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.942</w:t>
            </w:r>
          </w:p>
        </w:tc>
        <w:tc>
          <w:tcPr/>
          <w:p>
            <w:pPr>
              <w:pStyle w:val="Compact"/>
              <w:jc w:val="right"/>
            </w:pPr>
            <w:r>
              <w:t xml:space="preserve">.942</w:t>
            </w:r>
          </w:p>
        </w:tc>
      </w:tr>
      <w:tr>
        <w:tc>
          <w:tcPr/>
          <w:p>
            <w:pPr>
              <w:pStyle w:val="Compact"/>
            </w:pPr>
            <w:r>
              <w:t xml:space="preserve">1.00</w:t>
            </w:r>
          </w:p>
        </w:tc>
        <w:tc>
          <w:tcPr/>
          <w:p>
            <w:pPr>
              <w:pStyle w:val="Compact"/>
              <w:jc w:val="righ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12.2%</w:t>
            </w:r>
          </w:p>
        </w:tc>
        <w:tc>
          <w:tcPr/>
          <w:p>
            <w:pPr>
              <w:pStyle w:val="Compact"/>
              <w:jc w:val="right"/>
            </w:pPr>
            <w:r>
              <w:t xml:space="preserve">.012</w:t>
            </w:r>
          </w:p>
        </w:tc>
        <w:tc>
          <w:tcPr/>
          <w:p>
            <w:pPr>
              <w:pStyle w:val="Compact"/>
              <w:jc w:val="right"/>
            </w:pPr>
            <w:r>
              <w:t xml:space="preserve">.022</w:t>
            </w:r>
          </w:p>
        </w:tc>
      </w:tr>
      <w:tr>
        <w:tc>
          <w:tcPr/>
          <w:p>
            <w:pPr>
              <w:pStyle w:val="Compact"/>
            </w:pPr>
            <w:r>
              <w:t xml:space="preserve">3.35</w:t>
            </w:r>
          </w:p>
        </w:tc>
        <w:tc>
          <w:tcPr/>
          <w:p>
            <w:pPr>
              <w:pStyle w:val="Compact"/>
              <w:jc w:val="right"/>
            </w:pPr>
            <w:r>
              <w:t xml:space="preserve">Smartphones &amp; Apps</w:t>
            </w:r>
          </w:p>
        </w:tc>
        <w:tc>
          <w:tcPr/>
          <w:p>
            <w:pPr>
              <w:pStyle w:val="Compact"/>
              <w:jc w:val="right"/>
            </w:pPr>
            <w:r>
              <w:t xml:space="preserve">126</w:t>
            </w:r>
          </w:p>
        </w:tc>
        <w:tc>
          <w:tcPr/>
          <w:p>
            <w:pPr>
              <w:pStyle w:val="Compact"/>
              <w:jc w:val="right"/>
            </w:pPr>
            <w:r>
              <w:t xml:space="preserve">2018</w:t>
            </w:r>
          </w:p>
        </w:tc>
        <w:tc>
          <w:tcPr/>
          <w:p>
            <w:pPr>
              <w:pStyle w:val="Compact"/>
              <w:jc w:val="right"/>
            </w:pPr>
            <w:r>
              <w:t xml:space="preserve">15.6%</w:t>
            </w:r>
          </w:p>
        </w:tc>
        <w:tc>
          <w:tcPr/>
          <w:p>
            <w:pPr>
              <w:pStyle w:val="Compact"/>
              <w:jc w:val="right"/>
            </w:pPr>
            <w:r>
              <w:t xml:space="preserve">12.4%</w:t>
            </w:r>
          </w:p>
        </w:tc>
        <w:tc>
          <w:tcPr/>
          <w:p>
            <w:pPr>
              <w:pStyle w:val="Compact"/>
              <w:jc w:val="right"/>
            </w:pPr>
            <w:r>
              <w:t xml:space="preserve">.048</w:t>
            </w:r>
          </w:p>
        </w:tc>
        <w:tc>
          <w:tcPr/>
          <w:p>
            <w:pPr>
              <w:pStyle w:val="Compact"/>
              <w:jc w:val="right"/>
            </w:pPr>
            <w:r>
              <w:t xml:space="preserve">.069</w:t>
            </w:r>
          </w:p>
        </w:tc>
      </w:tr>
      <w:tr>
        <w:tc>
          <w:tcPr/>
          <w:p>
            <w:pPr>
              <w:pStyle w:val="Compact"/>
            </w:pPr>
            <w:r>
              <w:t xml:space="preserve">4.55</w:t>
            </w:r>
          </w:p>
        </w:tc>
        <w:tc>
          <w:tcPr/>
          <w:p>
            <w:pPr>
              <w:pStyle w:val="Compact"/>
              <w:jc w:val="right"/>
            </w:pPr>
            <w:r>
              <w:t xml:space="preserve">Social Media</w:t>
            </w:r>
          </w:p>
        </w:tc>
        <w:tc>
          <w:tcPr/>
          <w:p>
            <w:pPr>
              <w:pStyle w:val="Compact"/>
              <w:jc w:val="right"/>
            </w:pPr>
            <w:r>
              <w:t xml:space="preserve">182</w:t>
            </w:r>
          </w:p>
        </w:tc>
        <w:tc>
          <w:tcPr/>
          <w:p>
            <w:pPr>
              <w:pStyle w:val="Compact"/>
              <w:jc w:val="right"/>
            </w:pPr>
            <w:r>
              <w:t xml:space="preserve">2017</w:t>
            </w:r>
          </w:p>
        </w:tc>
        <w:tc>
          <w:tcPr/>
          <w:p>
            <w:pPr>
              <w:pStyle w:val="Compact"/>
              <w:jc w:val="right"/>
            </w:pPr>
            <w:r>
              <w:t xml:space="preserve">31.9%</w:t>
            </w:r>
          </w:p>
        </w:tc>
        <w:tc>
          <w:tcPr/>
          <w:p>
            <w:pPr>
              <w:pStyle w:val="Compact"/>
              <w:jc w:val="right"/>
            </w:pPr>
            <w:r>
              <w:t xml:space="preserve">24.4%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6.7%</w:t>
            </w:r>
          </w:p>
        </w:tc>
        <w:tc>
          <w:tcPr/>
          <w:p>
            <w:pPr>
              <w:pStyle w:val="Compact"/>
              <w:jc w:val="right"/>
            </w:pPr>
            <w:r>
              <w:t xml:space="preserve">4.6%</w:t>
            </w:r>
          </w:p>
        </w:tc>
        <w:tc>
          <w:tcPr/>
          <w:p>
            <w:pPr>
              <w:pStyle w:val="Compact"/>
              <w:jc w:val="right"/>
            </w:pPr>
            <w:r>
              <w:t xml:space="preserve">.153</w:t>
            </w:r>
          </w:p>
        </w:tc>
        <w:tc>
          <w:tcPr/>
          <w:p>
            <w:pPr>
              <w:pStyle w:val="Compact"/>
              <w:jc w:val="right"/>
            </w:pPr>
            <w:r>
              <w:t xml:space="preserve">.204</w:t>
            </w:r>
          </w:p>
        </w:tc>
      </w:tr>
      <w:tr>
        <w:tc>
          <w:tcPr/>
          <w:p>
            <w:pPr>
              <w:pStyle w:val="Compact"/>
            </w:pPr>
            <w:r>
              <w:t xml:space="preserve">2.00</w:t>
            </w:r>
          </w:p>
        </w:tc>
        <w:tc>
          <w:tcPr/>
          <w:p>
            <w:pPr>
              <w:pStyle w:val="Compact"/>
              <w:jc w:val="righ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6.2%</w:t>
            </w:r>
          </w:p>
        </w:tc>
        <w:tc>
          <w:tcPr/>
          <w:p>
            <w:pPr>
              <w:pStyle w:val="Compact"/>
              <w:jc w:val="right"/>
            </w:pPr>
            <w:r>
              <w:t xml:space="preserve">4.5%</w:t>
            </w:r>
          </w:p>
        </w:tc>
        <w:tc>
          <w:tcPr/>
          <w:p>
            <w:pPr>
              <w:pStyle w:val="Compact"/>
              <w:jc w:val="right"/>
            </w:pPr>
            <w:r>
              <w:t xml:space="preserve">.413</w:t>
            </w:r>
          </w:p>
        </w:tc>
        <w:tc>
          <w:tcPr/>
          <w:p>
            <w:pPr>
              <w:pStyle w:val="Compact"/>
              <w:jc w:val="right"/>
            </w:pPr>
            <w:r>
              <w:t xml:space="preserve">.508</w:t>
            </w:r>
          </w:p>
        </w:tc>
      </w:tr>
      <w:tr>
        <w:tc>
          <w:tcPr/>
          <w:p>
            <w:pPr>
              <w:pStyle w:val="Compact"/>
            </w:pPr>
            <w:r>
              <w:t xml:space="preserve">1.84</w:t>
            </w:r>
          </w:p>
        </w:tc>
        <w:tc>
          <w:tcPr/>
          <w:p>
            <w:pPr>
              <w:pStyle w:val="Compact"/>
              <w:jc w:val="righ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31.2%</w:t>
            </w:r>
          </w:p>
        </w:tc>
        <w:tc>
          <w:tcPr/>
          <w:p>
            <w:pPr>
              <w:pStyle w:val="Compact"/>
              <w:jc w:val="right"/>
            </w:pPr>
            <w:r>
              <w:t xml:space="preserve">7.3%</w:t>
            </w:r>
          </w:p>
        </w:tc>
        <w:tc>
          <w:tcPr/>
          <w:p>
            <w:pPr>
              <w:pStyle w:val="Compact"/>
              <w:jc w:val="right"/>
            </w:pPr>
            <w:r>
              <w:t xml:space="preserve">.458</w:t>
            </w:r>
          </w:p>
        </w:tc>
        <w:tc>
          <w:tcPr/>
          <w:p>
            <w:pPr>
              <w:pStyle w:val="Compact"/>
              <w:jc w:val="right"/>
            </w:pPr>
            <w:r>
              <w:t xml:space="preserve">.523</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Academic rank and media rank order the clusters by their pooled share within each corpus, with 1 the largest share and tied shares given their average rank.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742"/>
        <w:gridCol w:w="990"/>
        <w:gridCol w:w="990"/>
        <w:gridCol w:w="990"/>
        <w:gridCol w:w="990"/>
        <w:gridCol w:w="990"/>
        <w:gridCol w:w="990"/>
        <w:gridCol w:w="123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2026-09-20T10:41:51Z</dcterms:created>
  <dcterms:modified xsi:type="dcterms:W3CDTF">2026-09-20T10:41:51Z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7429</vt:lpwstr>
  </property>
  <property fmtid="{D5CDD505-2E9C-101B-9397-08002B2CF9AE}" pid="64" name="zerocitations">
    <vt:lpwstr>False</vt:lpwstr>
  </property>
</Properties>
</file>