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 Manuscript</w:t>
      </w:r>
    </w:p>
    <w:p>
      <w:pPr>
        <w:pStyle w:val="Author"/>
      </w:pPr>
      <w:r>
        <w:t xml:space="preserve">Sabou Rani Stocker, Emanuel de Bellis, Anne-Kathrin Klesse &amp; Ana Valenzuela</w:t>
      </w:r>
    </w:p>
    <w:p>
      <w:pPr>
        <w:pStyle w:val="Date"/>
      </w:pPr>
      <w:r>
        <w:t xml:space="preserve">2026-07-23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p>
      <w:r>
        <w:br w:type="page"/>
      </w:r>
    </w:p>
    <w:bookmarkEnd w:id="20"/>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Consumer-facing technologies increasingly shape everyday life, yet research on them remains fragmented across labels, domains, and time. We map the evolution of empirical consumer-technology research published between 2000 and June 2026 in seven leading marketing and consumer-behavior journals. Using a two-stage large-language-model based screening procedure, we identified 1,102 articles examining consumer-facing technologies. We standardized the extracted technology terms, represented them as semantic embeddings, and grouped 901 canonical technologies into 16 clusters using UMAP and k-means clustering. We then examined changes in cluster prevalence over time and compared academic attention with U.S. news coverage of consumer-facing technologies under academic study. Consumer-technology research expanded sharply after 2013, while its focus shows clear patterns of emphasizing specific technologies, most recently generative AI. Academic attention was uneven across clusters, with marketer-relevant and emerging technologies receiving disproportionate emphasis compared to U.S. news coverage. These patterns suggest that the field often follows technological novelty and public visibility, while mature or diffuse technologies may become less visible as research objects. Our map reduces fragmentation and supports more cumulative research across related technologies. We call for stronger emphasis on defragmenting the research landscape of consumer-technology, renewed attention to normalized technologies, and closer scrutiny of whether visible technologies warrant dominance or merely reflect short-lived novelty.</w:t>
      </w:r>
    </w:p>
    <w:bookmarkEnd w:id="22"/>
    <w:bookmarkStart w:id="23" w:name="introduction"/>
    <w:p>
      <w:pPr>
        <w:pStyle w:val="Heading1"/>
      </w:pPr>
      <w:r>
        <w:t xml:space="preserve">Introduction</w:t>
      </w:r>
    </w:p>
    <w:p>
      <w:pPr>
        <w:pStyle w:val="FirstParagraph"/>
      </w:pPr>
      <w:r>
        <w:t xml:space="preserve">Background</w:t>
      </w:r>
    </w:p>
    <w:p>
      <w:pPr>
        <w:pStyle w:val="Compact"/>
        <w:numPr>
          <w:ilvl w:val="0"/>
          <w:numId w:val="1001"/>
        </w:numPr>
      </w:pPr>
      <w:r>
        <w:t xml:space="preserve">Consumer-facing technologies increasingly shape how people choose, communicate, work, travel, access services, and manage everyday life.</w:t>
      </w:r>
    </w:p>
    <w:p>
      <w:pPr>
        <w:pStyle w:val="Compact"/>
        <w:numPr>
          <w:ilvl w:val="0"/>
          <w:numId w:val="1001"/>
        </w:numPr>
      </w:pPr>
      <w:r>
        <w:t xml:space="preserve">quantify</w:t>
      </w:r>
      <w:r>
        <w:t xml:space="preserve"> </w:t>
      </w:r>
      <w:r>
        <w:t xml:space="preserve">“shape”</w:t>
      </w:r>
      <w:r>
        <w:t xml:space="preserve"> </w:t>
      </w:r>
      <w:r>
        <w:t xml:space="preserve">with economic impact -&gt; tech-millionaires, consumer-tech adoption, …</w:t>
      </w:r>
    </w:p>
    <w:p>
      <w:pPr>
        <w:pStyle w:val="Compact"/>
        <w:numPr>
          <w:ilvl w:val="0"/>
          <w:numId w:val="1001"/>
        </w:numPr>
      </w:pPr>
      <w:r>
        <w:t xml:space="preserve">lead over to that this also naturally increases the research interest to understand how consumers and technologies interact</w:t>
      </w:r>
    </w:p>
    <w:p>
      <w:pPr>
        <w:pStyle w:val="FirstParagraph"/>
      </w:pPr>
      <w:r>
        <w:t xml:space="preserve">Problem</w:t>
      </w:r>
    </w:p>
    <w:p>
      <w:pPr>
        <w:pStyle w:val="Compact"/>
        <w:numPr>
          <w:ilvl w:val="0"/>
          <w:numId w:val="1002"/>
        </w:numPr>
      </w:pPr>
      <w:r>
        <w:t xml:space="preserve">Research on these technologies has expanded rapidly, but it is distributed and hard to parsimonoiusly express</w:t>
      </w:r>
    </w:p>
    <w:p>
      <w:pPr>
        <w:pStyle w:val="Compact"/>
        <w:numPr>
          <w:ilvl w:val="0"/>
          <w:numId w:val="1002"/>
        </w:numPr>
      </w:pPr>
      <w:r>
        <w:t xml:space="preserve">What has the domain of consumer-technology-research been up to over the past 26 years?</w:t>
      </w:r>
    </w:p>
    <w:p>
      <w:pPr>
        <w:pStyle w:val="Compact"/>
        <w:numPr>
          <w:ilvl w:val="1"/>
          <w:numId w:val="1003"/>
        </w:numPr>
      </w:pPr>
      <w:r>
        <w:t xml:space="preserve">What do we study?</w:t>
      </w:r>
    </w:p>
    <w:p>
      <w:pPr>
        <w:pStyle w:val="Compact"/>
        <w:numPr>
          <w:ilvl w:val="1"/>
          <w:numId w:val="1003"/>
        </w:numPr>
      </w:pPr>
      <w:r>
        <w:t xml:space="preserve">When do we study it?</w:t>
      </w:r>
    </w:p>
    <w:p>
      <w:pPr>
        <w:pStyle w:val="Compact"/>
        <w:numPr>
          <w:ilvl w:val="0"/>
          <w:numId w:val="1002"/>
        </w:numPr>
      </w:pPr>
      <w:r>
        <w:t xml:space="preserve">Aim of this review article: By conducting a bibliometric and semantic corpus-analysis of seven leading journals in the marketing and consumer-behavior domain, this review article aims to provide an overview over the evolving landscape of empirical consumer-technology-research over the last 26 years.</w:t>
      </w:r>
    </w:p>
    <w:p>
      <w:pPr>
        <w:pStyle w:val="FirstParagraph"/>
      </w:pPr>
      <w:r>
        <w:t xml:space="preserve">Contribution</w:t>
      </w:r>
    </w:p>
    <w:p>
      <w:pPr>
        <w:pStyle w:val="Compact"/>
        <w:numPr>
          <w:ilvl w:val="0"/>
          <w:numId w:val="1004"/>
        </w:numPr>
      </w:pPr>
      <w:r>
        <w:t xml:space="preserve">Use novel methods to defragment a landscape</w:t>
      </w:r>
    </w:p>
    <w:p>
      <w:pPr>
        <w:pStyle w:val="Compact"/>
        <w:numPr>
          <w:ilvl w:val="0"/>
          <w:numId w:val="1004"/>
        </w:numPr>
      </w:pPr>
      <w:r>
        <w:t xml:space="preserve">Disentangle academic interest temporally and overall over 26 years of research</w:t>
      </w:r>
    </w:p>
    <w:p>
      <w:pPr>
        <w:pStyle w:val="Compact"/>
        <w:numPr>
          <w:ilvl w:val="0"/>
          <w:numId w:val="1004"/>
        </w:numPr>
      </w:pPr>
      <w:r>
        <w:t xml:space="preserve">Compare academic focus against media discourse to identify if what we study is what matters to consumers</w:t>
      </w:r>
    </w:p>
    <w:p>
      <w:pPr>
        <w:pStyle w:val="Compact"/>
        <w:numPr>
          <w:ilvl w:val="0"/>
          <w:numId w:val="1004"/>
        </w:numPr>
      </w:pPr>
      <w:r>
        <w:t xml:space="preserve">Overall contribution: Show where we came from, what we are doing, and point towards what we could be doing in the future</w:t>
      </w:r>
    </w:p>
    <w:bookmarkEnd w:id="23"/>
    <w:bookmarkStart w:id="24" w:name="theoretical-background"/>
    <w:p>
      <w:pPr>
        <w:pStyle w:val="Heading1"/>
      </w:pPr>
      <w:r>
        <w:t xml:space="preserve">Theoretical Background</w:t>
      </w:r>
    </w:p>
    <w:p>
      <w:pPr>
        <w:pStyle w:val="FirstParagraph"/>
      </w:pPr>
      <w:r>
        <w:t xml:space="preserve">What do we mean, when we say, we study consumer-technologies</w:t>
      </w:r>
    </w:p>
    <w:p>
      <w:pPr>
        <w:pStyle w:val="Compact"/>
        <w:numPr>
          <w:ilvl w:val="0"/>
          <w:numId w:val="1005"/>
        </w:numPr>
      </w:pPr>
      <w:r>
        <w:t xml:space="preserve">Define technology as scientific knowledge and its application for firms or consumers that can influence value creation and exchange</w:t>
      </w:r>
      <w:r>
        <w:t xml:space="preserve"> </w:t>
      </w:r>
      <w:r>
        <w:t xml:space="preserve">[1]</w:t>
      </w:r>
      <w:r>
        <w:t xml:space="preserve">.</w:t>
      </w:r>
    </w:p>
    <w:p>
      <w:pPr>
        <w:pStyle w:val="Compact"/>
        <w:numPr>
          <w:ilvl w:val="0"/>
          <w:numId w:val="1005"/>
        </w:numPr>
      </w:pPr>
      <w:r>
        <w:t xml:space="preserve">Define consumer-facing technologies as technologies that consumers directly use, encounter, or experience.</w:t>
      </w:r>
    </w:p>
    <w:p>
      <w:pPr>
        <w:pStyle w:val="FirstParagraph"/>
      </w:pPr>
      <w:r>
        <w:t xml:space="preserve">Why can’t we just google-scholar</w:t>
      </w:r>
      <w:r>
        <w:t xml:space="preserve"> </w:t>
      </w:r>
      <w:r>
        <w:t xml:space="preserve">“consumer-tech”</w:t>
      </w:r>
      <w:r>
        <w:t xml:space="preserve">?</w:t>
      </w:r>
    </w:p>
    <w:p>
      <w:pPr>
        <w:pStyle w:val="Compact"/>
        <w:numPr>
          <w:ilvl w:val="0"/>
          <w:numId w:val="1006"/>
        </w:numPr>
      </w:pPr>
      <w:r>
        <w:t xml:space="preserve">The problem with fragmentation: Hard to provide a comprehensive overview if you don’t know what is out there.</w:t>
      </w:r>
    </w:p>
    <w:p>
      <w:pPr>
        <w:pStyle w:val="Compact"/>
        <w:numPr>
          <w:ilvl w:val="1"/>
          <w:numId w:val="1007"/>
        </w:numPr>
      </w:pPr>
      <w:r>
        <w:t xml:space="preserve">jingle-jangle fallacy</w:t>
      </w:r>
    </w:p>
    <w:p>
      <w:pPr>
        <w:pStyle w:val="Compact"/>
        <w:numPr>
          <w:ilvl w:val="1"/>
          <w:numId w:val="1007"/>
        </w:numPr>
      </w:pPr>
      <w:r>
        <w:t xml:space="preserve">Without consolidating related labels, a field-level review may misrepresent both the size and the boundaries of research areas.</w:t>
      </w:r>
    </w:p>
    <w:p>
      <w:pPr>
        <w:pStyle w:val="Compact"/>
        <w:numPr>
          <w:ilvl w:val="1"/>
          <w:numId w:val="1007"/>
        </w:numPr>
      </w:pPr>
      <w:r>
        <w:t xml:space="preserve">we cannot say what areas have been studied how if we cannot even say what the areas are to begin with</w:t>
      </w:r>
    </w:p>
    <w:p>
      <w:pPr>
        <w:pStyle w:val="Compact"/>
        <w:numPr>
          <w:ilvl w:val="1"/>
          <w:numId w:val="1007"/>
        </w:numPr>
      </w:pPr>
      <w:r>
        <w:t xml:space="preserve">also tie into the superficial traps of comparing</w:t>
      </w:r>
      <w:r>
        <w:t xml:space="preserve"> </w:t>
      </w:r>
      <w:r>
        <w:t xml:space="preserve">“Chatgpt 4”</w:t>
      </w:r>
      <w:r>
        <w:t xml:space="preserve"> </w:t>
      </w:r>
      <w:r>
        <w:t xml:space="preserve">with</w:t>
      </w:r>
      <w:r>
        <w:t xml:space="preserve"> </w:t>
      </w:r>
      <w:r>
        <w:t xml:space="preserve">“4.1”</w:t>
      </w:r>
    </w:p>
    <w:p>
      <w:pPr>
        <w:pStyle w:val="Compact"/>
        <w:numPr>
          <w:ilvl w:val="0"/>
          <w:numId w:val="1006"/>
        </w:numPr>
      </w:pPr>
      <w:r>
        <w:t xml:space="preserve">The problem with attention: It doesn’t only matter what we study, it also matters when, and how much. This is important because academic research is shaped by many factors</w:t>
      </w:r>
    </w:p>
    <w:p>
      <w:pPr>
        <w:pStyle w:val="Compact"/>
        <w:numPr>
          <w:ilvl w:val="1"/>
          <w:numId w:val="1008"/>
        </w:numPr>
      </w:pPr>
      <w:r>
        <w:t xml:space="preserve">reference tech-traps paper?</w:t>
      </w:r>
    </w:p>
    <w:p>
      <w:pPr>
        <w:pStyle w:val="Compact"/>
        <w:numPr>
          <w:ilvl w:val="0"/>
          <w:numId w:val="1006"/>
        </w:numPr>
      </w:pPr>
      <w:r>
        <w:t xml:space="preserve">The problem with disconnect from the public discourse: Is the devotion to certain topics given by academics appropriate when looking at what</w:t>
      </w:r>
      <w:r>
        <w:t xml:space="preserve"> </w:t>
      </w:r>
      <w:r>
        <w:t xml:space="preserve">“real consumers out there”</w:t>
      </w:r>
      <w:r>
        <w:t xml:space="preserve"> </w:t>
      </w:r>
      <w:r>
        <w:t xml:space="preserve">are interested in?</w:t>
      </w:r>
    </w:p>
    <w:p>
      <w:pPr>
        <w:pStyle w:val="FirstParagraph"/>
      </w:pPr>
      <w:r>
        <w:t xml:space="preserve">Methodological Background</w:t>
      </w:r>
    </w:p>
    <w:p>
      <w:pPr>
        <w:pStyle w:val="Compact"/>
        <w:numPr>
          <w:ilvl w:val="0"/>
          <w:numId w:val="1009"/>
        </w:numPr>
      </w:pPr>
      <w:r>
        <w:t xml:space="preserve">Jingle jangle fallacy as an example of what we do</w:t>
      </w:r>
    </w:p>
    <w:p>
      <w:pPr>
        <w:pStyle w:val="Compact"/>
        <w:numPr>
          <w:ilvl w:val="0"/>
          <w:numId w:val="1009"/>
        </w:numPr>
      </w:pPr>
      <w:r>
        <w:t xml:space="preserve">bibliometric analysis as a way to map a field</w:t>
      </w:r>
      <w:r>
        <w:t xml:space="preserve"> </w:t>
      </w:r>
      <w:r>
        <w:t xml:space="preserve">[2,3, and others]</w:t>
      </w:r>
    </w:p>
    <w:p>
      <w:pPr>
        <w:pStyle w:val="Compact"/>
        <w:numPr>
          <w:ilvl w:val="0"/>
          <w:numId w:val="1009"/>
        </w:numPr>
      </w:pPr>
      <w:r>
        <w:t xml:space="preserve">semantic analysis and clustering, semantic topic modelling as a way to utilize language to organize large corpora of data into themes</w:t>
      </w:r>
      <w:r>
        <w:t xml:space="preserve"> </w:t>
      </w:r>
      <w:r>
        <w:t xml:space="preserve">[4]</w:t>
      </w:r>
    </w:p>
    <w:bookmarkEnd w:id="24"/>
    <w:bookmarkStart w:id="28" w:name="methods"/>
    <w:p>
      <w:pPr>
        <w:pStyle w:val="Heading1"/>
      </w:pPr>
      <w:r>
        <w:t xml:space="preserve">Methods</w:t>
      </w:r>
    </w:p>
    <w:p>
      <w:pPr>
        <w:pStyle w:val="FirstParagraph"/>
      </w:pPr>
      <w:r>
        <w:t xml:space="preserve">To gain insights into these questions, we follow a bibliometric and semantic analysis</w:t>
      </w:r>
      <w:r>
        <w:t xml:space="preserve"> </w:t>
      </w:r>
      <w:r>
        <w:t xml:space="preserve">[see e.g., 5]</w:t>
      </w:r>
      <w:r>
        <w:t xml:space="preserve"> </w:t>
      </w:r>
      <w:r>
        <w:t xml:space="preserve">spanning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[6]</w:t>
      </w:r>
      <w:r>
        <w:t xml:space="preserve">, grouped semantically related terms into 16 technology clusters using k-means clustering</w:t>
      </w:r>
      <w:r>
        <w:t xml:space="preserve"> </w:t>
      </w:r>
      <w:r>
        <w:t xml:space="preserve">[7]</w:t>
      </w:r>
      <w:r>
        <w:t xml:space="preserve">, and examined both the overall composition of these clusters and changes in their prevalence over time.</w:t>
      </w:r>
    </w:p>
    <w:bookmarkStart w:id="25" w:name="article-identification"/>
    <w:p>
      <w:pPr>
        <w:pStyle w:val="Heading2"/>
      </w:pPr>
      <w:r>
        <w:t xml:space="preserve">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[2]</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[8]</w:t>
      </w:r>
      <w:r>
        <w:t xml:space="preserve">) pipeline to identify technology discussions from titles and abstracts. Following Hoffman et al.</w:t>
      </w:r>
      <w:r>
        <w:t xml:space="preserve"> </w:t>
      </w:r>
      <w:r>
        <w:t xml:space="preserve">[1]</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[8]</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We define consumer-facing technologies as technologies that consumers directly use, encounter, or experience. We define empirical articles as articles that analyze data, including experimental, survey, observational, archival, or large-scale digital data.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w:anchor="sec-academic-corpus">
        <w:r>
          <w:rPr>
            <w:rStyle w:val="Hyperlink"/>
          </w:rPr>
          <w:t xml:space="preserve">supplementary materials A</w:t>
        </w:r>
      </w:hyperlink>
      <w:r>
        <w:t xml:space="preserve">supplementary materials A</w:t>
      </w:r>
      <w:r>
        <w:t xml:space="preserve">.</w:t>
      </w:r>
    </w:p>
    <w:bookmarkEnd w:id="25"/>
    <w:bookmarkStart w:id="26" w:name="standardizing-technology-terms"/>
    <w:p>
      <w:pPr>
        <w:pStyle w:val="Heading2"/>
      </w:pPr>
      <w:r>
        <w:t xml:space="preserve">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[9–11]</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6"/>
    <w:bookmarkStart w:id="27" w:name="clustering-technology-terms"/>
    <w:p>
      <w:pPr>
        <w:pStyle w:val="Heading2"/>
      </w:pPr>
      <w:r>
        <w:t xml:space="preserve">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6]</w:t>
      </w:r>
      <w:r>
        <w:t xml:space="preserve">. We then applied k-means clustering</w:t>
      </w:r>
      <w:r>
        <w:t xml:space="preserve"> </w:t>
      </w:r>
      <w:r>
        <w:t xml:space="preserve">[7]</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w:anchor="sec-technology-clustering">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27"/>
    <w:bookmarkEnd w:id="28"/>
    <w:bookmarkStart w:id="42" w:name="results"/>
    <w:p>
      <w:pPr>
        <w:pStyle w:val="Heading1"/>
      </w:pPr>
      <w:r>
        <w:t xml:space="preserve">Results</w:t>
      </w:r>
    </w:p>
    <w:p>
      <w:pPr>
        <w:pStyle w:val="FirstParagraph"/>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 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technology-map"/>
          <w:p>
            <w:pPr>
              <w:pStyle w:val="Compact"/>
              <w:jc w:val="center"/>
            </w:pPr>
            <w:r>
              <w:drawing>
                <wp:inline>
                  <wp:extent cx="5943600" cy="2786062"/>
                  <wp:effectExtent b="0" l="0" r="0" t="0"/>
                  <wp:docPr descr="" title="" id="30" name="Picture"/>
                  <a:graphic>
                    <a:graphicData uri="http://schemas.openxmlformats.org/drawingml/2006/picture">
                      <pic:pic>
                        <pic:nvPicPr>
                          <pic:cNvPr descr="./figures/technologies/map_D_vosviewer_overlay.png" id="31" name="Picture"/>
                          <pic:cNvPicPr>
                            <a:picLocks noChangeArrowheads="1" noChangeAspect="1"/>
                          </pic:cNvPicPr>
                        </pic:nvPicPr>
                        <pic:blipFill>
                          <a:blip r:embed="rId29"/>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2"/>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403 (24.7%) observations, whereas 1231 (75.3%)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[12]</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[13,14]</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[15]</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36" w:name="fig-academic-panels"/>
          <w:p>
            <w:pPr>
              <w:pStyle w:val="Compact"/>
              <w:jc w:val="center"/>
            </w:pPr>
            <w:r>
              <w:drawing>
                <wp:inline>
                  <wp:extent cx="5943600" cy="2971800"/>
                  <wp:effectExtent b="0" l="0" r="0" t="0"/>
                  <wp:docPr descr="" title="" id="34" name="Picture"/>
                  <a:graphic>
                    <a:graphicData uri="http://schemas.openxmlformats.org/drawingml/2006/picture">
                      <pic:pic>
                        <pic:nvPicPr>
                          <pic:cNvPr descr="./figures/technologies/progression_panels_AB_k16.png" id="35" name="Picture"/>
                          <pic:cNvPicPr>
                            <a:picLocks noChangeArrowheads="1" noChangeAspect="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36"/>
        </w:tc>
      </w:tr>
    </w:tbl>
    <w:bookmarkStart w:id="41" w:name="X4e6240e6ec785c3a4d37880cef56abf617949fa"/>
    <w:p>
      <w:pPr>
        <w:pStyle w:val="Heading2"/>
      </w:pPr>
      <w:r>
        <w:t xml:space="preserve">Media Coverage of Consumer-Facing Technologies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[16,17]</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w:anchor="sec-mediacloud-analysis">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As the volume of academic articles and media coverage differs substantially, we compared technology clusters using two complementary attention-share bases (</w:t>
      </w:r>
      <w:hyperlink w:anchor="fig-academic-media-comparison">
        <w:r>
          <w:rPr>
            <w:rStyle w:val="Hyperlink"/>
          </w:rPr>
          <w:t xml:space="preserve">Figure 3</w:t>
        </w:r>
      </w:hyperlink>
      <w:r>
        <w:t xml:space="preserve">): an absolute basis, in which each cluster’s mentions are expressed as a share of</w:t>
      </w:r>
      <w:r>
        <w:t xml:space="preserve"> </w:t>
      </w:r>
      <w:r>
        <w:rPr>
          <w:i/>
          <w:iCs/>
        </w:rPr>
        <w:t xml:space="preserve">all</w:t>
      </w:r>
      <w:r>
        <w:t xml:space="preserve"> </w:t>
      </w:r>
      <w:r>
        <w:t xml:space="preserve">publications or news articles published that year, and a relative basis, in which mentions are expressed as a share of technology-related mentions only. On the absolute basis, academic articles devoted a comparatively larger share of attention to essentially every technology cluster than media coverage did, and by a wide margin for</w:t>
      </w:r>
      <w:r>
        <w:t xml:space="preserve"> </w:t>
      </w:r>
      <w:r>
        <w:rPr>
          <w:i/>
          <w:iCs/>
        </w:rPr>
        <w:t xml:space="preserve">Generative AI</w:t>
      </w:r>
      <w:r>
        <w:t xml:space="preserve"> </w:t>
      </w:r>
      <w:r>
        <w:t xml:space="preserve">(see</w:t>
      </w:r>
      <w:r>
        <w:t xml:space="preserve"> </w:t>
      </w:r>
      <w:hyperlink w:anchor="fig-academic-media-comparison">
        <w:r>
          <w:rPr>
            <w:rStyle w:val="Hyperlink"/>
          </w:rPr>
          <w:t xml:space="preserve">Figure 3</w:t>
        </w:r>
      </w:hyperlink>
      <w:r>
        <w:t xml:space="preserve"> </w:t>
      </w:r>
      <w:r>
        <w:t xml:space="preserve">Panel A). Within technology-related discourse however, the two corpora diverge in how they distribute the share of technology-related attention.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To examine whether these differences reflect temporal differences in academic and media discourse, we correlated their annual attention shares across lags from −5 to +5 years on both bases (for details on the method and results for individual technologies on both bases, see</w:t>
      </w:r>
      <w:r>
        <w:t xml:space="preserve"> </w:t>
      </w:r>
      <w:hyperlink w:anchor="sec-lag-analysis">
        <w:r>
          <w:rPr>
            <w:rStyle w:val="Hyperlink"/>
          </w:rPr>
          <w:t xml:space="preserve">supplementary materials E</w:t>
        </w:r>
      </w:hyperlink>
      <w:r>
        <w:t xml:space="preserve">supplementary materials E</w:t>
      </w:r>
      <w:r>
        <w:t xml:space="preserve">). Both on an absolute basis as well as on a relative basis, the strongest correspondence for most clusters occurred at a positive lag—usually between 3 and 5 years—suggesting that academic attention generally followed media attention.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r>
        <w:t xml:space="preserve"> </w:t>
      </w:r>
      <w:r>
        <w:rPr>
          <w:i/>
          <w:iCs/>
        </w:rPr>
        <w:t xml:space="preserve">Generative AI</w:t>
      </w:r>
      <w:r>
        <w:t xml:space="preserve"> </w:t>
      </w:r>
      <w:r>
        <w:t xml:space="preserve">was the only cluster which showed a similar and essentially concurrent attention trajectory over time.</w:t>
      </w:r>
    </w:p>
    <w:p>
      <w:pPr>
        <w:pStyle w:val="BodyText"/>
      </w:pPr>
      <w:r>
        <w:t xml:space="preserve">Comparing media coverage with academic articles in the fashion we do must be treated cautiously however: First, our pipeline only matches media coverage against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tbl>
      <w:tblPr>
        <w:tblStyle w:val="Table"/>
        <w:tblW w:type="pct" w:w="5000"/>
        <w:tblLayout w:type="fixed"/>
        <w:tblLook w:firstRow="0" w:lastRow="0" w:firstColumn="0" w:lastColumn="0" w:noHBand="0" w:noVBand="0" w:val="0000"/>
      </w:tblPr>
      <w:tblGrid>
        <w:gridCol w:w="7920"/>
      </w:tblGrid>
      <w:tr>
        <w:tc>
          <w:tcPr/>
          <w:bookmarkStart w:id="40" w:name="fig-academic-media-comparison"/>
          <w:p>
            <w:pPr>
              <w:pStyle w:val="Compact"/>
              <w:jc w:val="center"/>
            </w:pPr>
            <w:r>
              <w:drawing>
                <wp:inline>
                  <wp:extent cx="5943600" cy="2331433"/>
                  <wp:effectExtent b="0" l="0" r="0" t="0"/>
                  <wp:docPr descr="" title="" id="38" name="Picture"/>
                  <a:graphic>
                    <a:graphicData uri="http://schemas.openxmlformats.org/drawingml/2006/picture">
                      <pic:pic>
                        <pic:nvPicPr>
                          <pic:cNvPr descr="./figures/compare/combined/coverage_scatter.png" id="39" name="Picture"/>
                          <pic:cNvPicPr>
                            <a:picLocks noChangeArrowheads="1" noChangeAspect="1"/>
                          </pic:cNvPicPr>
                        </pic:nvPicPr>
                        <pic:blipFill>
                          <a:blip r:embed="rId37"/>
                          <a:stretch>
                            <a:fillRect/>
                          </a:stretch>
                        </pic:blipFill>
                        <pic:spPr bwMode="auto">
                          <a:xfrm>
                            <a:off x="0" y="0"/>
                            <a:ext cx="5943600" cy="2331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Panel A shows the relative basis (share of technology-related mentions only); Panel B shows the absolute basis (share of all publications/articles that year).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0"/>
        </w:tc>
      </w:tr>
    </w:tbl>
    <w:bookmarkEnd w:id="41"/>
    <w:bookmarkEnd w:id="42"/>
    <w:bookmarkStart w:id="77" w:name="discussion"/>
    <w:p>
      <w:pPr>
        <w:pStyle w:val="Heading1"/>
      </w:pPr>
      <w:r>
        <w:t xml:space="preserve">Discussion</w:t>
      </w:r>
    </w:p>
    <w:p>
      <w:pPr>
        <w:pStyle w:val="Compact"/>
        <w:numPr>
          <w:ilvl w:val="0"/>
          <w:numId w:val="1010"/>
        </w:numPr>
      </w:pPr>
      <w:r>
        <w:t xml:space="preserve">main conclusion: consumer-technology research has expanded substantially, but its coverage remains uneven across a set of broader technology themes.</w:t>
      </w:r>
    </w:p>
    <w:p>
      <w:pPr>
        <w:pStyle w:val="Compact"/>
        <w:numPr>
          <w:ilvl w:val="0"/>
          <w:numId w:val="1010"/>
        </w:numPr>
      </w:pPr>
      <w:r>
        <w:t xml:space="preserve">reducing the scatteredness of the field</w:t>
      </w:r>
    </w:p>
    <w:p>
      <w:pPr>
        <w:pStyle w:val="Compact"/>
        <w:numPr>
          <w:ilvl w:val="0"/>
          <w:numId w:val="1010"/>
        </w:numPr>
      </w:pPr>
      <w:r>
        <w:t xml:space="preserve">providing a comprehensive overview through bottom-up approach</w:t>
      </w:r>
    </w:p>
    <w:p>
      <w:pPr>
        <w:pStyle w:val="Compact"/>
        <w:numPr>
          <w:ilvl w:val="0"/>
          <w:numId w:val="1010"/>
        </w:numPr>
      </w:pPr>
      <w:r>
        <w:t xml:space="preserve">Question is why do we study what we do?</w:t>
      </w:r>
    </w:p>
    <w:p>
      <w:pPr>
        <w:pStyle w:val="Compact"/>
        <w:numPr>
          <w:ilvl w:val="1"/>
          <w:numId w:val="1011"/>
        </w:numPr>
      </w:pPr>
      <w:r>
        <w:t xml:space="preserve">novelty-effects: whatever is coming, or up and coming gets the biggest slice of the cake</w:t>
      </w:r>
    </w:p>
    <w:p>
      <w:pPr>
        <w:pStyle w:val="Compact"/>
        <w:numPr>
          <w:ilvl w:val="2"/>
          <w:numId w:val="1012"/>
        </w:numPr>
      </w:pPr>
      <w:r>
        <w:t xml:space="preserve">this can be okay but it should not just follow the next shiny prize</w:t>
      </w:r>
    </w:p>
    <w:p>
      <w:pPr>
        <w:pStyle w:val="Compact"/>
        <w:numPr>
          <w:ilvl w:val="0"/>
          <w:numId w:val="1010"/>
        </w:numPr>
      </w:pPr>
      <w:r>
        <w:t xml:space="preserve">pick up the idea of studying the essence of a technology &amp; question</w:t>
      </w:r>
    </w:p>
    <w:p>
      <w:pPr>
        <w:pStyle w:val="Compact"/>
        <w:numPr>
          <w:ilvl w:val="0"/>
          <w:numId w:val="1010"/>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0"/>
          <w:numId w:val="1010"/>
        </w:numPr>
      </w:pPr>
      <w:r>
        <w:t xml:space="preserve">find a recently published paper that demonstrates this well</w:t>
      </w:r>
    </w:p>
    <w:p>
      <w:pPr>
        <w:pStyle w:val="Compact"/>
        <w:numPr>
          <w:ilvl w:val="1"/>
          <w:numId w:val="1013"/>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4"/>
        </w:numPr>
      </w:pPr>
      <w:r>
        <w:t xml:space="preserve">show one paper that does this well, and maybe also add DICE as an example to show that it is possible?</w:t>
      </w:r>
    </w:p>
    <w:p>
      <w:pPr>
        <w:pStyle w:val="FirstParagraph"/>
      </w:pPr>
      <w:r>
        <w:t xml:space="preserve">Limitations</w:t>
      </w:r>
    </w:p>
    <w:p>
      <w:pPr>
        <w:pStyle w:val="Compact"/>
        <w:numPr>
          <w:ilvl w:val="0"/>
          <w:numId w:val="1015"/>
        </w:numPr>
      </w:pPr>
      <w:r>
        <w:t xml:space="preserve">The academic corpus is restricted to seven consumer-research journals and does not represent all psychological or interdisciplinary technology research.</w:t>
      </w:r>
    </w:p>
    <w:p>
      <w:pPr>
        <w:pStyle w:val="Compact"/>
        <w:numPr>
          <w:ilvl w:val="0"/>
          <w:numId w:val="1015"/>
        </w:numPr>
      </w:pPr>
      <w:r>
        <w:t xml:space="preserve">The focus on empirical articles excludes conceptual, normative, legal, and design-oriented contributions.</w:t>
      </w:r>
    </w:p>
    <w:p>
      <w:pPr>
        <w:pStyle w:val="Compact"/>
        <w:numPr>
          <w:ilvl w:val="0"/>
          <w:numId w:val="1015"/>
        </w:numPr>
      </w:pPr>
      <w:r>
        <w:t xml:space="preserve">The semantic themes depend on the labels extracted from titles and abstracts.</w:t>
      </w:r>
    </w:p>
    <w:p>
      <w:pPr>
        <w:pStyle w:val="Compact"/>
        <w:numPr>
          <w:ilvl w:val="0"/>
          <w:numId w:val="1015"/>
        </w:numPr>
      </w:pPr>
      <w:r>
        <w:t xml:space="preserve">Technologies may be discussed without being explicitly named, particularly after becoming embedded or normalized -&gt; we cannot exclude that this might also be part of why we have a decline</w:t>
      </w:r>
    </w:p>
    <w:p>
      <w:pPr>
        <w:pStyle w:val="Compact"/>
        <w:numPr>
          <w:ilvl w:val="0"/>
          <w:numId w:val="1015"/>
        </w:numPr>
      </w:pPr>
      <w:r>
        <w:t xml:space="preserve">Media Cloud coverage varies across sources and years, particularly before 2008.</w:t>
      </w:r>
    </w:p>
    <w:p>
      <w:pPr>
        <w:pStyle w:val="Compact"/>
        <w:numPr>
          <w:ilvl w:val="0"/>
          <w:numId w:val="1015"/>
        </w:numPr>
      </w:pPr>
      <w:r>
        <w:t xml:space="preserve">Media coverage indicates visibility rather than adoption or societal importance.</w:t>
      </w:r>
    </w:p>
    <w:p>
      <w:pPr>
        <w:pStyle w:val="Compact"/>
        <w:numPr>
          <w:ilvl w:val="0"/>
          <w:numId w:val="1015"/>
        </w:numPr>
      </w:pPr>
      <w:r>
        <w:t xml:space="preserve">Temporal and media comparisons are exploratory</w:t>
      </w:r>
    </w:p>
    <w:p>
      <w:pPr>
        <w:pStyle w:val="FirstParagraph"/>
      </w:pPr>
      <w:r>
        <w:t xml:space="preserve">Recommendations</w:t>
      </w:r>
    </w:p>
    <w:p>
      <w:pPr>
        <w:pStyle w:val="Compact"/>
        <w:numPr>
          <w:ilvl w:val="0"/>
          <w:numId w:val="1016"/>
        </w:numPr>
      </w:pPr>
      <w:r>
        <w:t xml:space="preserve">Improve consistency in naming and describing consumer-facing technologies.</w:t>
      </w:r>
    </w:p>
    <w:p>
      <w:pPr>
        <w:pStyle w:val="Compact"/>
        <w:numPr>
          <w:ilvl w:val="0"/>
          <w:numId w:val="1016"/>
        </w:numPr>
      </w:pPr>
      <w:r>
        <w:t xml:space="preserve">Report both specific technology labels and broader technology families, and make sure the research doesn’t focus overly narrow on one specific flavor of technology.</w:t>
      </w:r>
    </w:p>
    <w:p>
      <w:pPr>
        <w:pStyle w:val="Compact"/>
        <w:numPr>
          <w:ilvl w:val="0"/>
          <w:numId w:val="1016"/>
        </w:numPr>
      </w:pPr>
      <w:r>
        <w:t xml:space="preserve">Build cumulative research across related technologies rather than treating every new label as an isolated domain.</w:t>
      </w:r>
    </w:p>
    <w:p>
      <w:pPr>
        <w:pStyle w:val="Compact"/>
        <w:numPr>
          <w:ilvl w:val="0"/>
          <w:numId w:val="1016"/>
        </w:numPr>
      </w:pPr>
      <w:r>
        <w:t xml:space="preserve">Revisit mature technologies whose effects may be obscured by normalization.</w:t>
      </w:r>
    </w:p>
    <w:p>
      <w:pPr>
        <w:pStyle w:val="Compact"/>
        <w:numPr>
          <w:ilvl w:val="0"/>
          <w:numId w:val="1016"/>
        </w:numPr>
      </w:pPr>
      <w:r>
        <w:t xml:space="preserve">Examine themes that remain weakly covered despite substantial consumer reach or public visibility.</w:t>
      </w:r>
    </w:p>
    <w:p>
      <w:pPr>
        <w:pStyle w:val="Compact"/>
        <w:numPr>
          <w:ilvl w:val="0"/>
          <w:numId w:val="1016"/>
        </w:numPr>
      </w:pPr>
      <w:r>
        <w:t xml:space="preserve">Track whether attention to highly visible technologies persists beyond their initial surge.</w:t>
      </w:r>
    </w:p>
    <w:p>
      <w:pPr>
        <w:pStyle w:val="FirstParagraph"/>
      </w:pPr>
      <w: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43"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43"/>
        </w:tc>
      </w:tr>
    </w:tbl>
    <w:p>
      <w:pPr>
        <w:sectPr>
          <w:pgSz w:h="11906" w:w="16838" w:orient="landscape"/>
        </w:sectPr>
      </w:pPr>
    </w:p>
    <w:bookmarkStart w:id="76" w:name="references"/>
    <w:p>
      <w:pPr>
        <w:pStyle w:val="Heading2"/>
      </w:pPr>
      <w:r>
        <w:t xml:space="preserve">References</w:t>
      </w:r>
    </w:p>
    <w:bookmarkStart w:id="75" w:name="refs"/>
    <w:bookmarkStart w:id="45" w:name="ref-hoffmanRiseNewTechnologies2022"/>
    <w:p>
      <w:pPr>
        <w:pStyle w:val="Bibliography"/>
      </w:pPr>
      <w:r>
        <w:t xml:space="preserve">[1]</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 Mark. 86 (2022) 1–6. https://doi.org/</w:t>
      </w:r>
      <w:hyperlink r:id="rId44">
        <w:r>
          <w:rPr>
            <w:rStyle w:val="Hyperlink"/>
          </w:rPr>
          <w:t xml:space="preserve">10.1177/00222429211061636</w:t>
        </w:r>
      </w:hyperlink>
      <w:r>
        <w:t xml:space="preserve">.</w:t>
      </w:r>
    </w:p>
    <w:bookmarkEnd w:id="45"/>
    <w:bookmarkStart w:id="47" w:name="X77c6a6fb7e9371a37a306d4adddd389bde7954b"/>
    <w:p>
      <w:pPr>
        <w:pStyle w:val="Bibliography"/>
      </w:pPr>
      <w:r>
        <w:t xml:space="preserve">[2]</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 Informetr. 11 (2017) 959–975. https://doi.org/</w:t>
      </w:r>
      <w:hyperlink r:id="rId46">
        <w:r>
          <w:rPr>
            <w:rStyle w:val="Hyperlink"/>
          </w:rPr>
          <w:t xml:space="preserve">10.1016/j.joi.2017.08.007</w:t>
        </w:r>
      </w:hyperlink>
      <w:r>
        <w:t xml:space="preserve">.</w:t>
      </w:r>
    </w:p>
    <w:bookmarkEnd w:id="47"/>
    <w:bookmarkStart w:id="49" w:name="ref-xuBibliometricAnalysisTechnology2021"/>
    <w:p>
      <w:pPr>
        <w:pStyle w:val="Bibliography"/>
      </w:pPr>
      <w:r>
        <w:t xml:space="preserve">[3]</w:t>
      </w:r>
      <w:r>
        <w:t xml:space="preserve"> </w:t>
      </w:r>
      <w:r>
        <w:t xml:space="preserve">	</w:t>
      </w:r>
      <w:r>
        <w:t xml:space="preserve">Z. Xu, Z. Ge, X. Wang, M. Skare, Bibliometric analysis of technology adoption literature published from 1997 to 2020, Technol. Forecast. Soc. Change 170 (2021) 120896. https://doi.org/</w:t>
      </w:r>
      <w:hyperlink r:id="rId48">
        <w:r>
          <w:rPr>
            <w:rStyle w:val="Hyperlink"/>
          </w:rPr>
          <w:t xml:space="preserve">10.1016/j.techfore.2021.120896</w:t>
        </w:r>
      </w:hyperlink>
      <w:r>
        <w:t xml:space="preserve">.</w:t>
      </w:r>
    </w:p>
    <w:bookmarkEnd w:id="49"/>
    <w:bookmarkStart w:id="50" w:name="ref-freyEcologyRiskMapping2024"/>
    <w:p>
      <w:pPr>
        <w:pStyle w:val="Bibliography"/>
      </w:pPr>
      <w:r>
        <w:t xml:space="preserve">[4]</w:t>
      </w:r>
      <w:r>
        <w:t xml:space="preserve"> </w:t>
      </w:r>
      <w:r>
        <w:t xml:space="preserve">	</w:t>
      </w:r>
      <w:r>
        <w:t xml:space="preserve">R. Frey, O. Fischer, The</w:t>
      </w:r>
      <w:r>
        <w:t xml:space="preserve"> </w:t>
      </w:r>
      <w:r>
        <w:t xml:space="preserve">Ecology</w:t>
      </w:r>
      <w:r>
        <w:t xml:space="preserve"> </w:t>
      </w:r>
      <w:r>
        <w:t xml:space="preserve">of</w:t>
      </w:r>
      <w:r>
        <w:t xml:space="preserve"> </w:t>
      </w:r>
      <w:r>
        <w:t xml:space="preserve">Risk</w:t>
      </w:r>
      <w:r>
        <w:t xml:space="preserve">:</w:t>
      </w:r>
      <w:r>
        <w:t xml:space="preserve"> </w:t>
      </w:r>
      <w:r>
        <w:t xml:space="preserve">Mapping</w:t>
      </w:r>
      <w:r>
        <w:t xml:space="preserve"> </w:t>
      </w:r>
      <w:r>
        <w:t xml:space="preserve">the</w:t>
      </w:r>
      <w:r>
        <w:t xml:space="preserve"> </w:t>
      </w:r>
      <w:r>
        <w:t xml:space="preserve">Risky Choices Prevalent</w:t>
      </w:r>
      <w:r>
        <w:t xml:space="preserve"> </w:t>
      </w:r>
      <w:r>
        <w:t xml:space="preserve">in</w:t>
      </w:r>
      <w:r>
        <w:t xml:space="preserve"> </w:t>
      </w:r>
      <w:r>
        <w:t xml:space="preserve">Modern Life</w:t>
      </w:r>
      <w:r>
        <w:t xml:space="preserve">, (2024).</w:t>
      </w:r>
    </w:p>
    <w:bookmarkEnd w:id="50"/>
    <w:bookmarkStart w:id="52" w:name="ref-donthuHowConductBibliometric2021"/>
    <w:p>
      <w:pPr>
        <w:pStyle w:val="Bibliography"/>
      </w:pPr>
      <w:r>
        <w:t xml:space="preserve">[5]</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 Bus. Res. 133 (2021) 285–296. https://doi.org/</w:t>
      </w:r>
      <w:hyperlink r:id="rId51">
        <w:r>
          <w:rPr>
            <w:rStyle w:val="Hyperlink"/>
          </w:rPr>
          <w:t xml:space="preserve">10.1016/j.jbusres.2021.04.070</w:t>
        </w:r>
      </w:hyperlink>
      <w:r>
        <w:t xml:space="preserve">.</w:t>
      </w:r>
    </w:p>
    <w:bookmarkEnd w:id="52"/>
    <w:bookmarkStart w:id="54" w:name="ref-mcinnesUMAPUniformManifold2018"/>
    <w:p>
      <w:pPr>
        <w:pStyle w:val="Bibliography"/>
      </w:pPr>
      <w:r>
        <w:t xml:space="preserve">[6]</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 Open Source Softw. 3 (2018) 861. https://doi.org/</w:t>
      </w:r>
      <w:hyperlink r:id="rId53">
        <w:r>
          <w:rPr>
            <w:rStyle w:val="Hyperlink"/>
          </w:rPr>
          <w:t xml:space="preserve">10.21105/joss.00861</w:t>
        </w:r>
      </w:hyperlink>
      <w:r>
        <w:t xml:space="preserve">.</w:t>
      </w:r>
    </w:p>
    <w:bookmarkEnd w:id="54"/>
    <w:bookmarkStart w:id="55" w:name="X1ee6c0be2793064c85ed6527d182657f89961b8"/>
    <w:p>
      <w:pPr>
        <w:pStyle w:val="Bibliography"/>
      </w:pPr>
      <w:r>
        <w:t xml:space="preserve">[7]</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55"/>
    <w:bookmarkStart w:id="57" w:name="ref-GPT41MiniModel"/>
    <w:p>
      <w:pPr>
        <w:pStyle w:val="Bibliography"/>
      </w:pPr>
      <w:r>
        <w:t xml:space="preserve">[8]</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56">
        <w:r>
          <w:rPr>
            <w:rStyle w:val="Hyperlink"/>
          </w:rPr>
          <w:t xml:space="preserve">https://developers.openai.com/api/docs/models/gpt-4.1-mini</w:t>
        </w:r>
      </w:hyperlink>
      <w:r>
        <w:t xml:space="preserve"> </w:t>
      </w:r>
      <w:r>
        <w:t xml:space="preserve">(accessed July 22, 2026).</w:t>
      </w:r>
    </w:p>
    <w:bookmarkEnd w:id="57"/>
    <w:bookmarkStart w:id="59" w:name="ref-reimers2019sentencebert"/>
    <w:p>
      <w:pPr>
        <w:pStyle w:val="Bibliography"/>
      </w:pPr>
      <w:r>
        <w:t xml:space="preserve">[9]</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58">
        <w:r>
          <w:rPr>
            <w:rStyle w:val="Hyperlink"/>
          </w:rPr>
          <w:t xml:space="preserve">10.18653/v1/D19-1410</w:t>
        </w:r>
      </w:hyperlink>
      <w:r>
        <w:t xml:space="preserve">.</w:t>
      </w:r>
    </w:p>
    <w:bookmarkEnd w:id="59"/>
    <w:bookmarkStart w:id="60" w:name="ref-wang2020minilm"/>
    <w:p>
      <w:pPr>
        <w:pStyle w:val="Bibliography"/>
      </w:pPr>
      <w:r>
        <w:t xml:space="preserve">[10]</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60"/>
    <w:bookmarkStart w:id="62" w:name="ref-sentenceTransformersAllMiniLML6v2"/>
    <w:p>
      <w:pPr>
        <w:pStyle w:val="Bibliography"/>
      </w:pPr>
      <w:r>
        <w:t xml:space="preserve">[11]</w:t>
      </w:r>
      <w:r>
        <w:t xml:space="preserve"> </w:t>
      </w:r>
      <w:r>
        <w:t xml:space="preserve">	</w:t>
      </w:r>
      <w:r>
        <w:t xml:space="preserve">Sentence Transformers, All-</w:t>
      </w:r>
      <w:r>
        <w:t xml:space="preserve">MiniLM-L6-v2</w:t>
      </w:r>
      <w:r>
        <w:t xml:space="preserve">, (2026).</w:t>
      </w:r>
      <w:r>
        <w:t xml:space="preserve"> </w:t>
      </w:r>
      <w:hyperlink r:id="rId61">
        <w:r>
          <w:rPr>
            <w:rStyle w:val="Hyperlink"/>
          </w:rPr>
          <w:t xml:space="preserve">https://huggingface.co/sentence-transformers/all-MiniLM-L6-v2</w:t>
        </w:r>
      </w:hyperlink>
      <w:r>
        <w:t xml:space="preserve">.</w:t>
      </w:r>
    </w:p>
    <w:bookmarkEnd w:id="62"/>
    <w:bookmarkStart w:id="64" w:name="ref-file2013computerInternet"/>
    <w:p>
      <w:pPr>
        <w:pStyle w:val="Bibliography"/>
      </w:pPr>
      <w:r>
        <w:t xml:space="preserve">[12]</w:t>
      </w:r>
      <w:r>
        <w:t xml:space="preserve"> </w:t>
      </w:r>
      <w:r>
        <w:t xml:space="preserve">	</w:t>
      </w:r>
      <w:r>
        <w:t xml:space="preserve">T. File, Computer and internet use in the united states, U.S. Census Bureau, 2013.</w:t>
      </w:r>
      <w:r>
        <w:t xml:space="preserve"> </w:t>
      </w:r>
      <w:hyperlink r:id="rId63">
        <w:r>
          <w:rPr>
            <w:rStyle w:val="Hyperlink"/>
          </w:rPr>
          <w:t xml:space="preserve">https://www.census.gov/library/publications/2013/demo/p20-569.html</w:t>
        </w:r>
      </w:hyperlink>
      <w:r>
        <w:t xml:space="preserve">.</w:t>
      </w:r>
    </w:p>
    <w:bookmarkEnd w:id="64"/>
    <w:bookmarkStart w:id="66" w:name="ref-perrin2015socialMedia"/>
    <w:p>
      <w:pPr>
        <w:pStyle w:val="Bibliography"/>
      </w:pPr>
      <w:r>
        <w:t xml:space="preserve">[13]</w:t>
      </w:r>
      <w:r>
        <w:t xml:space="preserve"> </w:t>
      </w:r>
      <w:r>
        <w:t xml:space="preserve">	</w:t>
      </w:r>
      <w:r>
        <w:t xml:space="preserve">A. Perrin, Social media usage: 2005–2015, Pew Research Center, 2015.</w:t>
      </w:r>
      <w:r>
        <w:t xml:space="preserve"> </w:t>
      </w:r>
      <w:hyperlink r:id="rId65">
        <w:r>
          <w:rPr>
            <w:rStyle w:val="Hyperlink"/>
          </w:rPr>
          <w:t xml:space="preserve">https://www.pewresearch.org/internet/2015/10/08/social-networking-usage-2005-2015/</w:t>
        </w:r>
      </w:hyperlink>
      <w:r>
        <w:t xml:space="preserve">.</w:t>
      </w:r>
    </w:p>
    <w:bookmarkEnd w:id="66"/>
    <w:bookmarkStart w:id="68" w:name="ref-pewSocialMediaFactSheet"/>
    <w:p>
      <w:pPr>
        <w:pStyle w:val="Bibliography"/>
      </w:pPr>
      <w:r>
        <w:t xml:space="preserve">[14]</w:t>
      </w:r>
      <w:r>
        <w:t xml:space="preserve"> </w:t>
      </w:r>
      <w:r>
        <w:t xml:space="preserve">	</w:t>
      </w:r>
      <w:r>
        <w:t xml:space="preserve">Pew Research Center, Social media fact sheet, (2025).</w:t>
      </w:r>
      <w:r>
        <w:t xml:space="preserve"> </w:t>
      </w:r>
      <w:hyperlink r:id="rId67">
        <w:r>
          <w:rPr>
            <w:rStyle w:val="Hyperlink"/>
          </w:rPr>
          <w:t xml:space="preserve">https://www.pewresearch.org/internet/fact-sheet/social-media/</w:t>
        </w:r>
      </w:hyperlink>
      <w:r>
        <w:t xml:space="preserve"> </w:t>
      </w:r>
      <w:r>
        <w:t xml:space="preserve">(accessed July 21, 2026).</w:t>
      </w:r>
    </w:p>
    <w:bookmarkEnd w:id="68"/>
    <w:bookmarkStart w:id="70" w:name="ref-openai2022chatgpt"/>
    <w:p>
      <w:pPr>
        <w:pStyle w:val="Bibliography"/>
      </w:pPr>
      <w:r>
        <w:t xml:space="preserve">[15]</w:t>
      </w:r>
      <w:r>
        <w:t xml:space="preserve"> </w:t>
      </w:r>
      <w:r>
        <w:t xml:space="preserve">	</w:t>
      </w:r>
      <w:r>
        <w:t xml:space="preserve">OpenAI, Introducing</w:t>
      </w:r>
      <w:r>
        <w:t xml:space="preserve"> </w:t>
      </w:r>
      <w:r>
        <w:t xml:space="preserve">ChatGPT</w:t>
      </w:r>
      <w:r>
        <w:t xml:space="preserve">, (2022).</w:t>
      </w:r>
      <w:r>
        <w:t xml:space="preserve"> </w:t>
      </w:r>
      <w:hyperlink r:id="rId69">
        <w:r>
          <w:rPr>
            <w:rStyle w:val="Hyperlink"/>
          </w:rPr>
          <w:t xml:space="preserve">https://openai.com/index/chatgpt/</w:t>
        </w:r>
      </w:hyperlink>
      <w:r>
        <w:t xml:space="preserve"> </w:t>
      </w:r>
      <w:r>
        <w:t xml:space="preserve">(accessed July 21, 2026).</w:t>
      </w:r>
    </w:p>
    <w:bookmarkEnd w:id="70"/>
    <w:bookmarkStart w:id="72" w:name="ref-roberts2021mediacloud"/>
    <w:p>
      <w:pPr>
        <w:pStyle w:val="Bibliography"/>
      </w:pPr>
      <w:r>
        <w:t xml:space="preserve">[16]</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71">
        <w:r>
          <w:rPr>
            <w:rStyle w:val="Hyperlink"/>
          </w:rPr>
          <w:t xml:space="preserve">10.1609/icwsm.v15i1.18127</w:t>
        </w:r>
      </w:hyperlink>
      <w:r>
        <w:t xml:space="preserve">.</w:t>
      </w:r>
    </w:p>
    <w:bookmarkEnd w:id="72"/>
    <w:bookmarkStart w:id="74" w:name="ref-bermejoMediaCloud202026"/>
    <w:p>
      <w:pPr>
        <w:pStyle w:val="Bibliography"/>
      </w:pPr>
      <w:r>
        <w:t xml:space="preserve">[17]</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Proc. Int. AAAI Conf. Web Soc. Media 20 (2026) 2735–2746. https://doi.org/</w:t>
      </w:r>
      <w:hyperlink r:id="rId73">
        <w:r>
          <w:rPr>
            <w:rStyle w:val="Hyperlink"/>
          </w:rPr>
          <w:t xml:space="preserve">10.1609/icwsm.v20i1.42778</w:t>
        </w:r>
      </w:hyperlink>
      <w:r>
        <w:t xml:space="preserve">.</w:t>
      </w:r>
    </w:p>
    <w:bookmarkEnd w:id="74"/>
    <w:bookmarkEnd w:id="75"/>
    <w:bookmarkEnd w:id="76"/>
    <w:bookmarkEnd w:id="77"/>
    <w:sectPr w:rsidR="00E062C1" w:rsidRPr="0063043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062C1"/>
    <w:rsid w:val="001E300F"/>
    <w:rsid w:val="00630431"/>
    <w:rsid w:val="00B31E59"/>
    <w:rsid w:val="00D73ACB"/>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_rels/footnotes.xml.rels><?xml version="1.0" encoding="UTF-8"?><Relationships xmlns="http://schemas.openxmlformats.org/package/2006/relationships"><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7576</Words>
  <Characters>47730</Characters>
  <Application>Microsoft Office Word</Application>
  <DocSecurity>0</DocSecurity>
  <Lines>397</Lines>
  <Paragraphs>110</Paragraphs>
  <ScaleCrop>false</ScaleCrop>
  <Company/>
  <LinksUpToDate>false</LinksUpToDate>
  <CharactersWithSpaces>55196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Manuscript</dc:title>
  <dc:creator>Sabou Rani Stocker, Emanuel de Bellis, Anne-Kathrin Klesse &amp; Ana Valenzuela</dc:creator>
  <cp:keywords/>
  <dcterms:created xsi:type="dcterms:W3CDTF">2026-07-23T15:06:30Z</dcterms:created>
  <dcterms:modified xsi:type="dcterms:W3CDTF">2026-07-23T15:06:30Z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https://www.zotero.org/styles/current-opinion-in-psychology</vt:lpwstr>
  </property>
  <property fmtid="{D5CDD505-2E9C-101B-9397-08002B2CF9AE}" pid="9" name="date">
    <vt:lpwstr>2026-07-23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