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[Abstract placeholder]</w:t>
      </w:r>
    </w:p>
    <w:bookmarkEnd w:id="22"/>
    <w:bookmarkStart w:id="23" w:name="introduction"/>
    <w:p>
      <w:pPr>
        <w:pStyle w:val="Heading1"/>
      </w:pPr>
      <w:r>
        <w:t xml:space="preserve">Introduction</w:t>
      </w:r>
    </w:p>
    <w:p>
      <w:pPr>
        <w:pStyle w:val="FirstParagraph"/>
      </w:pPr>
      <w:r>
        <w:rPr>
          <w:b/>
          <w:bCs/>
        </w:rP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FirstParagraph"/>
      </w:pPr>
      <w:r>
        <w:rPr>
          <w:b/>
          <w:bCs/>
        </w:rP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25 years.</w:t>
      </w:r>
    </w:p>
    <w:p>
      <w:pPr>
        <w:pStyle w:val="FirstParagraph"/>
      </w:pPr>
      <w:r>
        <w:rPr>
          <w:b/>
          <w:bCs/>
        </w:rPr>
        <w:t xml:space="preserve">Contribution</w:t>
      </w:r>
    </w:p>
    <w:p>
      <w:pPr>
        <w:pStyle w:val="Compact"/>
        <w:numPr>
          <w:ilvl w:val="0"/>
          <w:numId w:val="1004"/>
        </w:numPr>
      </w:pPr>
      <w:r>
        <w:t xml:space="preserve">The problem with fragmentation: Hard to provide a comprehensive overview if you don’t know what is out there. Our first contribution is therefore a systematic overview that comes bottom-up, meaning that we hope to not miss anything we studied</w:t>
      </w:r>
    </w:p>
    <w:p>
      <w:pPr>
        <w:pStyle w:val="Compact"/>
        <w:numPr>
          <w:ilvl w:val="1"/>
          <w:numId w:val="1005"/>
        </w:numPr>
      </w:pPr>
      <w:r>
        <w:t xml:space="preserve">jingle-jangle fallacy</w:t>
      </w:r>
    </w:p>
    <w:p>
      <w:pPr>
        <w:pStyle w:val="Compact"/>
        <w:numPr>
          <w:ilvl w:val="1"/>
          <w:numId w:val="1005"/>
        </w:numPr>
      </w:pPr>
      <w:r>
        <w:t xml:space="preserve">Without consolidating related labels, a field-level review may misrepresent both the size and the boundaries of research areas.</w:t>
      </w:r>
    </w:p>
    <w:p>
      <w:pPr>
        <w:pStyle w:val="Compact"/>
        <w:numPr>
          <w:ilvl w:val="1"/>
          <w:numId w:val="1005"/>
        </w:numPr>
      </w:pPr>
      <w:r>
        <w:t xml:space="preserve">we cannot say what areas have been studied how if we cannot even say what the areas are to begin with</w:t>
      </w:r>
    </w:p>
    <w:p>
      <w:pPr>
        <w:pStyle w:val="Compact"/>
        <w:numPr>
          <w:ilvl w:val="1"/>
          <w:numId w:val="1005"/>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4"/>
        </w:numPr>
      </w:pPr>
      <w:r>
        <w:t xml:space="preserve">The problem with attention: It doesn’t only matter what we study, it also matters when, and how much. This is important because academic research is shaped by many factors</w:t>
      </w:r>
    </w:p>
    <w:p>
      <w:pPr>
        <w:pStyle w:val="Compact"/>
        <w:numPr>
          <w:ilvl w:val="1"/>
          <w:numId w:val="1006"/>
        </w:numPr>
      </w:pPr>
      <w:r>
        <w:t xml:space="preserve">reference tech-traps paper?</w:t>
      </w:r>
    </w:p>
    <w:p>
      <w:pPr>
        <w:pStyle w:val="Compact"/>
        <w:numPr>
          <w:ilvl w:val="0"/>
          <w:numId w:val="1004"/>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 Our third contribution is that we compare academic discourse with the attention the media gives these themes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rPr>
          <w:b/>
          <w:bCs/>
        </w:rPr>
        <w:t xml:space="preserve">What do we mean, when we say, we study consumer-technologies</w:t>
      </w:r>
    </w:p>
    <w:p>
      <w:pPr>
        <w:pStyle w:val="Compact"/>
        <w:numPr>
          <w:ilvl w:val="0"/>
          <w:numId w:val="1007"/>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7"/>
        </w:numPr>
      </w:pPr>
      <w:r>
        <w:t xml:space="preserve">Define</w:t>
      </w:r>
      <w:r>
        <w:t xml:space="preserve"> </w:t>
      </w:r>
      <w:r>
        <w:rPr>
          <w:b/>
          <w:bCs/>
        </w:rPr>
        <w:t xml:space="preserve">consumer-facing technologies</w:t>
      </w:r>
      <w:r>
        <w:t xml:space="preserve"> </w:t>
      </w:r>
      <w:r>
        <w:t xml:space="preserve">as technologies that consumers directly use, encounter, or experience.</w:t>
      </w:r>
    </w:p>
    <w:p>
      <w:pPr>
        <w:pStyle w:val="Compact"/>
        <w:numPr>
          <w:ilvl w:val="0"/>
          <w:numId w:val="1007"/>
        </w:numPr>
      </w:pPr>
      <w:r>
        <w:t xml:space="preserve">Empirical articles, because The objective is to map where empirical research attention has accumulated, Empirical articles provide a comparable basis for assessing the coverage of different technologies., Conceptual, normative, legal, and design-oriented work remain important but address a different review question.</w:t>
      </w:r>
    </w:p>
    <w:p>
      <w:pPr>
        <w:pStyle w:val="FirstParagraph"/>
      </w:pPr>
      <w:r>
        <w:rPr>
          <w:b/>
          <w:bCs/>
        </w:rPr>
        <w:t xml:space="preserve">Methodological Background</w:t>
      </w:r>
    </w:p>
    <w:p>
      <w:pPr>
        <w:pStyle w:val="Compact"/>
        <w:numPr>
          <w:ilvl w:val="0"/>
          <w:numId w:val="1008"/>
        </w:numPr>
      </w:pPr>
      <w:r>
        <w:t xml:space="preserve">Jingle jangle fallacy as an example of what we do</w:t>
      </w:r>
    </w:p>
    <w:p>
      <w:pPr>
        <w:pStyle w:val="Compact"/>
        <w:numPr>
          <w:ilvl w:val="0"/>
          <w:numId w:val="1008"/>
        </w:numPr>
      </w:pPr>
      <w:r>
        <w:t xml:space="preserve">bibliometric analysis as a way to map a field</w:t>
      </w:r>
      <w:r>
        <w:t xml:space="preserve"> </w:t>
      </w:r>
      <w:r>
        <w:t xml:space="preserve">[2,3, and others]</w:t>
      </w:r>
    </w:p>
    <w:p>
      <w:pPr>
        <w:pStyle w:val="Compact"/>
        <w:numPr>
          <w:ilvl w:val="0"/>
          <w:numId w:val="1008"/>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 relative prevalence of technology clusters, expressed as the attention share of each cluster. Academic and media discourse allocated attention systematically differently across technology clusters (</w:t>
      </w:r>
      <w:hyperlink w:anchor="fig-academic-media-comparison">
        <w:r>
          <w:rPr>
            <w:rStyle w:val="Hyperlink"/>
          </w:rPr>
          <w:t xml:space="preserve">Figure 3</w:t>
        </w:r>
      </w:hyperlink>
      <w:r>
        <w:t xml:space="preserve">).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Positive lags indicate that media attention preceded academic attention, whereas negative lags indicate that academic attention came first (for details on the method and results for individual technologies, see</w:t>
      </w:r>
      <w:r>
        <w:t xml:space="preserve"> </w:t>
      </w:r>
      <w:hyperlink w:anchor="sec-lag-analysis">
        <w:r>
          <w:rPr>
            <w:rStyle w:val="Hyperlink"/>
          </w:rPr>
          <w:t xml:space="preserve">supplementary materials E</w:t>
        </w:r>
      </w:hyperlink>
      <w:r>
        <w:t xml:space="preserve">supplementary materials E</w:t>
      </w:r>
      <w:r>
        <w:t xml:space="preserve">). For most clusters, the strongest correspondence occurred at a positive lag—usually between 3 and 5 years—suggesting that academic attention generally followed media attention.</w:t>
      </w:r>
      <w:r>
        <w:t xml:space="preserve"> </w:t>
      </w:r>
      <w:r>
        <w:rPr>
          <w:i/>
          <w:iCs/>
        </w:rPr>
        <w:t xml:space="preserve">Generative AI</w:t>
      </w:r>
      <w:r>
        <w:t xml:space="preserve"> </w:t>
      </w:r>
      <w:r>
        <w:t xml:space="preserve">was a notable exception because academic and media attention increased within a similar period.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p>
    <w:p>
      <w:pPr>
        <w:pStyle w:val="BodyText"/>
      </w:pPr>
      <w:r>
        <w:t xml:space="preserve">Comparing media coverage with academic articles in the fashion we do must be treated cautiously however: First, our pipeline only includes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4692315"/>
                  <wp:effectExtent b="0" l="0" r="0" t="0"/>
                  <wp:docPr descr="" title="" id="38" name="Picture"/>
                  <a:graphic>
                    <a:graphicData uri="http://schemas.openxmlformats.org/drawingml/2006/picture">
                      <pic:pic>
                        <pic:nvPicPr>
                          <pic:cNvPr descr="./figures/compare/coverage_scatter.png" id="39" name="Picture"/>
                          <pic:cNvPicPr>
                            <a:picLocks noChangeArrowheads="1" noChangeAspect="1"/>
                          </pic:cNvPicPr>
                        </pic:nvPicPr>
                        <pic:blipFill>
                          <a:blip r:embed="rId37"/>
                          <a:stretch>
                            <a:fillRect/>
                          </a:stretch>
                        </pic:blipFill>
                        <pic:spPr bwMode="auto">
                          <a:xfrm>
                            <a:off x="0" y="0"/>
                            <a:ext cx="5943600" cy="4692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09"/>
        </w:numPr>
      </w:pPr>
      <w:r>
        <w:t xml:space="preserve">main conclusion: consumer-technology research has expanded substantially, but its coverage remains uneven across a set of broader technology themes.</w:t>
      </w:r>
    </w:p>
    <w:p>
      <w:pPr>
        <w:pStyle w:val="Compact"/>
        <w:numPr>
          <w:ilvl w:val="0"/>
          <w:numId w:val="1009"/>
        </w:numPr>
      </w:pPr>
      <w:r>
        <w:t xml:space="preserve">reducing the scatteredness of the field</w:t>
      </w:r>
    </w:p>
    <w:p>
      <w:pPr>
        <w:pStyle w:val="Compact"/>
        <w:numPr>
          <w:ilvl w:val="0"/>
          <w:numId w:val="1009"/>
        </w:numPr>
      </w:pPr>
      <w:r>
        <w:t xml:space="preserve">providing a comprehensive overview through bottom-up approach</w:t>
      </w:r>
    </w:p>
    <w:p>
      <w:pPr>
        <w:pStyle w:val="Compact"/>
        <w:numPr>
          <w:ilvl w:val="0"/>
          <w:numId w:val="1009"/>
        </w:numPr>
      </w:pPr>
      <w:r>
        <w:t xml:space="preserve">Question is why do we study what we do?</w:t>
      </w:r>
    </w:p>
    <w:p>
      <w:pPr>
        <w:pStyle w:val="Compact"/>
        <w:numPr>
          <w:ilvl w:val="1"/>
          <w:numId w:val="1010"/>
        </w:numPr>
      </w:pPr>
      <w:r>
        <w:t xml:space="preserve">novelty-effects: whatever is coming, or up and coming gets the biggest slice of the cake</w:t>
      </w:r>
    </w:p>
    <w:p>
      <w:pPr>
        <w:pStyle w:val="Compact"/>
        <w:numPr>
          <w:ilvl w:val="2"/>
          <w:numId w:val="1011"/>
        </w:numPr>
      </w:pPr>
      <w:r>
        <w:t xml:space="preserve">this can be okay but it should not just follow the next shiny prize</w:t>
      </w:r>
    </w:p>
    <w:p>
      <w:pPr>
        <w:pStyle w:val="Compact"/>
        <w:numPr>
          <w:ilvl w:val="3"/>
          <w:numId w:val="1012"/>
        </w:numPr>
      </w:pPr>
      <w:r>
        <w:t xml:space="preserve">pick up the idea of studying the essence of a technology &amp; question</w:t>
      </w:r>
    </w:p>
    <w:p>
      <w:pPr>
        <w:pStyle w:val="Compact"/>
        <w:numPr>
          <w:ilvl w:val="3"/>
          <w:numId w:val="1012"/>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3"/>
          <w:numId w:val="1012"/>
        </w:numPr>
      </w:pPr>
      <w:r>
        <w:t xml:space="preserve">find a recently published paper that demonstrates this well</w:t>
      </w:r>
    </w:p>
    <w:p>
      <w:pPr>
        <w:pStyle w:val="Compact"/>
        <w:numPr>
          <w:ilvl w:val="1"/>
          <w:numId w:val="1010"/>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3"/>
        </w:numPr>
      </w:pPr>
      <w:r>
        <w:t xml:space="preserve">show one paper that does this well, and maybe also add DICE as an example to show that it is possible?</w:t>
      </w:r>
    </w:p>
    <w:p>
      <w:pPr>
        <w:pStyle w:val="FirstParagraph"/>
      </w:pPr>
      <w:r>
        <w:rPr>
          <w:b/>
          <w:bCs/>
        </w:rPr>
        <w:t xml:space="preserve">Recommendations</w:t>
      </w:r>
      <w:r>
        <w:t xml:space="preserve"> </w:t>
      </w:r>
      <w:r>
        <w:t xml:space="preserve">- Improve consistency in naming and describing consumer-facing technologies.</w:t>
      </w:r>
      <w:r>
        <w:t xml:space="preserve"> </w:t>
      </w:r>
      <w:r>
        <w:t xml:space="preserve">- Report both specific technology labels and broader technology families.</w:t>
      </w:r>
      <w:r>
        <w:t xml:space="preserve"> </w:t>
      </w:r>
      <w:r>
        <w:t xml:space="preserve">- Build cumulative research across related technologies rather than treating every new label as an isolated domain.</w:t>
      </w:r>
      <w:r>
        <w:t xml:space="preserve"> </w:t>
      </w:r>
      <w:r>
        <w:t xml:space="preserve">- Revisit mature technologies whose effects may be obscured by normalization.</w:t>
      </w:r>
      <w:r>
        <w:t xml:space="preserve"> </w:t>
      </w:r>
      <w:r>
        <w:t xml:space="preserve">- Examine themes that remain weakly covered despite substantial consumer reach or public visibility.</w:t>
      </w:r>
      <w:r>
        <w:t xml:space="preserve"> </w:t>
      </w:r>
      <w:r>
        <w:t xml:space="preserve">- Track whether attention to highly visible technologies persists beyond their initial surge.</w:t>
      </w:r>
    </w:p>
    <w:p>
      <w:pPr>
        <w:pStyle w:val="Compact"/>
        <w:numPr>
          <w:ilvl w:val="0"/>
          <w:numId w:val="1014"/>
        </w:numPr>
      </w:pPr>
      <w:r>
        <w:rPr>
          <w:b/>
          <w:bCs/>
        </w:rPr>
        <w:t xml:space="preserve">Limitations</w:t>
      </w:r>
    </w:p>
    <w:p>
      <w:pPr>
        <w:pStyle w:val="Compact"/>
        <w:numPr>
          <w:ilvl w:val="1"/>
          <w:numId w:val="1015"/>
        </w:numPr>
      </w:pPr>
      <w:r>
        <w:t xml:space="preserve">The academic corpus is restricted to seven consumer-research journals and does not represent all psychological or interdisciplinary technology research.</w:t>
      </w:r>
    </w:p>
    <w:p>
      <w:pPr>
        <w:pStyle w:val="Compact"/>
        <w:numPr>
          <w:ilvl w:val="1"/>
          <w:numId w:val="1015"/>
        </w:numPr>
      </w:pPr>
      <w:r>
        <w:t xml:space="preserve">The focus on empirical articles excludes conceptual, normative, legal, and design-oriented contributions.</w:t>
      </w:r>
    </w:p>
    <w:p>
      <w:pPr>
        <w:pStyle w:val="Compact"/>
        <w:numPr>
          <w:ilvl w:val="1"/>
          <w:numId w:val="1015"/>
        </w:numPr>
      </w:pPr>
      <w:r>
        <w:t xml:space="preserve">The semantic themes depend on the labels extracted from titles and abstracts.</w:t>
      </w:r>
    </w:p>
    <w:p>
      <w:pPr>
        <w:pStyle w:val="Compact"/>
        <w:numPr>
          <w:ilvl w:val="1"/>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1"/>
          <w:numId w:val="1015"/>
        </w:numPr>
      </w:pPr>
      <w:r>
        <w:t xml:space="preserve">Media Cloud coverage varies across sources and years, particularly before 2008.</w:t>
      </w:r>
    </w:p>
    <w:p>
      <w:pPr>
        <w:pStyle w:val="Compact"/>
        <w:numPr>
          <w:ilvl w:val="1"/>
          <w:numId w:val="1015"/>
        </w:numPr>
      </w:pPr>
      <w:r>
        <w:t xml:space="preserve">Media coverage indicates visibility rather than adoption or societal importance.</w:t>
      </w:r>
    </w:p>
    <w:p>
      <w:pPr>
        <w:pStyle w:val="Compact"/>
        <w:numPr>
          <w:ilvl w:val="1"/>
          <w:numId w:val="1015"/>
        </w:numPr>
      </w:pPr>
      <w:r>
        <w:t xml:space="preserve">Temporal and media comparisons are exploratory</w:t>
      </w:r>
    </w:p>
    <w:p>
      <w:pPr>
        <w:pStyle w:val="Compact"/>
        <w:numPr>
          <w:ilvl w:val="0"/>
          <w:numId w:val="1014"/>
        </w:numPr>
      </w:pPr>
      <w:r>
        <w:rPr>
          <w:b/>
          <w:bCs/>
        </w:rP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2026-07-23T11:35:55Z</dcterms:created>
  <dcterms:modified xsi:type="dcterms:W3CDTF">2026-07-23T11:35:55Z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