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47.png" ContentType="image/png"/>
  <Override PartName="/word/media/rId60.png" ContentType="image/png"/>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5"/>
    <w:bookmarkStart w:id="26" w:name="firstheader"/>
    <w:p>
      <w:pPr>
        <w:pStyle w:val="Heading1"/>
      </w:pPr>
      <w:r>
        <w:t xml:space="preserve">Mapping the Field: Learnings from a Quarter-Century of Consumer-Technology Research and the Case of Generative AI</w:t>
      </w:r>
    </w:p>
    <w:bookmarkEnd w:id="26"/>
    <w:bookmarkStart w:id="27"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7"/>
    <w:bookmarkStart w:id="38"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2"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31"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9" name="Picture"/>
            <a:graphic>
              <a:graphicData uri="http://schemas.openxmlformats.org/drawingml/2006/picture">
                <pic:pic>
                  <pic:nvPicPr>
                    <pic:cNvPr descr="../99_writing/figures/inclusionexclus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31"/>
    <w:bookmarkEnd w:id="32"/>
    <w:bookmarkStart w:id="33"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3"/>
    <w:bookmarkStart w:id="34"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4"/>
    <w:bookmarkStart w:id="37"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w:t>
        </w:r>
        <w:r>
          <w:rPr>
            <w:rStyle w:val="Hyperlink"/>
          </w:rPr>
          <w:t xml:space="preserve">,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5"/>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6">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7"/>
    <w:bookmarkEnd w:id="38"/>
    <w:bookmarkStart w:id="71"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3"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51"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9">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3"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41" name="Picture"/>
            <a:graphic>
              <a:graphicData uri="http://schemas.openxmlformats.org/drawingml/2006/picture">
                <pic:pic>
                  <pic:nvPicPr>
                    <pic:cNvPr descr="../11_semantic_mapping_output/1_semantic_map16.png" id="42" name="Picture"/>
                    <pic:cNvPicPr>
                      <a:picLocks noChangeArrowheads="1" noChangeAspect="1"/>
                    </pic:cNvPicPr>
                  </pic:nvPicPr>
                  <pic:blipFill>
                    <a:blip r:embed="rId40"/>
                    <a:stretch>
                      <a:fillRect/>
                    </a:stretch>
                  </pic:blipFill>
                  <pic:spPr bwMode="auto">
                    <a:xfrm>
                      <a:off x="0" y="0"/>
                      <a:ext cx="5943600" cy="2786062"/>
                    </a:xfrm>
                    <a:prstGeom prst="rect">
                      <a:avLst/>
                    </a:prstGeom>
                    <a:noFill/>
                    <a:ln w="9525">
                      <a:noFill/>
                      <a:headEnd/>
                      <a:tailEnd/>
                    </a:ln>
                  </pic:spPr>
                </pic:pic>
              </a:graphicData>
            </a:graphic>
          </wp:inline>
        </w:drawing>
      </w:r>
    </w:p>
    <w:bookmarkEnd w:id="43"/>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4">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4">
        <w:r>
          <w:rPr>
            <w:rStyle w:val="Hyperlink"/>
          </w:rPr>
          <w:t xml:space="preserve">Appendix B</w:t>
        </w:r>
      </w:hyperlink>
      <w:r>
        <w:t xml:space="preserve">Appendix B</w:t>
      </w:r>
      <w:r>
        <w:t xml:space="preserve"> </w:t>
      </w:r>
      <w:r>
        <w:t xml:space="preserve">for the fitted trajectories).</w:t>
      </w:r>
    </w:p>
    <w:bookmarkStart w:id="46" w:name="tbl-peaks"/>
    <w:p>
      <w:pPr>
        <w:pStyle w:val="FigureTitle"/>
      </w:pPr>
      <w:r>
        <w:t xml:space="preserve">Table 1</w:t>
      </w:r>
    </w:p>
    <w:p>
      <w:pPr>
        <w:pStyle w:val="Caption"/>
      </w:pPr>
      <w:r>
        <w:t xml:space="preserve">Total mentions, peak year, observed and fitted share at the peak, effective degrees of freedom and</w:t>
      </w:r>
      <w:r>
        <w:t xml:space="preserve"> </w:t>
      </w:r>
      <m:oMath>
        <m:r>
          <m:t>p</m:t>
        </m:r>
      </m:oMath>
      <w:r>
        <w:t xml:space="preserve">-values of each technology cluster within consumer-technology research, estimated with one negative-binomial generalized additive model per cluster of yearly mentions on a smooth of publication year (k = 10), offset by all technology mentions of that year. Mentions are the cluster’s total mentions across 2000-2026. The peak is the maximum of the fitted curve. The</w:t>
      </w:r>
      <w:r>
        <w:t xml:space="preserve"> </w:t>
      </w:r>
      <m:oMath>
        <m:r>
          <m:t>p</m:t>
        </m:r>
      </m:oMath>
      <w:r>
        <w:t xml:space="preserve">-value tests the smooth against a flat trend;</w:t>
      </w:r>
      <w:r>
        <w:t xml:space="preserve"> </w:t>
      </w:r>
      <m:oMath>
        <m:r>
          <m:t>p</m:t>
        </m:r>
      </m:oMath>
      <w:r>
        <w:rPr>
          <w:vertAlign w:val="subscript"/>
        </w:rPr>
        <w:t xml:space="preserve">BH</w:t>
      </w:r>
      <w:r>
        <w:t xml:space="preserve"> </w:t>
      </w:r>
      <w:r>
        <w:t xml:space="preserve">is Benjamini-Hochberg adjusted across the 16 clusters.</w:t>
      </w:r>
    </w:p>
    <w:bookmarkStart w:id="45" w:name="tbl-peaks"/>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edf</w:t>
            </w:r>
          </w:p>
        </w:tc>
        <w:tc>
          <w:tcPr/>
          <w:p>
            <w:pPr>
              <w:pStyle w:val="Compact"/>
              <w:jc w:val="righ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Observed share</w:t>
            </w:r>
          </w:p>
        </w:tc>
        <w:tc>
          <w:tcPr/>
          <w:p>
            <w:pPr>
              <w:pStyle w:val="Compact"/>
              <w:jc w:val="right"/>
            </w:pPr>
            <w:r>
              <w:t xml:space="preserve">Fitted share</w:t>
            </w:r>
          </w:p>
        </w:tc>
        <w:tc>
          <w:tcPr/>
          <w:p>
            <w:pPr>
              <w:pStyle w:val="Compact"/>
              <w:jc w:val="right"/>
            </w:pPr>
            <w:r>
              <w:rPr>
                <w:i/>
                <w:iCs/>
              </w:rPr>
              <w:t xml:space="preserve">p</w:t>
            </w:r>
          </w:p>
        </w:tc>
        <w:tc>
          <w:tcPr/>
          <w:p>
            <w:pPr>
              <w:pStyle w:val="Compact"/>
              <w:jc w:val="right"/>
            </w:pPr>
            <w:r>
              <w:rPr>
                <w:i/>
                <w:iCs/>
              </w:rPr>
              <w:t xml:space="preserve">p</w:t>
            </w:r>
            <w:r>
              <w:rPr>
                <w:vertAlign w:val="subscript"/>
              </w:rPr>
              <w:t xml:space="preserve">BH</w:t>
            </w:r>
          </w:p>
        </w:tc>
      </w:tr>
      <w:tr>
        <w:tc>
          <w:tcPr/>
          <w:p>
            <w:pPr>
              <w:pStyle w:val="Compact"/>
            </w:pPr>
            <w:r>
              <w:t xml:space="preserve">1.30</w:t>
            </w:r>
          </w:p>
        </w:tc>
        <w:tc>
          <w:tcPr/>
          <w:p>
            <w:pPr>
              <w:pStyle w:val="Compact"/>
              <w:jc w:val="righ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4.2%</w:t>
            </w:r>
          </w:p>
        </w:tc>
        <w:tc>
          <w:tcPr/>
          <w:p>
            <w:pPr>
              <w:pStyle w:val="Compact"/>
              <w:jc w:val="right"/>
            </w:pPr>
            <w:r>
              <w:t xml:space="preserve">7.2%</w:t>
            </w:r>
          </w:p>
        </w:tc>
        <w:tc>
          <w:tcPr/>
          <w:p>
            <w:pPr>
              <w:pStyle w:val="Compact"/>
              <w:jc w:val="right"/>
            </w:pPr>
            <w:r>
              <w:t xml:space="preserve">.605</w:t>
            </w:r>
          </w:p>
        </w:tc>
        <w:tc>
          <w:tcPr/>
          <w:p>
            <w:pPr>
              <w:pStyle w:val="Compact"/>
              <w:jc w:val="right"/>
            </w:pPr>
            <w:r>
              <w:t xml:space="preserve">.646</w:t>
            </w:r>
          </w:p>
        </w:tc>
      </w:tr>
      <w:tr>
        <w:tc>
          <w:tcPr/>
          <w:p>
            <w:pPr>
              <w:pStyle w:val="Compact"/>
            </w:pPr>
            <w:r>
              <w:t xml:space="preserve">1.00</w:t>
            </w:r>
          </w:p>
        </w:tc>
        <w:tc>
          <w:tcPr/>
          <w:p>
            <w:pPr>
              <w:pStyle w:val="Compact"/>
              <w:jc w:val="righ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6.0%</w:t>
            </w:r>
          </w:p>
        </w:tc>
        <w:tc>
          <w:tcPr/>
          <w:p>
            <w:pPr>
              <w:pStyle w:val="Compact"/>
              <w:jc w:val="right"/>
            </w:pPr>
            <w:r>
              <w:t xml:space="preserve">&lt; .001</w:t>
            </w:r>
          </w:p>
        </w:tc>
        <w:tc>
          <w:tcPr/>
          <w:p>
            <w:pPr>
              <w:pStyle w:val="Compact"/>
              <w:jc w:val="right"/>
            </w:pPr>
            <w:r>
              <w:t xml:space="preserve">.003</w:t>
            </w:r>
          </w:p>
        </w:tc>
      </w:tr>
      <w:tr>
        <w:tc>
          <w:tcPr/>
          <w:p>
            <w:pPr>
              <w:pStyle w:val="Compact"/>
            </w:pPr>
            <w:r>
              <w:t xml:space="preserve">2.94</w:t>
            </w:r>
          </w:p>
        </w:tc>
        <w:tc>
          <w:tcPr/>
          <w:p>
            <w:pPr>
              <w:pStyle w:val="Compact"/>
              <w:jc w:val="righ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10.7%</w:t>
            </w:r>
          </w:p>
        </w:tc>
        <w:tc>
          <w:tcPr/>
          <w:p>
            <w:pPr>
              <w:pStyle w:val="Compact"/>
              <w:jc w:val="right"/>
            </w:pPr>
            <w:r>
              <w:t xml:space="preserve">5.4%</w:t>
            </w:r>
          </w:p>
        </w:tc>
        <w:tc>
          <w:tcPr/>
          <w:p>
            <w:pPr>
              <w:pStyle w:val="Compact"/>
              <w:jc w:val="right"/>
            </w:pPr>
            <w:r>
              <w:t xml:space="preserve">.006</w:t>
            </w:r>
          </w:p>
        </w:tc>
        <w:tc>
          <w:tcPr/>
          <w:p>
            <w:pPr>
              <w:pStyle w:val="Compact"/>
              <w:jc w:val="right"/>
            </w:pPr>
            <w:r>
              <w:t xml:space="preserve">.011</w:t>
            </w:r>
          </w:p>
        </w:tc>
      </w:tr>
      <w:tr>
        <w:tc>
          <w:tcPr/>
          <w:p>
            <w:pPr>
              <w:pStyle w:val="Compact"/>
            </w:pPr>
            <w:r>
              <w:t xml:space="preserve">1.77</w:t>
            </w:r>
          </w:p>
        </w:tc>
        <w:tc>
          <w:tcPr/>
          <w:p>
            <w:pPr>
              <w:pStyle w:val="Compact"/>
              <w:jc w:val="righ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19.2%</w:t>
            </w:r>
          </w:p>
        </w:tc>
        <w:tc>
          <w:tcPr/>
          <w:p>
            <w:pPr>
              <w:pStyle w:val="Compact"/>
              <w:jc w:val="right"/>
            </w:pPr>
            <w:r>
              <w:t xml:space="preserve">21.5%</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2.16</w:t>
            </w:r>
          </w:p>
        </w:tc>
        <w:tc>
          <w:tcPr/>
          <w:p>
            <w:pPr>
              <w:pStyle w:val="Compact"/>
              <w:jc w:val="righ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10.4%</w:t>
            </w:r>
          </w:p>
        </w:tc>
        <w:tc>
          <w:tcPr/>
          <w:p>
            <w:pPr>
              <w:pStyle w:val="Compact"/>
              <w:jc w:val="right"/>
            </w:pPr>
            <w:r>
              <w:t xml:space="preserve">.038</w:t>
            </w:r>
          </w:p>
        </w:tc>
        <w:tc>
          <w:tcPr/>
          <w:p>
            <w:pPr>
              <w:pStyle w:val="Compact"/>
              <w:jc w:val="right"/>
            </w:pPr>
            <w:r>
              <w:t xml:space="preserve">.061</w:t>
            </w:r>
          </w:p>
        </w:tc>
      </w:tr>
      <w:tr>
        <w:tc>
          <w:tcPr/>
          <w:p>
            <w:pPr>
              <w:pStyle w:val="Compact"/>
            </w:pPr>
            <w:r>
              <w:t xml:space="preserve">1.00</w:t>
            </w:r>
          </w:p>
        </w:tc>
        <w:tc>
          <w:tcPr/>
          <w:p>
            <w:pPr>
              <w:pStyle w:val="Compact"/>
              <w:jc w:val="righ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15.4%</w:t>
            </w:r>
          </w:p>
        </w:tc>
        <w:tc>
          <w:tcPr/>
          <w:p>
            <w:pPr>
              <w:pStyle w:val="Compact"/>
              <w:jc w:val="right"/>
            </w:pPr>
            <w:r>
              <w:t xml:space="preserve">11.6%</w:t>
            </w:r>
          </w:p>
        </w:tc>
        <w:tc>
          <w:tcPr/>
          <w:p>
            <w:pPr>
              <w:pStyle w:val="Compact"/>
              <w:jc w:val="right"/>
            </w:pPr>
            <w:r>
              <w:t xml:space="preserve">.001</w:t>
            </w:r>
          </w:p>
        </w:tc>
        <w:tc>
          <w:tcPr/>
          <w:p>
            <w:pPr>
              <w:pStyle w:val="Compact"/>
              <w:jc w:val="right"/>
            </w:pPr>
            <w:r>
              <w:t xml:space="preserve">.003</w:t>
            </w:r>
          </w:p>
        </w:tc>
      </w:tr>
      <w:tr>
        <w:tc>
          <w:tcPr/>
          <w:p>
            <w:pPr>
              <w:pStyle w:val="Compact"/>
            </w:pPr>
            <w:r>
              <w:t xml:space="preserve">1.00</w:t>
            </w:r>
          </w:p>
        </w:tc>
        <w:tc>
          <w:tcPr/>
          <w:p>
            <w:pPr>
              <w:pStyle w:val="Compact"/>
              <w:jc w:val="righ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9.4%</w:t>
            </w:r>
          </w:p>
        </w:tc>
        <w:tc>
          <w:tcPr/>
          <w:p>
            <w:pPr>
              <w:pStyle w:val="Compact"/>
              <w:jc w:val="right"/>
            </w:pPr>
            <w:r>
              <w:t xml:space="preserve">.002</w:t>
            </w:r>
          </w:p>
        </w:tc>
        <w:tc>
          <w:tcPr/>
          <w:p>
            <w:pPr>
              <w:pStyle w:val="Compact"/>
              <w:jc w:val="right"/>
            </w:pPr>
            <w:r>
              <w:t xml:space="preserve">.006</w:t>
            </w:r>
          </w:p>
        </w:tc>
      </w:tr>
      <w:tr>
        <w:tc>
          <w:tcPr/>
          <w:p>
            <w:pPr>
              <w:pStyle w:val="Compact"/>
            </w:pPr>
            <w:r>
              <w:t xml:space="preserve">2.72</w:t>
            </w:r>
          </w:p>
        </w:tc>
        <w:tc>
          <w:tcPr/>
          <w:p>
            <w:pPr>
              <w:pStyle w:val="Compact"/>
              <w:jc w:val="righ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28.6%</w:t>
            </w:r>
          </w:p>
        </w:tc>
        <w:tc>
          <w:tcPr/>
          <w:p>
            <w:pPr>
              <w:pStyle w:val="Compact"/>
              <w:jc w:val="right"/>
            </w:pPr>
            <w:r>
              <w:t xml:space="preserve">29.7%</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23.1%</w:t>
            </w:r>
          </w:p>
        </w:tc>
        <w:tc>
          <w:tcPr/>
          <w:p>
            <w:pPr>
              <w:pStyle w:val="Compact"/>
              <w:jc w:val="right"/>
            </w:pPr>
            <w:r>
              <w:t xml:space="preserve">29.4%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.942</w:t>
            </w:r>
          </w:p>
        </w:tc>
        <w:tc>
          <w:tcPr/>
          <w:p>
            <w:pPr>
              <w:pStyle w:val="Compact"/>
              <w:jc w:val="right"/>
            </w:pPr>
            <w:r>
              <w:t xml:space="preserve">.942</w:t>
            </w:r>
          </w:p>
        </w:tc>
      </w:tr>
      <w:tr>
        <w:tc>
          <w:tcPr/>
          <w:p>
            <w:pPr>
              <w:pStyle w:val="Compact"/>
            </w:pPr>
            <w:r>
              <w:t xml:space="preserve">1.00</w:t>
            </w:r>
          </w:p>
        </w:tc>
        <w:tc>
          <w:tcPr/>
          <w:p>
            <w:pPr>
              <w:pStyle w:val="Compact"/>
              <w:jc w:val="righ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12.2%</w:t>
            </w:r>
          </w:p>
        </w:tc>
        <w:tc>
          <w:tcPr/>
          <w:p>
            <w:pPr>
              <w:pStyle w:val="Compact"/>
              <w:jc w:val="right"/>
            </w:pPr>
            <w:r>
              <w:t xml:space="preserve">.012</w:t>
            </w:r>
          </w:p>
        </w:tc>
        <w:tc>
          <w:tcPr/>
          <w:p>
            <w:pPr>
              <w:pStyle w:val="Compact"/>
              <w:jc w:val="right"/>
            </w:pPr>
            <w:r>
              <w:t xml:space="preserve">.022</w:t>
            </w:r>
          </w:p>
        </w:tc>
      </w:tr>
      <w:tr>
        <w:tc>
          <w:tcPr/>
          <w:p>
            <w:pPr>
              <w:pStyle w:val="Compact"/>
            </w:pPr>
            <w:r>
              <w:t xml:space="preserve">3.35</w:t>
            </w:r>
          </w:p>
        </w:tc>
        <w:tc>
          <w:tcPr/>
          <w:p>
            <w:pPr>
              <w:pStyle w:val="Compact"/>
              <w:jc w:val="right"/>
            </w:pPr>
            <w:r>
              <w:t xml:space="preserve">Smartphones &amp; Apps</w:t>
            </w:r>
          </w:p>
        </w:tc>
        <w:tc>
          <w:tcPr/>
          <w:p>
            <w:pPr>
              <w:pStyle w:val="Compact"/>
              <w:jc w:val="right"/>
            </w:pPr>
            <w:r>
              <w:t xml:space="preserve">126</w:t>
            </w:r>
          </w:p>
        </w:tc>
        <w:tc>
          <w:tcPr/>
          <w:p>
            <w:pPr>
              <w:pStyle w:val="Compact"/>
              <w:jc w:val="right"/>
            </w:pPr>
            <w:r>
              <w:t xml:space="preserve">2018</w:t>
            </w:r>
          </w:p>
        </w:tc>
        <w:tc>
          <w:tcPr/>
          <w:p>
            <w:pPr>
              <w:pStyle w:val="Compact"/>
              <w:jc w:val="right"/>
            </w:pPr>
            <w:r>
              <w:t xml:space="preserve">15.6%</w:t>
            </w:r>
          </w:p>
        </w:tc>
        <w:tc>
          <w:tcPr/>
          <w:p>
            <w:pPr>
              <w:pStyle w:val="Compact"/>
              <w:jc w:val="right"/>
            </w:pPr>
            <w:r>
              <w:t xml:space="preserve">12.4%</w:t>
            </w:r>
          </w:p>
        </w:tc>
        <w:tc>
          <w:tcPr/>
          <w:p>
            <w:pPr>
              <w:pStyle w:val="Compact"/>
              <w:jc w:val="right"/>
            </w:pPr>
            <w:r>
              <w:t xml:space="preserve">.048</w:t>
            </w:r>
          </w:p>
        </w:tc>
        <w:tc>
          <w:tcPr/>
          <w:p>
            <w:pPr>
              <w:pStyle w:val="Compact"/>
              <w:jc w:val="right"/>
            </w:pPr>
            <w:r>
              <w:t xml:space="preserve">.069</w:t>
            </w:r>
          </w:p>
        </w:tc>
      </w:tr>
      <w:tr>
        <w:tc>
          <w:tcPr/>
          <w:p>
            <w:pPr>
              <w:pStyle w:val="Compact"/>
            </w:pPr>
            <w:r>
              <w:t xml:space="preserve">4.55</w:t>
            </w:r>
          </w:p>
        </w:tc>
        <w:tc>
          <w:tcPr/>
          <w:p>
            <w:pPr>
              <w:pStyle w:val="Compact"/>
              <w:jc w:val="right"/>
            </w:pPr>
            <w:r>
              <w:t xml:space="preserve">Social Media</w:t>
            </w:r>
          </w:p>
        </w:tc>
        <w:tc>
          <w:tcPr/>
          <w:p>
            <w:pPr>
              <w:pStyle w:val="Compact"/>
              <w:jc w:val="right"/>
            </w:pPr>
            <w:r>
              <w:t xml:space="preserve">182</w:t>
            </w:r>
          </w:p>
        </w:tc>
        <w:tc>
          <w:tcPr/>
          <w:p>
            <w:pPr>
              <w:pStyle w:val="Compact"/>
              <w:jc w:val="right"/>
            </w:pPr>
            <w:r>
              <w:t xml:space="preserve">2017</w:t>
            </w:r>
          </w:p>
        </w:tc>
        <w:tc>
          <w:tcPr/>
          <w:p>
            <w:pPr>
              <w:pStyle w:val="Compact"/>
              <w:jc w:val="right"/>
            </w:pPr>
            <w:r>
              <w:t xml:space="preserve">31.9%</w:t>
            </w:r>
          </w:p>
        </w:tc>
        <w:tc>
          <w:tcPr/>
          <w:p>
            <w:pPr>
              <w:pStyle w:val="Compact"/>
              <w:jc w:val="right"/>
            </w:pPr>
            <w:r>
              <w:t xml:space="preserve">24.4%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6.7%</w:t>
            </w:r>
          </w:p>
        </w:tc>
        <w:tc>
          <w:tcPr/>
          <w:p>
            <w:pPr>
              <w:pStyle w:val="Compact"/>
              <w:jc w:val="right"/>
            </w:pPr>
            <w:r>
              <w:t xml:space="preserve">4.6%</w:t>
            </w:r>
          </w:p>
        </w:tc>
        <w:tc>
          <w:tcPr/>
          <w:p>
            <w:pPr>
              <w:pStyle w:val="Compact"/>
              <w:jc w:val="right"/>
            </w:pPr>
            <w:r>
              <w:t xml:space="preserve">.153</w:t>
            </w:r>
          </w:p>
        </w:tc>
        <w:tc>
          <w:tcPr/>
          <w:p>
            <w:pPr>
              <w:pStyle w:val="Compact"/>
              <w:jc w:val="right"/>
            </w:pPr>
            <w:r>
              <w:t xml:space="preserve">.204</w:t>
            </w:r>
          </w:p>
        </w:tc>
      </w:tr>
      <w:tr>
        <w:tc>
          <w:tcPr/>
          <w:p>
            <w:pPr>
              <w:pStyle w:val="Compact"/>
            </w:pPr>
            <w:r>
              <w:t xml:space="preserve">2.00</w:t>
            </w:r>
          </w:p>
        </w:tc>
        <w:tc>
          <w:tcPr/>
          <w:p>
            <w:pPr>
              <w:pStyle w:val="Compact"/>
              <w:jc w:val="righ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6.2%</w:t>
            </w:r>
          </w:p>
        </w:tc>
        <w:tc>
          <w:tcPr/>
          <w:p>
            <w:pPr>
              <w:pStyle w:val="Compact"/>
              <w:jc w:val="right"/>
            </w:pPr>
            <w:r>
              <w:t xml:space="preserve">4.5%</w:t>
            </w:r>
          </w:p>
        </w:tc>
        <w:tc>
          <w:tcPr/>
          <w:p>
            <w:pPr>
              <w:pStyle w:val="Compact"/>
              <w:jc w:val="right"/>
            </w:pPr>
            <w:r>
              <w:t xml:space="preserve">.413</w:t>
            </w:r>
          </w:p>
        </w:tc>
        <w:tc>
          <w:tcPr/>
          <w:p>
            <w:pPr>
              <w:pStyle w:val="Compact"/>
              <w:jc w:val="right"/>
            </w:pPr>
            <w:r>
              <w:t xml:space="preserve">.508</w:t>
            </w:r>
          </w:p>
        </w:tc>
      </w:tr>
      <w:tr>
        <w:tc>
          <w:tcPr/>
          <w:p>
            <w:pPr>
              <w:pStyle w:val="Compact"/>
            </w:pPr>
            <w:r>
              <w:t xml:space="preserve">1.84</w:t>
            </w:r>
          </w:p>
        </w:tc>
        <w:tc>
          <w:tcPr/>
          <w:p>
            <w:pPr>
              <w:pStyle w:val="Compact"/>
              <w:jc w:val="righ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31.2%</w:t>
            </w:r>
          </w:p>
        </w:tc>
        <w:tc>
          <w:tcPr/>
          <w:p>
            <w:pPr>
              <w:pStyle w:val="Compact"/>
              <w:jc w:val="right"/>
            </w:pPr>
            <w:r>
              <w:t xml:space="preserve">7.3%</w:t>
            </w:r>
          </w:p>
        </w:tc>
        <w:tc>
          <w:tcPr/>
          <w:p>
            <w:pPr>
              <w:pStyle w:val="Compact"/>
              <w:jc w:val="right"/>
            </w:pPr>
            <w:r>
              <w:t xml:space="preserve">.458</w:t>
            </w:r>
          </w:p>
        </w:tc>
        <w:tc>
          <w:tcPr/>
          <w:p>
            <w:pPr>
              <w:pStyle w:val="Compact"/>
              <w:jc w:val="right"/>
            </w:pPr>
            <w:r>
              <w:t xml:space="preserve">.523</w:t>
            </w:r>
          </w:p>
        </w:tc>
      </w:tr>
    </w:tbl>
    <w:bookmarkEnd w:id="45"/>
    <w:bookmarkEnd w:id="46"/>
    <w:p>
      <w:pPr>
        <w:pStyle w:val="AfterWithoutNote"/>
      </w:pPr>
      <w:r>
        <w:t xml:space="preserve"> </w:t>
      </w:r>
    </w:p>
    <w:bookmarkStart w:id="50"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8" name="Picture"/>
            <a:graphic>
              <a:graphicData uri="http://schemas.openxmlformats.org/drawingml/2006/picture">
                <pic:pic>
                  <pic:nvPicPr>
                    <pic:cNvPr descr="../11_semantic_mapping_output/7_progression_panels_AB_k16.png" id="49" name="Picture"/>
                    <pic:cNvPicPr>
                      <a:picLocks noChangeArrowheads="1" noChangeAspect="1"/>
                    </pic:cNvPicPr>
                  </pic:nvPicPr>
                  <pic:blipFill>
                    <a:blip r:embed="rId47"/>
                    <a:stretch>
                      <a:fillRect/>
                    </a:stretch>
                  </pic:blipFill>
                  <pic:spPr bwMode="auto">
                    <a:xfrm>
                      <a:off x="0" y="0"/>
                      <a:ext cx="5943600" cy="1708785"/>
                    </a:xfrm>
                    <a:prstGeom prst="rect">
                      <a:avLst/>
                    </a:prstGeom>
                    <a:noFill/>
                    <a:ln w="9525">
                      <a:noFill/>
                      <a:headEnd/>
                      <a:tailEnd/>
                    </a:ln>
                  </pic:spPr>
                </pic:pic>
              </a:graphicData>
            </a:graphic>
          </wp:inline>
        </w:drawing>
      </w:r>
    </w:p>
    <w:bookmarkEnd w:id="50"/>
    <w:bookmarkEnd w:id="51"/>
    <w:bookmarkStart w:id="52"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2"/>
    <w:bookmarkEnd w:id="53"/>
    <w:bookmarkStart w:id="59"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7"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4">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4">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6"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5"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5"/>
    <w:bookmarkEnd w:id="56"/>
    <w:p>
      <w:pPr>
        <w:sectPr>
          <w:pgSz w:h="11906" w:w="16838" w:orient="landscape"/>
        </w:sectPr>
      </w:pPr>
    </w:p>
    <w:bookmarkEnd w:id="57"/>
    <w:bookmarkStart w:id="58"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8"/>
    <w:bookmarkEnd w:id="59"/>
    <w:bookmarkStart w:id="70"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8"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and</w:t>
      </w:r>
      <w:r>
        <w:t xml:space="preserve"> </w:t>
      </w:r>
      <w:hyperlink w:anchor="tbl-coverage-gap">
        <w:r>
          <w:rPr>
            <w:rStyle w:val="Hyperlink"/>
          </w:rPr>
          <w:t xml:space="preserve">Table 3</w:t>
        </w:r>
      </w:hyperlink>
      <w:r>
        <w:t xml:space="preserve"> </w:t>
      </w:r>
      <w:r>
        <w:t xml:space="preserve">report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4</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6">
        <w:r>
          <w:rPr>
            <w:rStyle w:val="Hyperlink"/>
          </w:rPr>
          <w:t xml:space="preserve">Appendix E</w:t>
        </w:r>
      </w:hyperlink>
      <w:r>
        <w:t xml:space="preserve">Appendix E</w:t>
      </w:r>
      <w:r>
        <w:t xml:space="preserve">.</w:t>
      </w:r>
    </w:p>
    <w:bookmarkStart w:id="63"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909930"/>
            <wp:effectExtent b="0" l="0" r="0" t="0"/>
            <wp:docPr descr="" title="" id="61" name="Picture"/>
            <a:graphic>
              <a:graphicData uri="http://schemas.openxmlformats.org/drawingml/2006/picture">
                <pic:pic>
                  <pic:nvPicPr>
                    <pic:cNvPr descr="../21_mediacloud_benchmark_output/coverage_gap_outputs/within_tech/coverage_scatter.png" id="62" name="Picture"/>
                    <pic:cNvPicPr>
                      <a:picLocks noChangeArrowheads="1" noChangeAspect="1"/>
                    </pic:cNvPicPr>
                  </pic:nvPicPr>
                  <pic:blipFill>
                    <a:blip r:embed="rId60"/>
                    <a:stretch>
                      <a:fillRect/>
                    </a:stretch>
                  </pic:blipFill>
                  <pic:spPr bwMode="auto">
                    <a:xfrm>
                      <a:off x="0" y="0"/>
                      <a:ext cx="5943600" cy="4909930"/>
                    </a:xfrm>
                    <a:prstGeom prst="rect">
                      <a:avLst/>
                    </a:prstGeom>
                    <a:noFill/>
                    <a:ln w="9525">
                      <a:noFill/>
                      <a:headEnd/>
                      <a:tailEnd/>
                    </a:ln>
                  </pic:spPr>
                </pic:pic>
              </a:graphicData>
            </a:graphic>
          </wp:inline>
        </w:drawing>
      </w:r>
    </w:p>
    <w:bookmarkEnd w:id="63"/>
    <w:p>
      <w:pPr>
        <w:pStyle w:val="AfterWithoutNote"/>
      </w:pPr>
      <w:r>
        <w:t xml:space="preserve"> </w:t>
      </w:r>
    </w:p>
    <w:bookmarkStart w:id="65" w:name="tbl-coverage-gap"/>
    <w:p>
      <w:pPr>
        <w:pStyle w:val="FigureTitle"/>
      </w:pPr>
      <w:r>
        <w:t xml:space="preserve">Table 3</w:t>
      </w:r>
    </w:p>
    <w:p>
      <w:pPr>
        <w:pStyle w:val="Caption"/>
      </w:pPr>
      <w:r>
        <w:t xml:space="preserve">Academic and media attention to consumer-technology clusters, 2008–2026. Academic share and media share are the pooled share of attention that each cluster received within all consumer-technology mentions of its respective corpus, pooled across the whole period rather than averaged over years. The gap is the academic share minus the media share, in percentage points. Academic rank and media rank order the clusters by their pooled share within each corpus, with 1 the largest share and tied shares given their average rank.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w:t>
      </w:r>
    </w:p>
    <w:bookmarkStart w:id="64" w:name="tbl-coverage-gap"/>
    <w:tbl>
      <w:tblPr>
        <w:tblStyle w:val="Table"/>
        <w:tblW w:type="pct" w:w="5000"/>
        <w:tblLayout w:type="fixed"/>
        <w:tblLook w:firstRow="1" w:lastRow="0" w:firstColumn="0" w:lastColumn="0" w:noHBand="0" w:noVBand="0" w:val="0020"/>
      </w:tblPr>
      <w:tblGrid>
        <w:gridCol w:w="742"/>
        <w:gridCol w:w="990"/>
        <w:gridCol w:w="990"/>
        <w:gridCol w:w="990"/>
        <w:gridCol w:w="990"/>
        <w:gridCol w:w="990"/>
        <w:gridCol w:w="990"/>
        <w:gridCol w:w="123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+5.3</w:t>
            </w:r>
          </w:p>
        </w:tc>
        <w:tc>
          <w:tcPr/>
          <w:p>
            <w:pPr>
              <w:pStyle w:val="Compact"/>
              <w:jc w:val="right"/>
            </w:pPr>
            <w:r>
              <w:t xml:space="preserve">4.97</w:t>
            </w:r>
          </w:p>
        </w:tc>
        <w:tc>
          <w:tcPr/>
          <w:p>
            <w:pPr>
              <w:pStyle w:val="Compact"/>
              <w:jc w:val="center"/>
            </w:pPr>
            <w:r>
              <w:t xml:space="preserve">Credibly higher</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1.70</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57.10</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-2.2</w:t>
            </w:r>
          </w:p>
        </w:tc>
        <w:tc>
          <w:tcPr/>
          <w:p>
            <w:pPr>
              <w:pStyle w:val="Compact"/>
              <w:jc w:val="right"/>
            </w:pPr>
            <w:r>
              <w:t xml:space="preserve">0.76</w:t>
            </w:r>
          </w:p>
        </w:tc>
        <w:tc>
          <w:tcPr/>
          <w:p>
            <w:pPr>
              <w:pStyle w:val="Compact"/>
              <w:jc w:val="center"/>
            </w:pPr>
            <w:r>
              <w:t xml:space="preserve">Credibly lower</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+3.1</w:t>
            </w:r>
          </w:p>
        </w:tc>
        <w:tc>
          <w:tcPr/>
          <w:p>
            <w:pPr>
              <w:pStyle w:val="Compact"/>
              <w:jc w:val="right"/>
            </w:pPr>
            <w:r>
              <w:t xml:space="preserve">1.97</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+3.4</w:t>
            </w:r>
          </w:p>
        </w:tc>
        <w:tc>
          <w:tcPr/>
          <w:p>
            <w:pPr>
              <w:pStyle w:val="Compact"/>
              <w:jc w:val="right"/>
            </w:pPr>
            <w:r>
              <w:t xml:space="preserve">4.11</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+4.8</w:t>
            </w:r>
          </w:p>
        </w:tc>
        <w:tc>
          <w:tcPr/>
          <w:p>
            <w:pPr>
              <w:pStyle w:val="Compact"/>
              <w:jc w:val="right"/>
            </w:pPr>
            <w:r>
              <w:t xml:space="preserve">3.02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2.85</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-10.6</w:t>
            </w:r>
          </w:p>
        </w:tc>
        <w:tc>
          <w:tcPr/>
          <w:p>
            <w:pPr>
              <w:pStyle w:val="Compact"/>
              <w:jc w:val="right"/>
            </w:pPr>
            <w:r>
              <w:t xml:space="preserve">0.37</w:t>
            </w:r>
          </w:p>
        </w:tc>
        <w:tc>
          <w:tcPr/>
          <w:p>
            <w:pPr>
              <w:pStyle w:val="Compact"/>
              <w:jc w:val="center"/>
            </w:pPr>
            <w:r>
              <w:t xml:space="preserve">Credibly lower</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2.45</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-1.7</w:t>
            </w:r>
          </w:p>
        </w:tc>
        <w:tc>
          <w:tcPr/>
          <w:p>
            <w:pPr>
              <w:pStyle w:val="Compact"/>
              <w:jc w:val="right"/>
            </w:pPr>
            <w:r>
              <w:t xml:space="preserve">0.78</w:t>
            </w:r>
          </w:p>
        </w:tc>
        <w:tc>
          <w:tcPr/>
          <w:p>
            <w:pPr>
              <w:pStyle w:val="Compact"/>
              <w:jc w:val="center"/>
            </w:pPr>
            <w:r>
              <w:t xml:space="preserve">Credibly lower</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-2.7</w:t>
            </w:r>
          </w:p>
        </w:tc>
        <w:tc>
          <w:tcPr/>
          <w:p>
            <w:pPr>
              <w:pStyle w:val="Compact"/>
              <w:jc w:val="right"/>
            </w:pPr>
            <w:r>
              <w:t xml:space="preserve">0.75</w:t>
            </w:r>
          </w:p>
        </w:tc>
        <w:tc>
          <w:tcPr/>
          <w:p>
            <w:pPr>
              <w:pStyle w:val="Compact"/>
              <w:jc w:val="center"/>
            </w:pPr>
            <w:r>
              <w:t xml:space="preserve">Credibly lower</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-8.5</w:t>
            </w:r>
          </w:p>
        </w:tc>
        <w:tc>
          <w:tcPr/>
          <w:p>
            <w:pPr>
              <w:pStyle w:val="Compact"/>
              <w:jc w:val="right"/>
            </w:pPr>
            <w:r>
              <w:t xml:space="preserve">0.60</w:t>
            </w:r>
          </w:p>
        </w:tc>
        <w:tc>
          <w:tcPr/>
          <w:p>
            <w:pPr>
              <w:pStyle w:val="Compact"/>
              <w:jc w:val="center"/>
            </w:pPr>
            <w:r>
              <w:t xml:space="preserve">Credibly lower</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-2.7</w:t>
            </w:r>
          </w:p>
        </w:tc>
        <w:tc>
          <w:tcPr/>
          <w:p>
            <w:pPr>
              <w:pStyle w:val="Compact"/>
              <w:jc w:val="right"/>
            </w:pPr>
            <w:r>
              <w:t xml:space="preserve">0.59</w:t>
            </w:r>
          </w:p>
        </w:tc>
        <w:tc>
          <w:tcPr/>
          <w:p>
            <w:pPr>
              <w:pStyle w:val="Compact"/>
              <w:jc w:val="center"/>
            </w:pPr>
            <w:r>
              <w:t xml:space="preserve">Credibly lower</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+3.1</w:t>
            </w:r>
          </w:p>
        </w:tc>
        <w:tc>
          <w:tcPr/>
          <w:p>
            <w:pPr>
              <w:pStyle w:val="Compact"/>
              <w:jc w:val="right"/>
            </w:pPr>
            <w:r>
              <w:t xml:space="preserve">6.85</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-5.3</w:t>
            </w:r>
          </w:p>
        </w:tc>
        <w:tc>
          <w:tcPr/>
          <w:p>
            <w:pPr>
              <w:pStyle w:val="Compact"/>
              <w:jc w:val="right"/>
            </w:pPr>
            <w:r>
              <w:t xml:space="preserve">0.51</w:t>
            </w:r>
          </w:p>
        </w:tc>
        <w:tc>
          <w:tcPr/>
          <w:p>
            <w:pPr>
              <w:pStyle w:val="Compact"/>
              <w:jc w:val="center"/>
            </w:pPr>
            <w:r>
              <w:t xml:space="preserve">Credibly lower</w:t>
            </w:r>
          </w:p>
        </w:tc>
      </w:tr>
    </w:tbl>
    <w:bookmarkEnd w:id="64"/>
    <w:bookmarkEnd w:id="65"/>
    <w:p>
      <w:pPr>
        <w:sectPr/>
      </w:pPr>
    </w:p>
    <w:bookmarkStart w:id="67" w:name="tbl-lag-pvalues"/>
    <w:p>
      <w:pPr>
        <w:pStyle w:val="FigureTitle"/>
      </w:pPr>
      <w:r>
        <w:t xml:space="preserve">Table 4</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6"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6"/>
    <w:bookmarkEnd w:id="67"/>
    <w:p>
      <w:pPr>
        <w:sectPr>
          <w:pgSz w:h="11906" w:w="16838" w:orient="landscape"/>
        </w:sectPr>
      </w:pPr>
    </w:p>
    <w:bookmarkEnd w:id="68"/>
    <w:bookmarkStart w:id="69"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 ratio</w:t>
      </w:r>
      <w:r>
        <w:t xml:space="preserve"> </w:t>
      </w:r>
      <m:oMath>
        <m:r>
          <m:t>2.85</m:t>
        </m:r>
      </m:oMath>
      <w:r>
        <w:t xml:space="preserve">, credibly higher).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9"/>
    <w:bookmarkEnd w:id="70"/>
    <w:bookmarkEnd w:id="71"/>
    <w:bookmarkStart w:id="73"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72"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72"/>
    <w:bookmarkEnd w:id="73"/>
    <w:bookmarkStart w:id="74"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4"/>
    <w:bookmarkStart w:id="75"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5"/>
    <w:bookmarkStart w:id="168" w:name="references"/>
    <w:p>
      <w:pPr>
        <w:pStyle w:val="Heading1"/>
      </w:pPr>
      <w:r>
        <w:t xml:space="preserve">References</w:t>
      </w:r>
    </w:p>
    <w:bookmarkStart w:id="167" w:name="refs"/>
    <w:bookmarkStart w:id="76"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6"/>
    <w:bookmarkStart w:id="78"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7">
        <w:r>
          <w:rPr>
            <w:rStyle w:val="Hyperlink"/>
          </w:rPr>
          <w:t xml:space="preserve">https://doi.org/10.1016/j.joi.2017.08.007</w:t>
        </w:r>
      </w:hyperlink>
    </w:p>
    <w:bookmarkEnd w:id="78"/>
    <w:bookmarkStart w:id="80"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9">
        <w:r>
          <w:rPr>
            <w:rStyle w:val="Hyperlink"/>
          </w:rPr>
          <w:t xml:space="preserve">https://www.sciencedirect.com/special-issue/334595/the-transformative-role-of-artificial-intelligence-in-marketing-theory-and-practice</w:t>
        </w:r>
      </w:hyperlink>
    </w:p>
    <w:bookmarkEnd w:id="80"/>
    <w:bookmarkStart w:id="82"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81">
        <w:r>
          <w:rPr>
            <w:rStyle w:val="Hyperlink"/>
          </w:rPr>
          <w:t xml:space="preserve">https://doi.org/10.1609/icwsm.v20i1.42778</w:t>
        </w:r>
      </w:hyperlink>
    </w:p>
    <w:bookmarkEnd w:id="82"/>
    <w:bookmarkStart w:id="84"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83">
        <w:r>
          <w:rPr>
            <w:rStyle w:val="Hyperlink"/>
          </w:rPr>
          <w:t xml:space="preserve">https://doi.org/10.1073/pnas.2401227121</w:t>
        </w:r>
      </w:hyperlink>
    </w:p>
    <w:bookmarkEnd w:id="84"/>
    <w:bookmarkStart w:id="86"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5">
        <w:r>
          <w:rPr>
            <w:rStyle w:val="Hyperlink"/>
          </w:rPr>
          <w:t xml:space="preserve">https://doi.org/10.1016/j.joi.2013.09.001</w:t>
        </w:r>
      </w:hyperlink>
    </w:p>
    <w:bookmarkEnd w:id="86"/>
    <w:bookmarkStart w:id="88"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7">
        <w:r>
          <w:rPr>
            <w:rStyle w:val="Hyperlink"/>
          </w:rPr>
          <w:t xml:space="preserve">https://doi.org/10.1088/1742-5468/2008/10/P10008</w:t>
        </w:r>
      </w:hyperlink>
    </w:p>
    <w:bookmarkEnd w:id="88"/>
    <w:bookmarkStart w:id="90"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9">
        <w:r>
          <w:rPr>
            <w:rStyle w:val="Hyperlink"/>
          </w:rPr>
          <w:t xml:space="preserve">https://doi.org/10.1080/03610927408827101</w:t>
        </w:r>
      </w:hyperlink>
    </w:p>
    <w:bookmarkEnd w:id="90"/>
    <w:bookmarkStart w:id="92"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91">
        <w:r>
          <w:rPr>
            <w:rStyle w:val="Hyperlink"/>
          </w:rPr>
          <w:t xml:space="preserve">https://doi.org/10.1007/s11747-024-01044-7</w:t>
        </w:r>
      </w:hyperlink>
    </w:p>
    <w:bookmarkEnd w:id="92"/>
    <w:bookmarkStart w:id="94"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93">
        <w:r>
          <w:rPr>
            <w:rStyle w:val="Hyperlink"/>
          </w:rPr>
          <w:t xml:space="preserve">https://doi.org/10.1109/TPAMI.1979.4766909</w:t>
        </w:r>
      </w:hyperlink>
    </w:p>
    <w:bookmarkEnd w:id="94"/>
    <w:bookmarkStart w:id="95"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5"/>
    <w:bookmarkStart w:id="97"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6">
        <w:r>
          <w:rPr>
            <w:rStyle w:val="Hyperlink"/>
          </w:rPr>
          <w:t xml:space="preserve">https://doi.org/10.1016/j.jbusres.2021.04.070</w:t>
        </w:r>
      </w:hyperlink>
    </w:p>
    <w:bookmarkEnd w:id="97"/>
    <w:bookmarkStart w:id="99"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8">
        <w:r>
          <w:rPr>
            <w:rStyle w:val="Hyperlink"/>
          </w:rPr>
          <w:t xml:space="preserve">https://doi.org/10.1086/341868</w:t>
        </w:r>
      </w:hyperlink>
    </w:p>
    <w:bookmarkEnd w:id="99"/>
    <w:bookmarkStart w:id="101"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100">
        <w:r>
          <w:rPr>
            <w:rStyle w:val="Hyperlink"/>
          </w:rPr>
          <w:t xml:space="preserve">https://doi.org/10.2105/AJPH.2018.304677</w:t>
        </w:r>
      </w:hyperlink>
    </w:p>
    <w:bookmarkEnd w:id="101"/>
    <w:bookmarkStart w:id="103"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102">
        <w:r>
          <w:rPr>
            <w:rStyle w:val="Hyperlink"/>
          </w:rPr>
          <w:t xml:space="preserve">https://doi.org/10.31234/osf.io/h43cj</w:t>
        </w:r>
      </w:hyperlink>
    </w:p>
    <w:bookmarkEnd w:id="103"/>
    <w:bookmarkStart w:id="105"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4">
        <w:r>
          <w:rPr>
            <w:rStyle w:val="Hyperlink"/>
          </w:rPr>
          <w:t xml:space="preserve">https://doi.org/10.1177/0165551504042802</w:t>
        </w:r>
      </w:hyperlink>
    </w:p>
    <w:bookmarkEnd w:id="105"/>
    <w:bookmarkStart w:id="107"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6">
        <w:r>
          <w:rPr>
            <w:rStyle w:val="Hyperlink"/>
          </w:rPr>
          <w:t xml:space="preserve">https://doi.org/10.1007/s11747-024-01064-3</w:t>
        </w:r>
      </w:hyperlink>
    </w:p>
    <w:bookmarkEnd w:id="107"/>
    <w:bookmarkStart w:id="109"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8">
        <w:r>
          <w:rPr>
            <w:rStyle w:val="Hyperlink"/>
          </w:rPr>
          <w:t xml:space="preserve">https://doi.org/10.1177/00222429211061636</w:t>
        </w:r>
      </w:hyperlink>
    </w:p>
    <w:bookmarkEnd w:id="109"/>
    <w:bookmarkStart w:id="111"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10">
        <w:r>
          <w:rPr>
            <w:rStyle w:val="Hyperlink"/>
          </w:rPr>
          <w:t xml:space="preserve">https://www.reuters.com/technology/chatgpt-sets-record-fastest-growing-user-base-analyst-note-2023-02-01/</w:t>
        </w:r>
      </w:hyperlink>
    </w:p>
    <w:bookmarkEnd w:id="111"/>
    <w:bookmarkStart w:id="113"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12">
        <w:r>
          <w:rPr>
            <w:rStyle w:val="Hyperlink"/>
          </w:rPr>
          <w:t xml:space="preserve">https://doi.org/10.1016/j.ijresmar.2025.12.003</w:t>
        </w:r>
      </w:hyperlink>
    </w:p>
    <w:bookmarkEnd w:id="113"/>
    <w:bookmarkStart w:id="115"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4">
        <w:r>
          <w:rPr>
            <w:rStyle w:val="Hyperlink"/>
          </w:rPr>
          <w:t xml:space="preserve">https://doi.org/10.1080/23299460.2020.1744401</w:t>
        </w:r>
      </w:hyperlink>
    </w:p>
    <w:bookmarkEnd w:id="115"/>
    <w:bookmarkStart w:id="117"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6">
        <w:r>
          <w:rPr>
            <w:rStyle w:val="Hyperlink"/>
          </w:rPr>
          <w:t xml:space="preserve">https://www.pewresearch.org/science/2025/09/17/how-americans-view-ai-and-its-impact-on-people-and-society/</w:t>
        </w:r>
      </w:hyperlink>
    </w:p>
    <w:bookmarkEnd w:id="117"/>
    <w:bookmarkStart w:id="119"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8">
        <w:r>
          <w:rPr>
            <w:rStyle w:val="Hyperlink"/>
          </w:rPr>
          <w:t xml:space="preserve">https://doi.org/10.1057/s41599-025-04532-5</w:t>
        </w:r>
      </w:hyperlink>
    </w:p>
    <w:bookmarkEnd w:id="119"/>
    <w:bookmarkStart w:id="120"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20"/>
    <w:bookmarkStart w:id="122"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21">
        <w:r>
          <w:rPr>
            <w:rStyle w:val="Hyperlink"/>
          </w:rPr>
          <w:t xml:space="preserve">https://doi.org/10.1007/s11002-020-09526-8</w:t>
        </w:r>
      </w:hyperlink>
    </w:p>
    <w:bookmarkEnd w:id="122"/>
    <w:bookmarkStart w:id="124"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23">
        <w:r>
          <w:rPr>
            <w:rStyle w:val="Hyperlink"/>
          </w:rPr>
          <w:t xml:space="preserve">https://doi.org/10.21105/joss.00861</w:t>
        </w:r>
      </w:hyperlink>
    </w:p>
    <w:bookmarkEnd w:id="124"/>
    <w:bookmarkStart w:id="126"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5">
        <w:r>
          <w:rPr>
            <w:rStyle w:val="Hyperlink"/>
          </w:rPr>
          <w:t xml:space="preserve">https://doi.org/10.1002/cb.2345</w:t>
        </w:r>
      </w:hyperlink>
    </w:p>
    <w:bookmarkEnd w:id="126"/>
    <w:bookmarkStart w:id="128"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7">
        <w:r>
          <w:rPr>
            <w:rStyle w:val="Hyperlink"/>
          </w:rPr>
          <w:t xml:space="preserve">https://doi.org/10.1038/s41598-026-40110-8</w:t>
        </w:r>
      </w:hyperlink>
    </w:p>
    <w:bookmarkEnd w:id="128"/>
    <w:bookmarkStart w:id="130"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9">
        <w:r>
          <w:rPr>
            <w:rStyle w:val="Hyperlink"/>
          </w:rPr>
          <w:t xml:space="preserve">https://itif.org/publications/2025/09/22/ai-is-much-more-evolutionary-than-revolutionary/</w:t>
        </w:r>
      </w:hyperlink>
    </w:p>
    <w:bookmarkEnd w:id="130"/>
    <w:bookmarkStart w:id="132"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31">
        <w:r>
          <w:rPr>
            <w:rStyle w:val="Hyperlink"/>
          </w:rPr>
          <w:t xml:space="preserve">https://doi.org/10.9734/ajrcos/2025/v18i1549</w:t>
        </w:r>
      </w:hyperlink>
    </w:p>
    <w:bookmarkEnd w:id="132"/>
    <w:bookmarkStart w:id="134"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33">
        <w:r>
          <w:rPr>
            <w:rStyle w:val="Hyperlink"/>
          </w:rPr>
          <w:t xml:space="preserve">https://openai.com/index/chatgpt/</w:t>
        </w:r>
      </w:hyperlink>
    </w:p>
    <w:bookmarkEnd w:id="134"/>
    <w:bookmarkStart w:id="136"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5">
        <w:r>
          <w:rPr>
            <w:rStyle w:val="Hyperlink"/>
          </w:rPr>
          <w:t xml:space="preserve">https://doi.org/10.1016/j.jik.2024.100517</w:t>
        </w:r>
      </w:hyperlink>
    </w:p>
    <w:bookmarkEnd w:id="136"/>
    <w:bookmarkStart w:id="138"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7">
        <w:r>
          <w:rPr>
            <w:rStyle w:val="Hyperlink"/>
          </w:rPr>
          <w:t xml:space="preserve">https://doi.org/10.18653/v1/D19-1410</w:t>
        </w:r>
      </w:hyperlink>
    </w:p>
    <w:bookmarkEnd w:id="138"/>
    <w:bookmarkStart w:id="140"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9">
        <w:r>
          <w:rPr>
            <w:rStyle w:val="Hyperlink"/>
          </w:rPr>
          <w:t xml:space="preserve">https://doi.org/10.1080/23311975.2025.2544984</w:t>
        </w:r>
      </w:hyperlink>
    </w:p>
    <w:bookmarkEnd w:id="140"/>
    <w:bookmarkStart w:id="142" w:name="ref-roberts2021mediacloud"/>
    <w:p>
      <w:pPr>
        <w:pStyle w:val="Bibliography"/>
      </w:pPr>
      <w:r>
        <w:t xml:space="preserve">Roberts, H., Bhargava, R., Valiukas, L., Jen, D., Malik, M. M., Bishop, C. S., Ndulue, E. B., Dave, A., Clark, J., Etling, B., et al.</w:t>
      </w:r>
      <w:r>
        <w:t xml:space="preserve">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41">
        <w:r>
          <w:rPr>
            <w:rStyle w:val="Hyperlink"/>
          </w:rPr>
          <w:t xml:space="preserve">https://doi.org/10.1609/icwsm.v15i1.18127</w:t>
        </w:r>
      </w:hyperlink>
    </w:p>
    <w:bookmarkEnd w:id="142"/>
    <w:bookmarkStart w:id="144"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43">
        <w:r>
          <w:rPr>
            <w:rStyle w:val="Hyperlink"/>
          </w:rPr>
          <w:t xml:space="preserve">https://doi.org/10.1177/00222429251371702</w:t>
        </w:r>
      </w:hyperlink>
    </w:p>
    <w:bookmarkEnd w:id="144"/>
    <w:bookmarkStart w:id="146"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5">
        <w:r>
          <w:rPr>
            <w:rStyle w:val="Hyperlink"/>
          </w:rPr>
          <w:t xml:space="preserve">https://doi.org/10.1016/0377-0427(87)90125-7</w:t>
        </w:r>
      </w:hyperlink>
    </w:p>
    <w:bookmarkEnd w:id="146"/>
    <w:bookmarkStart w:id="148"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7">
        <w:r>
          <w:rPr>
            <w:rStyle w:val="Hyperlink"/>
          </w:rPr>
          <w:t xml:space="preserve">https://doi.org/10.1111/j.1460-2466.1999.tb02784.x</w:t>
        </w:r>
      </w:hyperlink>
    </w:p>
    <w:bookmarkEnd w:id="148"/>
    <w:bookmarkStart w:id="150"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9">
        <w:r>
          <w:rPr>
            <w:rStyle w:val="Hyperlink"/>
          </w:rPr>
          <w:t xml:space="preserve">https://www.semrush.com/trending-websites/global/all</w:t>
        </w:r>
      </w:hyperlink>
    </w:p>
    <w:bookmarkEnd w:id="150"/>
    <w:bookmarkStart w:id="152"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51">
        <w:r>
          <w:rPr>
            <w:rStyle w:val="Hyperlink"/>
          </w:rPr>
          <w:t xml:space="preserve">https://huggingface.co/sentence-transformers/all-MiniLM-L6-v2</w:t>
        </w:r>
      </w:hyperlink>
    </w:p>
    <w:bookmarkEnd w:id="152"/>
    <w:bookmarkStart w:id="154"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53">
        <w:r>
          <w:rPr>
            <w:rStyle w:val="Hyperlink"/>
          </w:rPr>
          <w:t xml:space="preserve">https://doi.org/10.1108/eb026695</w:t>
        </w:r>
      </w:hyperlink>
    </w:p>
    <w:bookmarkEnd w:id="154"/>
    <w:bookmarkStart w:id="155"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5"/>
    <w:bookmarkStart w:id="157"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6">
        <w:r>
          <w:rPr>
            <w:rStyle w:val="Hyperlink"/>
          </w:rPr>
          <w:t xml:space="preserve">https://doi.org/10.1007/3-540-44668-0_68</w:t>
        </w:r>
      </w:hyperlink>
    </w:p>
    <w:bookmarkEnd w:id="157"/>
    <w:bookmarkStart w:id="159"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8">
        <w:r>
          <w:rPr>
            <w:rStyle w:val="Hyperlink"/>
          </w:rPr>
          <w:t xml:space="preserve">https://doi.org/10.1108/JRIM-02-2026-766</w:t>
        </w:r>
      </w:hyperlink>
    </w:p>
    <w:bookmarkEnd w:id="159"/>
    <w:bookmarkStart w:id="160"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60"/>
    <w:bookmarkStart w:id="162"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61">
        <w:r>
          <w:rPr>
            <w:rStyle w:val="Hyperlink"/>
          </w:rPr>
          <w:t xml:space="preserve">https://doi.org/10.1371/journal.pone.0325459</w:t>
        </w:r>
      </w:hyperlink>
    </w:p>
    <w:bookmarkEnd w:id="162"/>
    <w:bookmarkStart w:id="164"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63">
        <w:r>
          <w:rPr>
            <w:rStyle w:val="Hyperlink"/>
          </w:rPr>
          <w:t xml:space="preserve">https://doi.org/10.1177/09637214251382083</w:t>
        </w:r>
      </w:hyperlink>
    </w:p>
    <w:bookmarkEnd w:id="164"/>
    <w:bookmarkStart w:id="166"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5">
        <w:r>
          <w:rPr>
            <w:rStyle w:val="Hyperlink"/>
          </w:rPr>
          <w:t xml:space="preserve">https://technologyandsociety.org/is-the-ai-revolution-the-latest-example-of-technological-change-driving-history/</w:t>
        </w:r>
      </w:hyperlink>
    </w:p>
    <w:bookmarkEnd w:id="166"/>
    <w:bookmarkEnd w:id="167"/>
    <w:bookmarkEnd w:id="1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28" Target="media/rId28.svg" /><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2026-09-21T16:22:32Z</dcterms:created>
  <dcterms:modified xsi:type="dcterms:W3CDTF">2026-09-21T16:22:32Z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7429</vt:lpwstr>
  </property>
  <property fmtid="{D5CDD505-2E9C-101B-9397-08002B2CF9AE}" pid="64" name="zerocitations">
    <vt:lpwstr>False</vt:lpwstr>
  </property>
</Properties>
</file>