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Origin Ambiguity</w:t>
      </w:r>
    </w:p>
    <w:p>
      <w:pPr>
        <w:pStyle w:val="Author"/>
      </w:pPr>
      <w:r>
        <w:t xml:space="preserve">Sabou Rani Stocker</w:t>
      </w:r>
    </w:p>
    <w:p>
      <w:pPr>
        <w:pStyle w:val="Date"/>
      </w:pPr>
      <w:r>
        <w:t xml:space="preserve">2025-11-21</w:t>
      </w:r>
    </w:p>
    <w:bookmarkStart w:id="20" w:name="abstract"/>
    <w:p>
      <w:pPr>
        <w:pStyle w:val="Heading1"/>
      </w:pPr>
      <w:r>
        <w:t xml:space="preserve">Abstract</w:t>
      </w:r>
    </w:p>
    <w:p>
      <w:pPr>
        <w:pStyle w:val="FirstParagraph"/>
      </w:pPr>
      <w:r>
        <w:t xml:space="preserve">As firms increasingly use generative AI to produce product shoots, video ads, and news-like reels, AI-generated outputs reach near-human quality, making it difficult for viewers to distinguish whether content was created by humans or AI. We take a new perspective on this phenomenon and propose</w:t>
      </w:r>
      <w:r>
        <w:t xml:space="preserve"> </w:t>
      </w:r>
      <w:r>
        <w:rPr>
          <w:i/>
          <w:iCs/>
        </w:rPr>
        <w:t xml:space="preserve">origin ambiguity</w:t>
      </w:r>
      <w:r>
        <w:t xml:space="preserve"> </w:t>
      </w:r>
      <w:r>
        <w:t xml:space="preserve">as a central challenge in such contemporary marketing communication. In the absence of clear regulations, consumers increasingly experience ambiguity related to content origin and pose the question</w:t>
      </w:r>
      <w:r>
        <w:t xml:space="preserve"> </w:t>
      </w:r>
      <w:r>
        <w:t xml:space="preserve">“is this AI or real?”</w:t>
      </w:r>
      <w:r>
        <w:t xml:space="preserve">.</w:t>
      </w:r>
      <w:r>
        <w:t xml:space="preserve"> </w:t>
      </w:r>
      <w:r>
        <w:t xml:space="preserve">We ask: what changes when people no longer know if what they are looking at has been generated by a human or by AI? To the best of our knowledge, this question remains unanswered.</w:t>
      </w:r>
      <w:r>
        <w:t xml:space="preserve"> </w:t>
      </w:r>
      <w:r>
        <w:t xml:space="preserve">Existing work suggests that ambiguity is a relevant phenomenon with potentially detrimental effects. Specifically, ambiguity might shift attention away from</w:t>
      </w:r>
      <w:r>
        <w:t xml:space="preserve"> </w:t>
      </w:r>
      <w:r>
        <w:rPr>
          <w:i/>
          <w:iCs/>
        </w:rPr>
        <w:t xml:space="preserve">content deliberation</w:t>
      </w:r>
      <w:r>
        <w:t xml:space="preserve"> </w:t>
      </w:r>
      <w:r>
        <w:t xml:space="preserve">toward deliberation about</w:t>
      </w:r>
      <w:r>
        <w:t xml:space="preserve"> </w:t>
      </w:r>
      <w:r>
        <w:rPr>
          <w:i/>
          <w:iCs/>
        </w:rPr>
        <w:t xml:space="preserve">origin</w:t>
      </w:r>
      <w:r>
        <w:t xml:space="preserve">, if consumers are motivated enough to engage in deeper processing (e.g., under high involvement), with implications for marketing persuasiveness, informed decision-making, and affective responses (amongst others).</w:t>
      </w:r>
    </w:p>
    <w:bookmarkEnd w:id="20"/>
    <w:bookmarkStart w:id="24" w:name="related-theory-and-phenomenon-in-context"/>
    <w:p>
      <w:pPr>
        <w:pStyle w:val="Heading1"/>
      </w:pPr>
      <w:r>
        <w:t xml:space="preserve">Related theory and phenomenon-in-context</w:t>
      </w:r>
    </w:p>
    <w:bookmarkStart w:id="22" w:name="ai-and-human-origin"/>
    <w:p>
      <w:pPr>
        <w:pStyle w:val="Heading2"/>
      </w:pPr>
      <w:r>
        <w:t xml:space="preserve">AI and Human Origin</w:t>
      </w:r>
    </w:p>
    <w:p>
      <w:pPr>
        <w:pStyle w:val="FirstParagraph"/>
      </w:pPr>
      <w:r>
        <w:t xml:space="preserve">Much research has studied the consequences of explicit human vs. AI origin under the phenomena of algorithm aversion and appreciation (e.g.,</w:t>
      </w:r>
      <w:r>
        <w:t xml:space="preserve"> </w:t>
      </w:r>
      <w:r>
        <w:t xml:space="preserve">Bigman (2022)</w:t>
      </w:r>
      <w:r>
        <w:t xml:space="preserve">). Here, consumers know and/or are informed about the origin of a recommendation, post, or product, and seem to prefer human over AI or vice versa conditional on various factors.</w:t>
      </w:r>
      <w:r>
        <w:t xml:space="preserve"> </w:t>
      </w:r>
      <w:r>
        <w:t xml:space="preserve">Other research demonstrates that people are generally bad at identifying the origin of content (AI or human) (e.g., </w:t>
      </w:r>
      <w:r>
        <w:t xml:space="preserve">Vukojičić, Krstić, and Veinović (2023)</w:t>
      </w:r>
      <w:r>
        <w:t xml:space="preserve">;</w:t>
      </w:r>
      <w:r>
        <w:t xml:space="preserve"> </w:t>
      </w:r>
      <w:r>
        <w:t xml:space="preserve">Porter and Machery (2024)</w:t>
      </w:r>
      <w:r>
        <w:t xml:space="preserve">;</w:t>
      </w:r>
      <w:r>
        <w:t xml:space="preserve"> </w:t>
      </w:r>
      <w:r>
        <w:t xml:space="preserve">Milička et al. (2025)</w:t>
      </w:r>
      <w:r>
        <w:t xml:space="preserve">).</w:t>
      </w:r>
    </w:p>
    <w:p>
      <w:pPr>
        <w:pStyle w:val="BodyText"/>
      </w:pPr>
      <w:r>
        <w:t xml:space="preserve">This latter research points at a human-AI generation frontier that is increasingly blurred. As a case in point, multiple forums exist around the question</w:t>
      </w:r>
      <w:r>
        <w:t xml:space="preserve"> </w:t>
      </w:r>
      <w:r>
        <w:t xml:space="preserve">“Is this AI or real/human”</w:t>
      </w:r>
      <w:r>
        <w:t xml:space="preserve"> </w:t>
      </w:r>
      <w:r>
        <w:t xml:space="preserve">(</w:t>
      </w:r>
      <w:hyperlink r:id="rId21">
        <w:r>
          <w:rPr>
            <w:rStyle w:val="Hyperlink"/>
          </w:rPr>
          <w:t xml:space="preserve">r/RealOrAI</w:t>
        </w:r>
      </w:hyperlink>
      <w:r>
        <w:t xml:space="preserve">), and the comment sections on social media pages are filled with consumers eager to know if what they are looking at is</w:t>
      </w:r>
      <w:r>
        <w:t xml:space="preserve"> </w:t>
      </w:r>
      <w:r>
        <w:t xml:space="preserve">“real”</w:t>
      </w:r>
      <w:r>
        <w:t xml:space="preserve"> </w:t>
      </w:r>
      <w:r>
        <w:t xml:space="preserve">or AI-generated. Importantly, there is no legally mandated disclosure of AI involvement in content generation, resulting in many situations where the origin remains ambiguous.</w:t>
      </w:r>
    </w:p>
    <w:bookmarkEnd w:id="22"/>
    <w:bookmarkStart w:id="23" w:name="ambiguity-in-marketing"/>
    <w:p>
      <w:pPr>
        <w:pStyle w:val="Heading2"/>
      </w:pPr>
      <w:r>
        <w:t xml:space="preserve">Ambiguity in Marketing</w:t>
      </w:r>
    </w:p>
    <w:p>
      <w:pPr>
        <w:pStyle w:val="FirstParagraph"/>
      </w:pPr>
      <w:r>
        <w:t xml:space="preserve">Ambiguity in marketing (e.g. surprise boxes) has been shown to affect attention and raise interest, but also result in aversion, especially in high-stakes situations</w:t>
      </w:r>
      <w:r>
        <w:t xml:space="preserve"> </w:t>
      </w:r>
      <w:r>
        <w:t xml:space="preserve">(Kovacheva and Nikolova 2024)</w:t>
      </w:r>
      <w:r>
        <w:t xml:space="preserve">.</w:t>
      </w:r>
      <w:r>
        <w:t xml:space="preserve"> </w:t>
      </w:r>
      <w:r>
        <w:t xml:space="preserve">For example, when product quality is ambiguous, consumers rely more on ads</w:t>
      </w:r>
      <w:r>
        <w:t xml:space="preserve"> </w:t>
      </w:r>
      <w:r>
        <w:t xml:space="preserve">(Hoch and Ha 1986)</w:t>
      </w:r>
      <w:r>
        <w:t xml:space="preserve">, and on top-down approaches (i.e. expectations, theories,</w:t>
      </w:r>
      <w:r>
        <w:t xml:space="preserve"> </w:t>
      </w:r>
      <w:r>
        <w:t xml:space="preserve">Yi (1993)</w:t>
      </w:r>
      <w:r>
        <w:t xml:space="preserve">); and ambiguity aversion correlates with a preference for established products</w:t>
      </w:r>
      <w:r>
        <w:t xml:space="preserve"> </w:t>
      </w:r>
      <w:r>
        <w:t xml:space="preserve">(Muthukrishnan, Wathieu, and Xu 2009; Hoch and Ha 1986)</w:t>
      </w:r>
      <w:r>
        <w:t xml:space="preserve">. Furthermore, research on a distinct, but related phenomenon – the uncanny valley</w:t>
      </w:r>
      <w:r>
        <w:t xml:space="preserve"> </w:t>
      </w:r>
      <w:r>
        <w:t xml:space="preserve">(Mori, MacDorman, and Kageki 2012)</w:t>
      </w:r>
      <w:r>
        <w:t xml:space="preserve"> </w:t>
      </w:r>
      <w:r>
        <w:t xml:space="preserve">– gives preliminary evidence that ambiguous stimuli tax cognitive resources</w:t>
      </w:r>
      <w:r>
        <w:t xml:space="preserve"> </w:t>
      </w:r>
      <w:r>
        <w:t xml:space="preserve">(Shin, Kim, and Biocca 2019; Tao et al. 2022; Howard 2017)</w:t>
      </w:r>
      <w:r>
        <w:t xml:space="preserve">.</w:t>
      </w:r>
    </w:p>
    <w:p>
      <w:pPr>
        <w:pStyle w:val="BodyText"/>
      </w:pPr>
      <w:r>
        <w:t xml:space="preserve">One important moderator for the occurrence of ambiguity effects in general are the stakes of a situation and the resulting motivation of consumers to resolve ambiguity. Marketing tactics strategically using obfuscated materials (i.e. cropping objects, incomplete typefaces, …) show that consumers attempt to resolve these introduced ambiguities only when they are motivated to do so</w:t>
      </w:r>
      <w:r>
        <w:t xml:space="preserve"> </w:t>
      </w:r>
      <w:r>
        <w:t xml:space="preserve">Hagtvedt (2011)</w:t>
      </w:r>
      <w:r>
        <w:t xml:space="preserve">. We expect that comparable effects occur under origin ambiguity.</w:t>
      </w:r>
    </w:p>
    <w:bookmarkEnd w:id="23"/>
    <w:bookmarkEnd w:id="24"/>
    <w:bookmarkStart w:id="27" w:name="relevance"/>
    <w:p>
      <w:pPr>
        <w:pStyle w:val="Heading1"/>
      </w:pPr>
      <w:r>
        <w:t xml:space="preserve">Relevance</w:t>
      </w:r>
    </w:p>
    <w:bookmarkStart w:id="25" w:name="theoretical"/>
    <w:p>
      <w:pPr>
        <w:pStyle w:val="Heading2"/>
      </w:pPr>
      <w:r>
        <w:t xml:space="preserve">Theoretical</w:t>
      </w:r>
    </w:p>
    <w:p>
      <w:pPr>
        <w:pStyle w:val="FirstParagraph"/>
      </w:pPr>
      <w:r>
        <w:t xml:space="preserve">This phenomenon integrates several streams of research that to the best of our knowledge have been treated separately so far: research on ambiguity in marketing, on cognitive load theory, and on consumer exposure and reactions to AI-generated content. Extending prior work on AI where origin is known or the variable in question, we study cases where humans face content that is neither declared AI or human or easily determined as one or the other.</w:t>
      </w:r>
    </w:p>
    <w:bookmarkEnd w:id="25"/>
    <w:bookmarkStart w:id="26" w:name="practical"/>
    <w:p>
      <w:pPr>
        <w:pStyle w:val="Heading2"/>
      </w:pPr>
      <w:r>
        <w:t xml:space="preserve">Practical</w:t>
      </w:r>
    </w:p>
    <w:p>
      <w:pPr>
        <w:pStyle w:val="FirstParagraph"/>
      </w:pPr>
      <w:r>
        <w:rPr>
          <w:i/>
          <w:iCs/>
        </w:rPr>
        <w:t xml:space="preserve">Origin ambiguity</w:t>
      </w:r>
      <w:r>
        <w:t xml:space="preserve"> </w:t>
      </w:r>
      <w:r>
        <w:t xml:space="preserve">holds implications for both marketers and consumers: For marketers, potential backfiring of AI generated ads as well as the resulting trade-offs with efficiency and effectiveness are relevant. For consumers, cognitive resource reallocation might come at the cost of informed decision-making.</w:t>
      </w:r>
    </w:p>
    <w:bookmarkEnd w:id="26"/>
    <w:bookmarkEnd w:id="27"/>
    <w:bookmarkStart w:id="32" w:name="research-plan"/>
    <w:p>
      <w:pPr>
        <w:pStyle w:val="Heading1"/>
      </w:pPr>
      <w:r>
        <w:t xml:space="preserve">Research Plan</w:t>
      </w:r>
    </w:p>
    <w:p>
      <w:pPr>
        <w:pStyle w:val="FirstParagraph"/>
      </w:pPr>
      <w:r>
        <w:t xml:space="preserve">Based on the existing literature, we suggest that when people are no longer sure if something has been generated by a human or by AI, they try to resolve this ambiguity. One possible strategy here is more elaboration on the origin and less deliberation on the content resulting in worsened information retention. Additionally or alternatively, we suggest that the ambiguity leads to a negative affective response.</w:t>
      </w:r>
      <w:r>
        <w:t xml:space="preserve"> </w:t>
      </w:r>
      <w:r>
        <w:t xml:space="preserve">Evidenced by previous research, we suggest that people only attempt to resolve ambiguity when they have sufficient motivation to do so, in other words when the stakes are high enough.</w:t>
      </w:r>
    </w:p>
    <w:tbl>
      <w:tblPr>
        <w:tblStyle w:val="Table"/>
        <w:tblW w:type="pct" w:w="5000"/>
        <w:tblLayout w:type="fixed"/>
        <w:tblLook w:firstRow="0" w:lastRow="0" w:firstColumn="0" w:lastColumn="0" w:noHBand="0" w:noVBand="0" w:val="0000"/>
      </w:tblPr>
      <w:tblGrid>
        <w:gridCol w:w="7920"/>
      </w:tblGrid>
      <w:tr>
        <w:tc>
          <w:tcPr/>
          <w:bookmarkStart w:id="31" w:name="fig-conceptual-model"/>
          <w:p>
            <w:pPr>
              <w:pStyle w:val="Compact"/>
              <w:jc w:val="center"/>
            </w:pPr>
            <w:r>
              <w:drawing>
                <wp:inline>
                  <wp:extent cx="5334000" cy="1882944"/>
                  <wp:effectExtent b="0" l="0" r="0" t="0"/>
                  <wp:docPr descr="" title="" id="29" name="Picture"/>
                  <a:graphic>
                    <a:graphicData uri="http://schemas.openxmlformats.org/drawingml/2006/picture">
                      <pic:pic>
                        <pic:nvPicPr>
                          <pic:cNvPr descr="conceptual_model.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188294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Model</w:t>
            </w:r>
          </w:p>
          <w:bookmarkEnd w:id="31"/>
        </w:tc>
      </w:tr>
    </w:tbl>
    <w:bookmarkEnd w:id="32"/>
    <w:bookmarkStart w:id="61" w:name="open-questions"/>
    <w:p>
      <w:pPr>
        <w:pStyle w:val="Heading1"/>
      </w:pPr>
      <w:r>
        <w:t xml:space="preserve">Open Questions</w:t>
      </w:r>
    </w:p>
    <w:p>
      <w:pPr>
        <w:pStyle w:val="Compact"/>
        <w:numPr>
          <w:ilvl w:val="0"/>
          <w:numId w:val="1001"/>
        </w:numPr>
      </w:pPr>
      <w:r>
        <w:t xml:space="preserve">Is this relevant and theoretically interesting enough in your eyes?</w:t>
      </w:r>
    </w:p>
    <w:p>
      <w:pPr>
        <w:pStyle w:val="Compact"/>
        <w:numPr>
          <w:ilvl w:val="0"/>
          <w:numId w:val="1001"/>
        </w:numPr>
      </w:pPr>
      <w:r>
        <w:t xml:space="preserve">We mainly believe the IV (origin ambiguity) is interesting to study. We’re less confident that what we propose downstream in terms of the ambiguity resolve strategy (cognitive resources allocated to origin vs content) is the best option available. Maybe you have other ideas what to look at?</w:t>
      </w:r>
    </w:p>
    <w:p>
      <w:pPr>
        <w:pStyle w:val="Compact"/>
        <w:numPr>
          <w:ilvl w:val="0"/>
          <w:numId w:val="1001"/>
        </w:numPr>
      </w:pPr>
      <w:r>
        <w:t xml:space="preserve">Methodically, one crucial question pertains to the operationalization of the IV. Put simply, people may simply not think about origin without a prompt to do so. Specifically, we were wondering how we can test an origin ambiguity IV</w:t>
      </w:r>
      <w:r>
        <w:t xml:space="preserve"> </w:t>
      </w:r>
      <w:r>
        <w:rPr>
          <w:i/>
          <w:iCs/>
        </w:rPr>
        <w:t xml:space="preserve">as it is naturally occuring</w:t>
      </w:r>
      <w:r>
        <w:t xml:space="preserve"> </w:t>
      </w:r>
      <w:r>
        <w:t xml:space="preserve">as opposed to pointing participants to the ambiguity of some content (which is then a confound).</w:t>
      </w:r>
    </w:p>
    <w:p>
      <w:pPr>
        <w:pStyle w:val="Compact"/>
        <w:numPr>
          <w:ilvl w:val="0"/>
          <w:numId w:val="1001"/>
        </w:numPr>
      </w:pPr>
      <w:r>
        <w:t xml:space="preserve">A second question to be discussed is whether or not to include the comparison of low origin-ambiguity materials that are clearly AI generated, or if it makes more sense to only compare against clearly human-generated material. (we’d probably need to do so at some point)</w:t>
      </w:r>
    </w:p>
    <w:bookmarkStart w:id="60" w:name="refs"/>
    <w:bookmarkStart w:id="33" w:name="X3e785ebb855ebbddcc2ccde2123026282db02c5"/>
    <w:p>
      <w:pPr>
        <w:pStyle w:val="Bibliography"/>
      </w:pPr>
      <w:r>
        <w:t xml:space="preserve">Bigman, Yochanan E. 2022.</w:t>
      </w:r>
      <w:r>
        <w:t xml:space="preserve"> </w:t>
      </w:r>
      <w:r>
        <w:t xml:space="preserve">“Algorithmic</w:t>
      </w:r>
      <w:r>
        <w:t xml:space="preserve"> </w:t>
      </w:r>
      <w:r>
        <w:t xml:space="preserve">Discrimination Causes Less Moral Outrage Than Human Discrimination</w:t>
      </w:r>
      <w:r>
        <w:t xml:space="preserve">.”</w:t>
      </w:r>
    </w:p>
    <w:bookmarkEnd w:id="33"/>
    <w:bookmarkStart w:id="35" w:name="ref-hagtvedtImpactIncompleteTypeface2011"/>
    <w:p>
      <w:pPr>
        <w:pStyle w:val="Bibliography"/>
      </w:pPr>
      <w:r>
        <w:t xml:space="preserve">Hagtvedt, Henrik. 2011.</w:t>
      </w:r>
      <w:r>
        <w:t xml:space="preserve"> </w:t>
      </w:r>
      <w:r>
        <w:t xml:space="preserve">“The</w:t>
      </w:r>
      <w:r>
        <w:t xml:space="preserve"> </w:t>
      </w:r>
      <w:r>
        <w:t xml:space="preserve">Impact</w:t>
      </w:r>
      <w:r>
        <w:t xml:space="preserve"> </w:t>
      </w:r>
      <w:r>
        <w:t xml:space="preserve">of</w:t>
      </w:r>
      <w:r>
        <w:t xml:space="preserve"> </w:t>
      </w:r>
      <w:r>
        <w:t xml:space="preserve">Incomplete Typeface Logos</w:t>
      </w:r>
      <w:r>
        <w:t xml:space="preserve"> </w:t>
      </w:r>
      <w:r>
        <w:t xml:space="preserve">on</w:t>
      </w:r>
      <w:r>
        <w:t xml:space="preserve"> </w:t>
      </w:r>
      <w:r>
        <w:t xml:space="preserve">Perceptions</w:t>
      </w:r>
      <w:r>
        <w:t xml:space="preserve"> </w:t>
      </w:r>
      <w:r>
        <w:t xml:space="preserve">of the</w:t>
      </w:r>
      <w:r>
        <w:t xml:space="preserve"> </w:t>
      </w:r>
      <w:r>
        <w:t xml:space="preserve">Firm</w:t>
      </w:r>
      <w:r>
        <w:t xml:space="preserve">.”</w:t>
      </w:r>
      <w:r>
        <w:t xml:space="preserve"> </w:t>
      </w:r>
      <w:r>
        <w:rPr>
          <w:i/>
          <w:iCs/>
        </w:rPr>
        <w:t xml:space="preserve">Journal of Marketing</w:t>
      </w:r>
      <w:r>
        <w:t xml:space="preserve"> </w:t>
      </w:r>
      <w:r>
        <w:t xml:space="preserve">75 (4): 86–93.</w:t>
      </w:r>
      <w:r>
        <w:t xml:space="preserve"> </w:t>
      </w:r>
      <w:hyperlink r:id="rId34">
        <w:r>
          <w:rPr>
            <w:rStyle w:val="Hyperlink"/>
          </w:rPr>
          <w:t xml:space="preserve">https://doi.org/10.1509/jmkg.75.4.86</w:t>
        </w:r>
      </w:hyperlink>
      <w:r>
        <w:t xml:space="preserve">.</w:t>
      </w:r>
    </w:p>
    <w:bookmarkEnd w:id="35"/>
    <w:bookmarkStart w:id="37" w:name="ref-hochConsumerLearningAdvertising1986"/>
    <w:p>
      <w:pPr>
        <w:pStyle w:val="Bibliography"/>
      </w:pPr>
      <w:r>
        <w:t xml:space="preserve">Hoch, Stephen J., and Young-Won Ha. 1986.</w:t>
      </w:r>
      <w:r>
        <w:t xml:space="preserve"> </w:t>
      </w:r>
      <w:r>
        <w:t xml:space="preserve">“Consumer</w:t>
      </w:r>
      <w:r>
        <w:t xml:space="preserve"> </w:t>
      </w:r>
      <w:r>
        <w:t xml:space="preserve">Learning</w:t>
      </w:r>
      <w:r>
        <w:t xml:space="preserve">:</w:t>
      </w:r>
      <w:r>
        <w:t xml:space="preserve"> </w:t>
      </w:r>
      <w:r>
        <w:t xml:space="preserve">Advertising</w:t>
      </w:r>
      <w:r>
        <w:t xml:space="preserve"> </w:t>
      </w:r>
      <w:r>
        <w:t xml:space="preserve">and the</w:t>
      </w:r>
      <w:r>
        <w:t xml:space="preserve"> </w:t>
      </w:r>
      <w:r>
        <w:t xml:space="preserve">Ambiguity</w:t>
      </w:r>
      <w:r>
        <w:t xml:space="preserve"> </w:t>
      </w:r>
      <w:r>
        <w:t xml:space="preserve">of</w:t>
      </w:r>
      <w:r>
        <w:t xml:space="preserve"> </w:t>
      </w:r>
      <w:r>
        <w:t xml:space="preserve">Product Experience</w:t>
      </w:r>
      <w:r>
        <w:t xml:space="preserve">.”</w:t>
      </w:r>
      <w:r>
        <w:t xml:space="preserve"> </w:t>
      </w:r>
      <w:r>
        <w:rPr>
          <w:i/>
          <w:iCs/>
        </w:rPr>
        <w:t xml:space="preserve">Journal of Consumer Research</w:t>
      </w:r>
      <w:r>
        <w:t xml:space="preserve"> </w:t>
      </w:r>
      <w:r>
        <w:t xml:space="preserve">13 (2): 221.</w:t>
      </w:r>
      <w:r>
        <w:t xml:space="preserve"> </w:t>
      </w:r>
      <w:hyperlink r:id="rId36">
        <w:r>
          <w:rPr>
            <w:rStyle w:val="Hyperlink"/>
          </w:rPr>
          <w:t xml:space="preserve">https://doi.org/10.1086/209062</w:t>
        </w:r>
      </w:hyperlink>
      <w:r>
        <w:t xml:space="preserve">.</w:t>
      </w:r>
    </w:p>
    <w:bookmarkEnd w:id="37"/>
    <w:bookmarkStart w:id="39" w:name="Xe8c757d5920a596db4ab549badbfe91342723e8"/>
    <w:p>
      <w:pPr>
        <w:pStyle w:val="Bibliography"/>
      </w:pPr>
      <w:r>
        <w:t xml:space="preserve">Howard, Matt C. 2017.</w:t>
      </w:r>
      <w:r>
        <w:t xml:space="preserve"> </w:t>
      </w:r>
      <w:r>
        <w:t xml:space="preserve">“Investigating the Simulation Elements of Environment and Control:</w:t>
      </w:r>
      <w:r>
        <w:t xml:space="preserve"> </w:t>
      </w:r>
      <w:r>
        <w:t xml:space="preserve">Extending</w:t>
      </w:r>
      <w:r>
        <w:t xml:space="preserve"> </w:t>
      </w:r>
      <w:r>
        <w:t xml:space="preserve">the</w:t>
      </w:r>
      <w:r>
        <w:t xml:space="preserve"> </w:t>
      </w:r>
      <w:r>
        <w:t xml:space="preserve">Uncanny Valley Theory</w:t>
      </w:r>
      <w:r>
        <w:t xml:space="preserve"> </w:t>
      </w:r>
      <w:r>
        <w:t xml:space="preserve">to Simulations.”</w:t>
      </w:r>
      <w:r>
        <w:t xml:space="preserve"> </w:t>
      </w:r>
      <w:r>
        <w:rPr>
          <w:i/>
          <w:iCs/>
        </w:rPr>
        <w:t xml:space="preserve">Computers &amp; Education</w:t>
      </w:r>
      <w:r>
        <w:t xml:space="preserve"> </w:t>
      </w:r>
      <w:r>
        <w:t xml:space="preserve">109 (June): 216–32.</w:t>
      </w:r>
      <w:r>
        <w:t xml:space="preserve"> </w:t>
      </w:r>
      <w:hyperlink r:id="rId38">
        <w:r>
          <w:rPr>
            <w:rStyle w:val="Hyperlink"/>
          </w:rPr>
          <w:t xml:space="preserve">https://doi.org/10.1016/j.compedu.2017.03.005</w:t>
        </w:r>
      </w:hyperlink>
      <w:r>
        <w:t xml:space="preserve">.</w:t>
      </w:r>
    </w:p>
    <w:bookmarkEnd w:id="39"/>
    <w:bookmarkStart w:id="40" w:name="X8be185ab9b039370759c24bc59ee20ca8557f4f"/>
    <w:p>
      <w:pPr>
        <w:pStyle w:val="Bibliography"/>
      </w:pPr>
      <w:r>
        <w:t xml:space="preserve">Johar, Gita Venkataramani. 1995.</w:t>
      </w:r>
      <w:r>
        <w:t xml:space="preserve"> </w:t>
      </w:r>
      <w:r>
        <w:t xml:space="preserve">“Consumer</w:t>
      </w:r>
      <w:r>
        <w:t xml:space="preserve"> </w:t>
      </w:r>
      <w:r>
        <w:t xml:space="preserve">Involvement</w:t>
      </w:r>
      <w:r>
        <w:t xml:space="preserve"> </w:t>
      </w:r>
      <w:r>
        <w:t xml:space="preserve">and</w:t>
      </w:r>
      <w:r>
        <w:t xml:space="preserve"> </w:t>
      </w:r>
      <w:r>
        <w:t xml:space="preserve">Deception</w:t>
      </w:r>
      <w:r>
        <w:t xml:space="preserve"> </w:t>
      </w:r>
      <w:r>
        <w:t xml:space="preserve">from</w:t>
      </w:r>
      <w:r>
        <w:t xml:space="preserve"> </w:t>
      </w:r>
      <w:r>
        <w:t xml:space="preserve">Implied Advertising Claims</w:t>
      </w:r>
      <w:r>
        <w:t xml:space="preserve">.”</w:t>
      </w:r>
      <w:r>
        <w:t xml:space="preserve"> </w:t>
      </w:r>
      <w:r>
        <w:rPr>
          <w:i/>
          <w:iCs/>
        </w:rPr>
        <w:t xml:space="preserve">JOURNAL OF MARKETING RESEARCH</w:t>
      </w:r>
      <w:r>
        <w:t xml:space="preserve">.</w:t>
      </w:r>
    </w:p>
    <w:bookmarkEnd w:id="40"/>
    <w:bookmarkStart w:id="42" w:name="X4f84f3c1bffed53d4aaceb7ee072a9fb961e663"/>
    <w:p>
      <w:pPr>
        <w:pStyle w:val="Bibliography"/>
      </w:pPr>
      <w:r>
        <w:t xml:space="preserve">Kovacheva, Aleksandra, and Hristina Nikolova. 2024.</w:t>
      </w:r>
      <w:r>
        <w:t xml:space="preserve"> </w:t>
      </w:r>
      <w:r>
        <w:t xml:space="preserve">“Uncertainty Marketing Tactics:</w:t>
      </w:r>
      <w:r>
        <w:t xml:space="preserve"> </w:t>
      </w:r>
      <w:r>
        <w:t xml:space="preserve">An</w:t>
      </w:r>
      <w:r>
        <w:t xml:space="preserve"> </w:t>
      </w:r>
      <w:r>
        <w:t xml:space="preserve">Overview and a Unifying Framework.”</w:t>
      </w:r>
      <w:r>
        <w:t xml:space="preserve"> </w:t>
      </w:r>
      <w:r>
        <w:rPr>
          <w:i/>
          <w:iCs/>
        </w:rPr>
        <w:t xml:space="preserve">Journal of the Academy of Marketing Science</w:t>
      </w:r>
      <w:r>
        <w:t xml:space="preserve"> </w:t>
      </w:r>
      <w:r>
        <w:t xml:space="preserve">52 (1): 1–22.</w:t>
      </w:r>
      <w:r>
        <w:t xml:space="preserve"> </w:t>
      </w:r>
      <w:hyperlink r:id="rId41">
        <w:r>
          <w:rPr>
            <w:rStyle w:val="Hyperlink"/>
          </w:rPr>
          <w:t xml:space="preserve">https://doi.org/10.1007/s11747-023-00941-7</w:t>
        </w:r>
      </w:hyperlink>
      <w:r>
        <w:t xml:space="preserve">.</w:t>
      </w:r>
    </w:p>
    <w:bookmarkEnd w:id="42"/>
    <w:bookmarkStart w:id="44" w:name="ref-milickaHumansCanLearn2025"/>
    <w:p>
      <w:pPr>
        <w:pStyle w:val="Bibliography"/>
      </w:pPr>
      <w:r>
        <w:t xml:space="preserve">Milička, Jiří, Anna Marklová, Ondřej Drobil, and Eva Pospíšilová. 2025.</w:t>
      </w:r>
      <w:r>
        <w:t xml:space="preserve"> </w:t>
      </w:r>
      <w:r>
        <w:t xml:space="preserve">“Humans Can Learn to Detect</w:t>
      </w:r>
      <w:r>
        <w:t xml:space="preserve"> </w:t>
      </w:r>
      <w:r>
        <w:t xml:space="preserve">AI-generated</w:t>
      </w:r>
      <w:r>
        <w:t xml:space="preserve"> </w:t>
      </w:r>
      <w:r>
        <w:t xml:space="preserve">Texts, or at Least Learn When They Can’t.”</w:t>
      </w:r>
      <w:r>
        <w:t xml:space="preserve"> </w:t>
      </w:r>
      <w:r>
        <w:rPr>
          <w:i/>
          <w:iCs/>
        </w:rPr>
        <w:t xml:space="preserve">PLOS One</w:t>
      </w:r>
      <w:r>
        <w:t xml:space="preserve"> </w:t>
      </w:r>
      <w:r>
        <w:t xml:space="preserve">20 (10): e0333007.</w:t>
      </w:r>
      <w:r>
        <w:t xml:space="preserve"> </w:t>
      </w:r>
      <w:hyperlink r:id="rId43">
        <w:r>
          <w:rPr>
            <w:rStyle w:val="Hyperlink"/>
          </w:rPr>
          <w:t xml:space="preserve">https://doi.org/10.1371/journal.pone.0333007</w:t>
        </w:r>
      </w:hyperlink>
      <w:r>
        <w:t xml:space="preserve">.</w:t>
      </w:r>
    </w:p>
    <w:bookmarkEnd w:id="44"/>
    <w:bookmarkStart w:id="46" w:name="ref-moriUncannyValleyField2012"/>
    <w:p>
      <w:pPr>
        <w:pStyle w:val="Bibliography"/>
      </w:pPr>
      <w:r>
        <w:t xml:space="preserve">Mori, Masahiro, Karl MacDorman, and Norri Kageki. 2012.</w:t>
      </w:r>
      <w:r>
        <w:t xml:space="preserve"> </w:t>
      </w:r>
      <w:r>
        <w:t xml:space="preserve">“The</w:t>
      </w:r>
      <w:r>
        <w:t xml:space="preserve"> </w:t>
      </w:r>
      <w:r>
        <w:t xml:space="preserve">Uncanny Valley</w:t>
      </w:r>
      <w:r>
        <w:t xml:space="preserve"> </w:t>
      </w:r>
      <w:r>
        <w:t xml:space="preserve">[</w:t>
      </w:r>
      <w:r>
        <w:t xml:space="preserve">From</w:t>
      </w:r>
      <w:r>
        <w:t xml:space="preserve"> </w:t>
      </w:r>
      <w:r>
        <w:t xml:space="preserve">the</w:t>
      </w:r>
      <w:r>
        <w:t xml:space="preserve"> </w:t>
      </w:r>
      <w:r>
        <w:t xml:space="preserve">Field</w:t>
      </w:r>
      <w:r>
        <w:t xml:space="preserve">].”</w:t>
      </w:r>
      <w:r>
        <w:t xml:space="preserve"> </w:t>
      </w:r>
      <w:r>
        <w:rPr>
          <w:i/>
          <w:iCs/>
        </w:rPr>
        <w:t xml:space="preserve">IEEE Robotics &amp; Automation Magazine</w:t>
      </w:r>
      <w:r>
        <w:t xml:space="preserve"> </w:t>
      </w:r>
      <w:r>
        <w:t xml:space="preserve">19 (2): 98–100.</w:t>
      </w:r>
      <w:r>
        <w:t xml:space="preserve"> </w:t>
      </w:r>
      <w:hyperlink r:id="rId45">
        <w:r>
          <w:rPr>
            <w:rStyle w:val="Hyperlink"/>
          </w:rPr>
          <w:t xml:space="preserve">https://doi.org/10.1109/MRA.2012.2192811</w:t>
        </w:r>
      </w:hyperlink>
      <w:r>
        <w:t xml:space="preserve">.</w:t>
      </w:r>
    </w:p>
    <w:bookmarkEnd w:id="46"/>
    <w:bookmarkStart w:id="48" w:name="X2c7e3457ceebb7e0037ba6b501c3d6459886eef"/>
    <w:p>
      <w:pPr>
        <w:pStyle w:val="Bibliography"/>
      </w:pPr>
      <w:r>
        <w:t xml:space="preserve">Muthukrishnan, A. V., Luc Wathieu, and Alison Jing Xu. 2009.</w:t>
      </w:r>
      <w:r>
        <w:t xml:space="preserve"> </w:t>
      </w:r>
      <w:r>
        <w:t xml:space="preserve">“Ambiguity</w:t>
      </w:r>
      <w:r>
        <w:t xml:space="preserve"> </w:t>
      </w:r>
      <w:r>
        <w:t xml:space="preserve">Aversion</w:t>
      </w:r>
      <w:r>
        <w:t xml:space="preserve"> </w:t>
      </w:r>
      <w:r>
        <w:t xml:space="preserve">and the</w:t>
      </w:r>
      <w:r>
        <w:t xml:space="preserve"> </w:t>
      </w:r>
      <w:r>
        <w:t xml:space="preserve">Preference</w:t>
      </w:r>
      <w:r>
        <w:t xml:space="preserve"> </w:t>
      </w:r>
      <w:r>
        <w:t xml:space="preserve">for</w:t>
      </w:r>
      <w:r>
        <w:t xml:space="preserve"> </w:t>
      </w:r>
      <w:r>
        <w:t xml:space="preserve">Established Brands</w:t>
      </w:r>
      <w:r>
        <w:t xml:space="preserve">.”</w:t>
      </w:r>
      <w:r>
        <w:t xml:space="preserve"> </w:t>
      </w:r>
      <w:r>
        <w:rPr>
          <w:i/>
          <w:iCs/>
        </w:rPr>
        <w:t xml:space="preserve">Management Science</w:t>
      </w:r>
      <w:r>
        <w:t xml:space="preserve"> </w:t>
      </w:r>
      <w:r>
        <w:t xml:space="preserve">55 (12): 1933–41.</w:t>
      </w:r>
      <w:r>
        <w:t xml:space="preserve"> </w:t>
      </w:r>
      <w:hyperlink r:id="rId47">
        <w:r>
          <w:rPr>
            <w:rStyle w:val="Hyperlink"/>
          </w:rPr>
          <w:t xml:space="preserve">https://doi.org/10.1287/mnsc.1090.1087</w:t>
        </w:r>
      </w:hyperlink>
      <w:r>
        <w:t xml:space="preserve">.</w:t>
      </w:r>
    </w:p>
    <w:bookmarkEnd w:id="48"/>
    <w:bookmarkStart w:id="50" w:name="ref-peracchioHowAmbiguousCropped1994"/>
    <w:p>
      <w:pPr>
        <w:pStyle w:val="Bibliography"/>
      </w:pPr>
      <w:r>
        <w:t xml:space="preserve">Peracchio, Laura A., and Joan Meyers-Levy. 1994.</w:t>
      </w:r>
      <w:r>
        <w:t xml:space="preserve"> </w:t>
      </w:r>
      <w:r>
        <w:t xml:space="preserve">“How</w:t>
      </w:r>
      <w:r>
        <w:t xml:space="preserve"> </w:t>
      </w:r>
      <w:r>
        <w:t xml:space="preserve">Ambiguous Cropped Objects</w:t>
      </w:r>
      <w:r>
        <w:t xml:space="preserve"> </w:t>
      </w:r>
      <w:r>
        <w:t xml:space="preserve">in</w:t>
      </w:r>
      <w:r>
        <w:t xml:space="preserve"> </w:t>
      </w:r>
      <w:r>
        <w:t xml:space="preserve">Ad Photos</w:t>
      </w:r>
      <w:r>
        <w:t xml:space="preserve"> </w:t>
      </w:r>
      <w:r>
        <w:t xml:space="preserve">Can</w:t>
      </w:r>
      <w:r>
        <w:t xml:space="preserve"> </w:t>
      </w:r>
      <w:r>
        <w:t xml:space="preserve">Affect Product Evaluations</w:t>
      </w:r>
      <w:r>
        <w:t xml:space="preserve">.”</w:t>
      </w:r>
      <w:r>
        <w:t xml:space="preserve"> </w:t>
      </w:r>
      <w:r>
        <w:rPr>
          <w:i/>
          <w:iCs/>
        </w:rPr>
        <w:t xml:space="preserve">Journal of Consumer Research</w:t>
      </w:r>
      <w:r>
        <w:t xml:space="preserve"> </w:t>
      </w:r>
      <w:r>
        <w:t xml:space="preserve">21 (1): 190.</w:t>
      </w:r>
      <w:r>
        <w:t xml:space="preserve"> </w:t>
      </w:r>
      <w:hyperlink r:id="rId49">
        <w:r>
          <w:rPr>
            <w:rStyle w:val="Hyperlink"/>
          </w:rPr>
          <w:t xml:space="preserve">https://doi.org/10.1086/209392</w:t>
        </w:r>
      </w:hyperlink>
      <w:r>
        <w:t xml:space="preserve">.</w:t>
      </w:r>
    </w:p>
    <w:bookmarkEnd w:id="50"/>
    <w:bookmarkStart w:id="52" w:name="Xaf3226c9478161af886585bacea96e360b18a49"/>
    <w:p>
      <w:pPr>
        <w:pStyle w:val="Bibliography"/>
      </w:pPr>
      <w:r>
        <w:t xml:space="preserve">Porter, Brian, and Edouard Machery. 2024.</w:t>
      </w:r>
      <w:r>
        <w:t xml:space="preserve"> </w:t>
      </w:r>
      <w:r>
        <w:t xml:space="preserve">“</w:t>
      </w:r>
      <w:r>
        <w:t xml:space="preserve">AI-generated</w:t>
      </w:r>
      <w:r>
        <w:t xml:space="preserve"> </w:t>
      </w:r>
      <w:r>
        <w:t xml:space="preserve">Poetry Is Indistinguishable from Human-Written Poetry and Is Rated More Favorably.”</w:t>
      </w:r>
      <w:r>
        <w:t xml:space="preserve"> </w:t>
      </w:r>
      <w:r>
        <w:rPr>
          <w:i/>
          <w:iCs/>
        </w:rPr>
        <w:t xml:space="preserve">Scientific Reports</w:t>
      </w:r>
      <w:r>
        <w:t xml:space="preserve"> </w:t>
      </w:r>
      <w:r>
        <w:t xml:space="preserve">14 (1): 26133.</w:t>
      </w:r>
      <w:r>
        <w:t xml:space="preserve"> </w:t>
      </w:r>
      <w:hyperlink r:id="rId51">
        <w:r>
          <w:rPr>
            <w:rStyle w:val="Hyperlink"/>
          </w:rPr>
          <w:t xml:space="preserve">https://doi.org/10.1038/s41598-024-76900-1</w:t>
        </w:r>
      </w:hyperlink>
      <w:r>
        <w:t xml:space="preserve">.</w:t>
      </w:r>
    </w:p>
    <w:bookmarkEnd w:id="52"/>
    <w:bookmarkStart w:id="54" w:name="ref-shinUncannyValleyNo2019"/>
    <w:p>
      <w:pPr>
        <w:pStyle w:val="Bibliography"/>
      </w:pPr>
      <w:r>
        <w:t xml:space="preserve">Shin, Mincheol, Se Jung Kim, and Frank Biocca. 2019.</w:t>
      </w:r>
      <w:r>
        <w:t xml:space="preserve"> </w:t>
      </w:r>
      <w:r>
        <w:t xml:space="preserve">“The Uncanny Valley:</w:t>
      </w:r>
      <w:r>
        <w:t xml:space="preserve"> </w:t>
      </w:r>
      <w:r>
        <w:t xml:space="preserve">No</w:t>
      </w:r>
      <w:r>
        <w:t xml:space="preserve"> </w:t>
      </w:r>
      <w:r>
        <w:t xml:space="preserve">Need for Any Further Judgments When an Avatar Looks Eerie.”</w:t>
      </w:r>
      <w:r>
        <w:t xml:space="preserve"> </w:t>
      </w:r>
      <w:r>
        <w:rPr>
          <w:i/>
          <w:iCs/>
        </w:rPr>
        <w:t xml:space="preserve">Computers in Human Behavior</w:t>
      </w:r>
      <w:r>
        <w:t xml:space="preserve"> </w:t>
      </w:r>
      <w:r>
        <w:t xml:space="preserve">94 (May): 100–109.</w:t>
      </w:r>
      <w:r>
        <w:t xml:space="preserve"> </w:t>
      </w:r>
      <w:hyperlink r:id="rId53">
        <w:r>
          <w:rPr>
            <w:rStyle w:val="Hyperlink"/>
          </w:rPr>
          <w:t xml:space="preserve">https://doi.org/10.1016/j.chb.2019.01.016</w:t>
        </w:r>
      </w:hyperlink>
      <w:r>
        <w:t xml:space="preserve">.</w:t>
      </w:r>
    </w:p>
    <w:bookmarkEnd w:id="54"/>
    <w:bookmarkStart w:id="56" w:name="Xeab4481eafa53fd578408e4aae6417321c44db9"/>
    <w:p>
      <w:pPr>
        <w:pStyle w:val="Bibliography"/>
      </w:pPr>
      <w:r>
        <w:t xml:space="preserve">Tao, Yayi, Guangli Zhang, Di Zhang, Fang Wang, Yun Zhou, and Tao Xu. 2022.</w:t>
      </w:r>
      <w:r>
        <w:t xml:space="preserve"> </w:t>
      </w:r>
      <w:r>
        <w:t xml:space="preserve">“Exploring</w:t>
      </w:r>
      <w:r>
        <w:t xml:space="preserve"> </w:t>
      </w:r>
      <w:r>
        <w:t xml:space="preserve">Persona Characteristics</w:t>
      </w:r>
      <w:r>
        <w:t xml:space="preserve"> </w:t>
      </w:r>
      <w:r>
        <w:t xml:space="preserve">in</w:t>
      </w:r>
      <w:r>
        <w:t xml:space="preserve"> </w:t>
      </w:r>
      <w:r>
        <w:t xml:space="preserve">Learning</w:t>
      </w:r>
      <w:r>
        <w:t xml:space="preserve">:</w:t>
      </w:r>
      <w:r>
        <w:t xml:space="preserve"> </w:t>
      </w:r>
      <w:r>
        <w:t xml:space="preserve">A Review Study</w:t>
      </w:r>
      <w:r>
        <w:t xml:space="preserve"> </w:t>
      </w:r>
      <w:r>
        <w:t xml:space="preserve">of</w:t>
      </w:r>
      <w:r>
        <w:t xml:space="preserve"> </w:t>
      </w:r>
      <w:r>
        <w:t xml:space="preserve">Pedagogical Agents</w:t>
      </w:r>
      <w:r>
        <w:t xml:space="preserve">.”</w:t>
      </w:r>
      <w:r>
        <w:t xml:space="preserve"> </w:t>
      </w:r>
      <w:r>
        <w:rPr>
          <w:i/>
          <w:iCs/>
        </w:rPr>
        <w:t xml:space="preserve">Procedia Computer Science</w:t>
      </w:r>
      <w:r>
        <w:t xml:space="preserve"> </w:t>
      </w:r>
      <w:r>
        <w:t xml:space="preserve">201: 87–94.</w:t>
      </w:r>
      <w:r>
        <w:t xml:space="preserve"> </w:t>
      </w:r>
      <w:hyperlink r:id="rId55">
        <w:r>
          <w:rPr>
            <w:rStyle w:val="Hyperlink"/>
          </w:rPr>
          <w:t xml:space="preserve">https://doi.org/10.1016/j.procs.2022.03.014</w:t>
        </w:r>
      </w:hyperlink>
      <w:r>
        <w:t xml:space="preserve">.</w:t>
      </w:r>
    </w:p>
    <w:bookmarkEnd w:id="56"/>
    <w:bookmarkStart w:id="58" w:name="ref-vukojicicImitationDrawingCan2023"/>
    <w:p>
      <w:pPr>
        <w:pStyle w:val="Bibliography"/>
      </w:pPr>
      <w:r>
        <w:t xml:space="preserve">Vukojičić, Milić, Jovana Krstić, and Mladen Veinović. 2023.</w:t>
      </w:r>
      <w:r>
        <w:t xml:space="preserve"> </w:t>
      </w:r>
      <w:r>
        <w:t xml:space="preserve">“Imitation</w:t>
      </w:r>
      <w:r>
        <w:t xml:space="preserve"> </w:t>
      </w:r>
      <w:r>
        <w:t xml:space="preserve">Drawing</w:t>
      </w:r>
      <w:r>
        <w:t xml:space="preserve">:</w:t>
      </w:r>
      <w:r>
        <w:t xml:space="preserve"> </w:t>
      </w:r>
      <w:r>
        <w:t xml:space="preserve">Can We Spot</w:t>
      </w:r>
      <w:r>
        <w:t xml:space="preserve"> </w:t>
      </w:r>
      <w:r>
        <w:t xml:space="preserve">the</w:t>
      </w:r>
      <w:r>
        <w:t xml:space="preserve"> </w:t>
      </w:r>
      <w:r>
        <w:t xml:space="preserve">Difference Between Ai</w:t>
      </w:r>
      <w:r>
        <w:t xml:space="preserve"> </w:t>
      </w:r>
      <w:r>
        <w:t xml:space="preserve">and</w:t>
      </w:r>
      <w:r>
        <w:t xml:space="preserve"> </w:t>
      </w:r>
      <w:r>
        <w:t xml:space="preserve">Human Generated Drawing</w:t>
      </w:r>
      <w:r>
        <w:t xml:space="preserve">?”</w:t>
      </w:r>
      <w:r>
        <w:t xml:space="preserve"> In</w:t>
      </w:r>
      <w:r>
        <w:t xml:space="preserve"> </w:t>
      </w:r>
      <w:r>
        <w:rPr>
          <w:i/>
          <w:iCs/>
        </w:rPr>
        <w:t xml:space="preserve">Proceedings of the</w:t>
      </w:r>
      <w:r>
        <w:rPr>
          <w:i/>
          <w:iCs/>
        </w:rPr>
        <w:t xml:space="preserve"> </w:t>
      </w:r>
      <w:r>
        <w:rPr>
          <w:i/>
          <w:iCs/>
        </w:rPr>
        <w:t xml:space="preserve">International Scientific Conference</w:t>
      </w:r>
      <w:r>
        <w:rPr>
          <w:i/>
          <w:iCs/>
        </w:rPr>
        <w:t xml:space="preserve"> </w:t>
      </w:r>
      <w:r>
        <w:rPr>
          <w:i/>
          <w:iCs/>
        </w:rPr>
        <w:t xml:space="preserve">-</w:t>
      </w:r>
      <w:r>
        <w:rPr>
          <w:i/>
          <w:iCs/>
        </w:rPr>
        <w:t xml:space="preserve"> </w:t>
      </w:r>
      <w:r>
        <w:rPr>
          <w:i/>
          <w:iCs/>
        </w:rPr>
        <w:t xml:space="preserve">Sinteza</w:t>
      </w:r>
      <w:r>
        <w:rPr>
          <w:i/>
          <w:iCs/>
        </w:rPr>
        <w:t xml:space="preserve"> </w:t>
      </w:r>
      <w:r>
        <w:rPr>
          <w:i/>
          <w:iCs/>
        </w:rPr>
        <w:t xml:space="preserve">2023</w:t>
      </w:r>
      <w:r>
        <w:t xml:space="preserve">, 23–27. Beograd, Serbia: Singidunum University.</w:t>
      </w:r>
      <w:r>
        <w:t xml:space="preserve"> </w:t>
      </w:r>
      <w:hyperlink r:id="rId57">
        <w:r>
          <w:rPr>
            <w:rStyle w:val="Hyperlink"/>
          </w:rPr>
          <w:t xml:space="preserve">https://doi.org/10.15308/Sinteza-2023-23-27</w:t>
        </w:r>
      </w:hyperlink>
      <w:r>
        <w:t xml:space="preserve">.</w:t>
      </w:r>
    </w:p>
    <w:bookmarkEnd w:id="58"/>
    <w:bookmarkStart w:id="59" w:name="Xc6c577270cf1fb17121d5c242f24e1bede46eaf"/>
    <w:p>
      <w:pPr>
        <w:pStyle w:val="Bibliography"/>
      </w:pPr>
      <w:r>
        <w:t xml:space="preserve">Yi, Youjae. 1993.</w:t>
      </w:r>
      <w:r>
        <w:t xml:space="preserve"> </w:t>
      </w:r>
      <w:r>
        <w:t xml:space="preserve">“The</w:t>
      </w:r>
      <w:r>
        <w:t xml:space="preserve"> </w:t>
      </w:r>
      <w:r>
        <w:t xml:space="preserve">Determinants</w:t>
      </w:r>
      <w:r>
        <w:t xml:space="preserve"> </w:t>
      </w:r>
      <w:r>
        <w:t xml:space="preserve">of</w:t>
      </w:r>
      <w:r>
        <w:t xml:space="preserve"> </w:t>
      </w:r>
      <w:r>
        <w:t xml:space="preserve">Consumer Satisfaction</w:t>
      </w:r>
      <w:r>
        <w:t xml:space="preserve">:</w:t>
      </w:r>
      <w:r>
        <w:t xml:space="preserve"> </w:t>
      </w:r>
      <w:r>
        <w:t xml:space="preserve">The Moderating Role</w:t>
      </w:r>
      <w:r>
        <w:t xml:space="preserve"> </w:t>
      </w:r>
      <w:r>
        <w:t xml:space="preserve">of</w:t>
      </w:r>
      <w:r>
        <w:t xml:space="preserve"> </w:t>
      </w:r>
      <w:r>
        <w:t xml:space="preserve">Ambiguity</w:t>
      </w:r>
      <w:r>
        <w:t xml:space="preserve">.”</w:t>
      </w:r>
      <w:r>
        <w:t xml:space="preserve"> </w:t>
      </w:r>
      <w:r>
        <w:rPr>
          <w:i/>
          <w:iCs/>
        </w:rPr>
        <w:t xml:space="preserve">Advances in Consumer Research</w:t>
      </w:r>
      <w:r>
        <w:t xml:space="preserve"> </w:t>
      </w:r>
      <w:r>
        <w:t xml:space="preserve">20: 502–8.</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svg" /><Relationship Type="http://schemas.openxmlformats.org/officeDocument/2006/relationships/hyperlink" Id="rId41" Target="https://doi.org/10.1007/s11747-023-00941-7" TargetMode="External" /><Relationship Type="http://schemas.openxmlformats.org/officeDocument/2006/relationships/hyperlink" Id="rId53" Target="https://doi.org/10.1016/j.chb.2019.01.016" TargetMode="External" /><Relationship Type="http://schemas.openxmlformats.org/officeDocument/2006/relationships/hyperlink" Id="rId38" Target="https://doi.org/10.1016/j.compedu.2017.03.005" TargetMode="External" /><Relationship Type="http://schemas.openxmlformats.org/officeDocument/2006/relationships/hyperlink" Id="rId55" Target="https://doi.org/10.1016/j.procs.2022.03.014" TargetMode="External" /><Relationship Type="http://schemas.openxmlformats.org/officeDocument/2006/relationships/hyperlink" Id="rId51" Target="https://doi.org/10.1038/s41598-024-76900-1" TargetMode="External" /><Relationship Type="http://schemas.openxmlformats.org/officeDocument/2006/relationships/hyperlink" Id="rId36" Target="https://doi.org/10.1086/209062" TargetMode="External" /><Relationship Type="http://schemas.openxmlformats.org/officeDocument/2006/relationships/hyperlink" Id="rId49" Target="https://doi.org/10.1086/209392" TargetMode="External" /><Relationship Type="http://schemas.openxmlformats.org/officeDocument/2006/relationships/hyperlink" Id="rId45" Target="https://doi.org/10.1109/MRA.2012.2192811" TargetMode="External" /><Relationship Type="http://schemas.openxmlformats.org/officeDocument/2006/relationships/hyperlink" Id="rId47" Target="https://doi.org/10.1287/mnsc.1090.1087" TargetMode="External" /><Relationship Type="http://schemas.openxmlformats.org/officeDocument/2006/relationships/hyperlink" Id="rId43" Target="https://doi.org/10.1371/journal.pone.0333007" TargetMode="External" /><Relationship Type="http://schemas.openxmlformats.org/officeDocument/2006/relationships/hyperlink" Id="rId34" Target="https://doi.org/10.1509/jmkg.75.4.86" TargetMode="External" /><Relationship Type="http://schemas.openxmlformats.org/officeDocument/2006/relationships/hyperlink" Id="rId57" Target="https://doi.org/10.15308/Sinteza-2023-23-27" TargetMode="External" /><Relationship Type="http://schemas.openxmlformats.org/officeDocument/2006/relationships/hyperlink" Id="rId21" Target="https://www.reddit.com/r/RealOrAI/"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s11747-023-00941-7" TargetMode="External" /><Relationship Type="http://schemas.openxmlformats.org/officeDocument/2006/relationships/hyperlink" Id="rId53" Target="https://doi.org/10.1016/j.chb.2019.01.016" TargetMode="External" /><Relationship Type="http://schemas.openxmlformats.org/officeDocument/2006/relationships/hyperlink" Id="rId38" Target="https://doi.org/10.1016/j.compedu.2017.03.005" TargetMode="External" /><Relationship Type="http://schemas.openxmlformats.org/officeDocument/2006/relationships/hyperlink" Id="rId55" Target="https://doi.org/10.1016/j.procs.2022.03.014" TargetMode="External" /><Relationship Type="http://schemas.openxmlformats.org/officeDocument/2006/relationships/hyperlink" Id="rId51" Target="https://doi.org/10.1038/s41598-024-76900-1" TargetMode="External" /><Relationship Type="http://schemas.openxmlformats.org/officeDocument/2006/relationships/hyperlink" Id="rId36" Target="https://doi.org/10.1086/209062" TargetMode="External" /><Relationship Type="http://schemas.openxmlformats.org/officeDocument/2006/relationships/hyperlink" Id="rId49" Target="https://doi.org/10.1086/209392" TargetMode="External" /><Relationship Type="http://schemas.openxmlformats.org/officeDocument/2006/relationships/hyperlink" Id="rId45" Target="https://doi.org/10.1109/MRA.2012.2192811" TargetMode="External" /><Relationship Type="http://schemas.openxmlformats.org/officeDocument/2006/relationships/hyperlink" Id="rId47" Target="https://doi.org/10.1287/mnsc.1090.1087" TargetMode="External" /><Relationship Type="http://schemas.openxmlformats.org/officeDocument/2006/relationships/hyperlink" Id="rId43" Target="https://doi.org/10.1371/journal.pone.0333007" TargetMode="External" /><Relationship Type="http://schemas.openxmlformats.org/officeDocument/2006/relationships/hyperlink" Id="rId34" Target="https://doi.org/10.1509/jmkg.75.4.86" TargetMode="External" /><Relationship Type="http://schemas.openxmlformats.org/officeDocument/2006/relationships/hyperlink" Id="rId57" Target="https://doi.org/10.15308/Sinteza-2023-23-27" TargetMode="External" /><Relationship Type="http://schemas.openxmlformats.org/officeDocument/2006/relationships/hyperlink" Id="rId21" Target="https://www.reddit.com/r/RealOr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 Ambiguity</dc:title>
  <dc:creator>Sabou Rani Stocker</dc:creator>
  <cp:keywords/>
  <dcterms:created xsi:type="dcterms:W3CDTF">2025-12-02T09:27:04Z</dcterms:created>
  <dcterms:modified xsi:type="dcterms:W3CDTF">2025-12-02T09:27:04Z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
    <vt:lpwstr>2025-11-21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