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C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نتائج محضر الملاحظات </w:t>
      </w:r>
      <w:r>
        <w:rPr>
          <w:rFonts w:ascii="Arial" w:hAnsi="Arial" w:cs="Arial" w:eastAsia="Arial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17</w:t>
      </w:r>
      <w:r>
        <w:rPr>
          <w:rFonts w:ascii="Arial" w:hAnsi="Arial" w:cs="Arial" w:eastAsia="Arial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09</w:t>
      </w:r>
      <w:r>
        <w:rPr>
          <w:rFonts w:ascii="Arial" w:hAnsi="Arial" w:cs="Arial" w:eastAsia="Arial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C00000"/>
          <w:spacing w:val="0"/>
          <w:position w:val="0"/>
          <w:sz w:val="28"/>
          <w:u w:val="single"/>
          <w:shd w:fill="auto" w:val="clear"/>
        </w:rPr>
        <w:t xml:space="preserve">2019</w:t>
      </w:r>
    </w:p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الشكاوى والمقترحات</w:t>
      </w:r>
    </w:p>
    <w:tbl>
      <w:tblPr>
        <w:bidiVisual w:val="true"/>
        <w:tblInd w:w="720" w:type="dxa"/>
      </w:tblPr>
      <w:tblGrid>
        <w:gridCol w:w="4416"/>
        <w:gridCol w:w="4440"/>
      </w:tblGrid>
      <w:tr>
        <w:trPr>
          <w:trHeight w:val="1" w:hRule="atLeast"/>
          <w:jc w:val="left"/>
        </w:trPr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البورتال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الأدمن</w:t>
            </w:r>
          </w:p>
        </w:tc>
      </w:tr>
      <w:tr>
        <w:trPr>
          <w:trHeight w:val="1" w:hRule="atLeast"/>
          <w:jc w:val="left"/>
        </w:trPr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إضافة حقل لإدخال عنوان الشكوى ويجب إدخالها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6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ترجمة شكاوى ومقترحات في قائمة التصنيفات الإنجليزية لتكون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suggestions and complains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00FF00" w:val="clear"/>
              </w:rPr>
              <w:t xml:space="preserve">Doaa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- create column in DB: title (vchar),read (int 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- 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tabs>
                <w:tab w:val="right" w:pos="157" w:leader="none"/>
                <w:tab w:val="right" w:pos="624" w:leader="none"/>
              </w:tabs>
              <w:bidi w:val="true"/>
              <w:spacing w:before="100" w:after="0" w:line="240"/>
              <w:ind w:right="0" w:left="337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إظهار رقم الشكوى في جدول العرض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8"/>
              </w:numPr>
              <w:tabs>
                <w:tab w:val="right" w:pos="157" w:leader="none"/>
                <w:tab w:val="right" w:pos="624" w:leader="none"/>
              </w:tabs>
              <w:bidi w:val="true"/>
              <w:spacing w:before="100" w:after="0" w:line="240"/>
              <w:ind w:right="0" w:left="337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إضافة عنوان للشكوى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8"/>
              </w:numPr>
              <w:tabs>
                <w:tab w:val="right" w:pos="157" w:leader="none"/>
                <w:tab w:val="right" w:pos="624" w:leader="none"/>
              </w:tabs>
              <w:bidi w:val="true"/>
              <w:spacing w:before="100" w:after="0" w:line="240"/>
              <w:ind w:right="0" w:left="337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إظهار عنوان الشكوى في خانة البيان ، وبالضغط عليه يظهر نافذة بها تفاصيل الشكوى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8"/>
              </w:numPr>
              <w:tabs>
                <w:tab w:val="right" w:pos="157" w:leader="none"/>
                <w:tab w:val="right" w:pos="624" w:leader="none"/>
              </w:tabs>
              <w:bidi w:val="true"/>
              <w:spacing w:before="100" w:after="0" w:line="240"/>
              <w:ind w:right="0" w:left="337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تمييز ما تم قرآته عن ما لم يتم قرآته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8"/>
              </w:numPr>
              <w:tabs>
                <w:tab w:val="right" w:pos="157" w:leader="none"/>
                <w:tab w:val="right" w:pos="624" w:leader="none"/>
              </w:tabs>
              <w:bidi w:val="true"/>
              <w:spacing w:before="100" w:after="0" w:line="240"/>
              <w:ind w:right="0" w:left="337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عند عمل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refresh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 للصفحة يتم استحداث البيانات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8"/>
              </w:numPr>
              <w:tabs>
                <w:tab w:val="right" w:pos="157" w:leader="none"/>
                <w:tab w:val="right" w:pos="624" w:leader="none"/>
              </w:tabs>
              <w:bidi w:val="true"/>
              <w:spacing w:before="100" w:after="0" w:line="240"/>
              <w:ind w:right="0" w:left="337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جدول العرض مرتب إفتراضياً بالأحدث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: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- add key= new beside unread msg (read=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- onclick on title , will set read=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تسجيل الدخول</w:t>
      </w:r>
    </w:p>
    <w:tbl>
      <w:tblPr>
        <w:bidiVisual w:val="true"/>
        <w:tblInd w:w="720" w:type="dxa"/>
      </w:tblPr>
      <w:tblGrid>
        <w:gridCol w:w="8838"/>
      </w:tblGrid>
      <w:tr>
        <w:trPr>
          <w:trHeight w:val="1" w:hRule="atLeast"/>
          <w:jc w:val="left"/>
        </w:trPr>
        <w:tc>
          <w:tcPr>
            <w:tcW w:w="8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الأدمن</w:t>
            </w:r>
          </w:p>
        </w:tc>
      </w:tr>
      <w:tr>
        <w:trPr>
          <w:trHeight w:val="1" w:hRule="atLeast"/>
          <w:jc w:val="left"/>
        </w:trPr>
        <w:tc>
          <w:tcPr>
            <w:tcW w:w="8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إمكانية إظهار الباسورد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عند الخطا في الدخول لا يتم الإنتقال إلى البورتال ، ويتم إظهار رسالة تحذيرية بخطأ في الدخول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لا يمكن تغير الباسورد او إضافة مستخدم جديد أو تحديد صلاحيات للمستخدم 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سوف يتم ذلك في مرحلة لاحقة بتحليل وتصميم وتكلفة إضافية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shd w:fill="auto" w:val="clear"/>
              </w:rPr>
              <w:t xml:space="preserve">).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00FF00" w:val="clear"/>
              </w:rPr>
              <w:t xml:space="preserve">Doaa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التصنيفات</w:t>
      </w:r>
    </w:p>
    <w:tbl>
      <w:tblPr>
        <w:bidiVisual w:val="true"/>
        <w:tblInd w:w="720" w:type="dxa"/>
      </w:tblPr>
      <w:tblGrid>
        <w:gridCol w:w="4500"/>
        <w:gridCol w:w="4338"/>
      </w:tblGrid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البورتال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الأدمن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تغير أيكون ملفات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PDF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 لأنه يتم تحميل كل أنواع الملفات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00FF00" w:val="clear"/>
              </w:rPr>
              <w:t xml:space="preserve">Doaa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قائمة الوظائف للتصنيفات الفرعية يجب أن تظهر دائما خارج إطار ال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scrollbar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00FF" w:val="clear"/>
              </w:rPr>
              <w:t xml:space="preserve">Shimaa</w:t>
            </w:r>
          </w:p>
          <w:p>
            <w:pPr>
              <w:numPr>
                <w:ilvl w:val="0"/>
                <w:numId w:val="2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إضافة أيكون للملفات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الصور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الموضوعات للدلالة على ما تم تسجيله على التصنيف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مثل الحالي في البورتال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).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00FF00" w:val="clear"/>
              </w:rPr>
              <w:t xml:space="preserve">Doaa</w:t>
            </w:r>
          </w:p>
          <w:p>
            <w:pPr>
              <w:numPr>
                <w:ilvl w:val="0"/>
                <w:numId w:val="2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تفعيل مسار التصنيف الذي يظهر أعلى صفحة الملفات والموضوعات والصور ليتم الرجوع به لشجرة التصنيفات وتكون مفتوحة على التصنيف الرئيسي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00FF00" w:val="clear"/>
              </w:rPr>
              <w:t xml:space="preserve">Doaa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parent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الملفات</w:t>
      </w:r>
    </w:p>
    <w:tbl>
      <w:tblPr>
        <w:bidiVisual w:val="true"/>
        <w:tblInd w:w="720" w:type="dxa"/>
      </w:tblPr>
      <w:tblGrid>
        <w:gridCol w:w="4500"/>
        <w:gridCol w:w="4338"/>
      </w:tblGrid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البورتال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الأدمن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تكبير حجم نافذة عرض الملفات لزيادة المساحة المعروض فيها اسماء الملفات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6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ملفات التصنيفات المعتمدة تظهر في النسخة الإنجليزية ولا تظهر في النسخة العربية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6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في حالة الملفات المرتبطة بملفات أخرى ، فعند حذف او تعديل الملف المرتبط فإن النظام دائما يعرض النسخة الأقدم حتى لو كانت محذوفة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FF00" w:val="clear"/>
              </w:rPr>
              <w:t xml:space="preserve">إمكانية تحميل كل الأنواع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8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FF00" w:val="clear"/>
              </w:rPr>
              <w:t xml:space="preserve">عند إعتماد ملفات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FF00" w:val="clear"/>
              </w:rPr>
              <w:t xml:space="preserve">/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FF00" w:val="clear"/>
              </w:rPr>
              <w:t xml:space="preserve">صور تصنيف ما ، فإنه يلغي إعتماد سابق للتصنيفات الأخرى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FF00" w:val="clear"/>
              </w:rPr>
              <w:t xml:space="preserve">.</w:t>
            </w:r>
          </w:p>
          <w:p>
            <w:p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</w:tc>
      </w:tr>
    </w:tbl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شريط الأخبار</w:t>
      </w:r>
    </w:p>
    <w:tbl>
      <w:tblPr>
        <w:bidiVisual w:val="true"/>
        <w:tblInd w:w="720" w:type="dxa"/>
      </w:tblPr>
      <w:tblGrid>
        <w:gridCol w:w="4500"/>
        <w:gridCol w:w="4338"/>
      </w:tblGrid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البورتال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الأدمن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فصل بين الأخبار بصورة مثل المستخدمة في الرسالة الهامة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المسافات البينية في الرسالة زيادة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المسافات البينية في الرسالة زيادة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</w:tc>
      </w:tr>
    </w:tbl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الصور</w:t>
      </w:r>
    </w:p>
    <w:tbl>
      <w:tblPr>
        <w:bidiVisual w:val="true"/>
        <w:tblInd w:w="720" w:type="dxa"/>
      </w:tblPr>
      <w:tblGrid>
        <w:gridCol w:w="8838"/>
      </w:tblGrid>
      <w:tr>
        <w:trPr>
          <w:trHeight w:val="1" w:hRule="atLeast"/>
          <w:jc w:val="left"/>
        </w:trPr>
        <w:tc>
          <w:tcPr>
            <w:tcW w:w="8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الأدمن</w:t>
            </w:r>
          </w:p>
        </w:tc>
      </w:tr>
      <w:tr>
        <w:trPr>
          <w:trHeight w:val="1" w:hRule="atLeast"/>
          <w:jc w:val="left"/>
        </w:trPr>
        <w:tc>
          <w:tcPr>
            <w:tcW w:w="8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إمكانية تحميل كل الأنواع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جربته ع صورتين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jpeg ,png</w:t>
            </w:r>
          </w:p>
          <w:p>
            <w:pPr>
              <w:numPr>
                <w:ilvl w:val="0"/>
                <w:numId w:val="5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لا يقبل تحميل أكثر من صورة معا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5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تصحيح مسار الصورة عند الضغط عليها لتكون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portal not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localhost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</w:tc>
      </w:tr>
    </w:tbl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رسالة الترحيب</w:t>
      </w:r>
    </w:p>
    <w:tbl>
      <w:tblPr>
        <w:bidiVisual w:val="true"/>
        <w:tblInd w:w="720" w:type="dxa"/>
      </w:tblPr>
      <w:tblGrid>
        <w:gridCol w:w="4500"/>
        <w:gridCol w:w="4338"/>
      </w:tblGrid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البورتال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الأدمن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لا تظهر في النسخة الانجليزية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FF00" w:val="clear"/>
              </w:rPr>
              <w:t xml:space="preserve">فقط نرفع الملف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FF00" w:val="clear"/>
              </w:rPr>
              <w:t xml:space="preserve">index</w:t>
            </w:r>
          </w:p>
          <w:p>
            <w:p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</w:pPr>
          </w:p>
          <w:p>
            <w:p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يمكن إدخال رسالة بتاريخ يقع خلال فترة مسجلة من قبل لرسالة غير معتمدة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67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الرسالة التحذيرية تكون باللغة العربية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(var from resource bandel)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</w:tc>
      </w:tr>
    </w:tbl>
    <w:p>
      <w:pPr>
        <w:keepNext w:val="true"/>
        <w:keepLines w:val="true"/>
        <w:bidi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ملاحظات عامة على البورتال والأدمن</w:t>
      </w:r>
    </w:p>
    <w:tbl>
      <w:tblPr>
        <w:bidiVisual w:val="true"/>
        <w:tblInd w:w="720" w:type="dxa"/>
      </w:tblPr>
      <w:tblGrid>
        <w:gridCol w:w="8838"/>
      </w:tblGrid>
      <w:tr>
        <w:trPr>
          <w:trHeight w:val="1" w:hRule="atLeast"/>
          <w:jc w:val="left"/>
        </w:trPr>
        <w:tc>
          <w:tcPr>
            <w:tcW w:w="8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الأرقام يجب أن تظهر حسب اللغة عربي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إنجليزي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00FF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00FF" w:val="clear"/>
              </w:rPr>
              <w:t xml:space="preserve">Shimaa</w:t>
            </w:r>
          </w:p>
          <w:p>
            <w:pPr>
              <w:numPr>
                <w:ilvl w:val="0"/>
                <w:numId w:val="72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إتجاه الكتابة وعرضها يجب أن يتوافق مع لغة الكتابة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00FF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FF00FF" w:val="clear"/>
              </w:rPr>
              <w:t xml:space="preserve">Shimaa</w:t>
            </w:r>
          </w:p>
          <w:p>
            <w:p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4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إمكانية ترتيب الملفات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الصور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الموضوعات في الأدمن</w:t>
            </w:r>
            <w:r>
              <w:rPr>
                <w:rFonts w:ascii="Helvetica" w:hAnsi="Helvetica" w:cs="Helvetica" w:eastAsia="Helvetica"/>
                <w:strike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بأسهم </w:t>
            </w:r>
            <w:r>
              <w:rPr>
                <w:rFonts w:ascii="Helvetica" w:hAnsi="Helvetica" w:cs="Helvetica" w:eastAsia="Helvetica"/>
                <w:strike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up/down</w:t>
            </w:r>
            <w:r>
              <w:rPr>
                <w:rFonts w:ascii="Helvetica" w:hAnsi="Helvetica" w:cs="Helvetica" w:eastAsia="Helvetica"/>
                <w:strike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مثل ترتيب التصنيفات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  <w:p>
            <w:pPr>
              <w:numPr>
                <w:ilvl w:val="0"/>
                <w:numId w:val="74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عرض الملفات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الصور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الموضوعات في البورتال مرتبة حسب التسلسل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  <w:p>
            <w:p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6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القائمة الرئيسية للبورتال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إستبدال كلمة إنجليزي إلى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English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  <w:p>
            <w:pPr>
              <w:numPr>
                <w:ilvl w:val="0"/>
                <w:numId w:val="76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القائمة الرئيسية للأدمن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عند إختيار اللغة العربية ، يجب تمييز رابط عربي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  <w:p>
            <w:p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8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تعديل اسم الموقع من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Kandil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steel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egypt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الى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Kandil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Steel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Helvetica" w:hAnsi="Helvetica" w:cs="Helvetica" w:eastAsia="Helvetica"/>
                <w:color w:val="1F497D"/>
                <w:spacing w:val="0"/>
                <w:position w:val="0"/>
                <w:sz w:val="22"/>
                <w:shd w:fill="FFFFFF" w:val="clear"/>
              </w:rPr>
              <w:t xml:space="preserve">  </w:t>
            </w:r>
            <w:r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  <w:p>
            <w:pPr>
              <w:numPr>
                <w:ilvl w:val="0"/>
                <w:numId w:val="78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تذييل الموقع يكون بلغة واحدة عربي وحذف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Copyright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2019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Helvetica" w:hAnsi="Helvetica" w:cs="Helvetica" w:eastAsia="Helvetica"/>
                <w:color w:val="00B050"/>
                <w:spacing w:val="0"/>
                <w:position w:val="0"/>
                <w:sz w:val="22"/>
                <w:u w:val="single"/>
                <w:shd w:fill="00FFFF" w:val="clear"/>
              </w:rPr>
              <w:t xml:space="preserve">Sabreen</w:t>
            </w:r>
          </w:p>
          <w:p>
            <w:p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80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محاولة الغاء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port number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 من عنوان التطبيق ليكون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00FF00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00FF00" w:val="clear"/>
              </w:rPr>
              <w:t xml:space="preserve">Doaa</w:t>
            </w:r>
          </w:p>
          <w:p>
            <w:pPr>
              <w:tabs>
                <w:tab w:val="right" w:pos="157" w:leader="none"/>
                <w:tab w:val="right" w:pos="360" w:leader="none"/>
              </w:tabs>
              <w:spacing w:before="100" w:after="0" w:line="240"/>
              <w:ind w:right="0" w:left="9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Helvetica" w:hAnsi="Helvetica" w:cs="Helvetica" w:eastAsia="Helvetic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http://portal/ks</w:t>
              </w:r>
            </w:hyperlink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 , not </w:t>
            </w:r>
            <w:hyperlink xmlns:r="http://schemas.openxmlformats.org/officeDocument/2006/relationships" r:id="docRId1">
              <w:r>
                <w:rPr>
                  <w:rFonts w:ascii="Helvetica" w:hAnsi="Helvetica" w:cs="Helvetica" w:eastAsia="Helvetic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http://portal:</w:t>
              </w:r>
              <w:r>
                <w:rPr>
                  <w:rFonts w:ascii="Helvetica" w:hAnsi="Helvetica" w:cs="Helvetica" w:eastAsia="Helvetic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8080</w:t>
              </w:r>
              <w:r>
                <w:rPr>
                  <w:rFonts w:ascii="Helvetica" w:hAnsi="Helvetica" w:cs="Helvetica" w:eastAsia="Helvetic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/ks</w:t>
              </w:r>
            </w:hyperlink>
          </w:p>
          <w:p>
            <w:pPr>
              <w:numPr>
                <w:ilvl w:val="0"/>
                <w:numId w:val="82"/>
              </w:numPr>
              <w:tabs>
                <w:tab w:val="right" w:pos="157" w:leader="none"/>
                <w:tab w:val="right" w:pos="360" w:leader="none"/>
              </w:tabs>
              <w:bidi w:val="true"/>
              <w:spacing w:before="100" w:after="0" w:line="240"/>
              <w:ind w:right="0" w:left="9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shd w:fill="auto" w:val="clear"/>
              </w:rPr>
              <w:t xml:space="preserve">تفعيل نتائج البحث لتسهيل الوصول للتصنيفات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2"/>
                <w:u w:val="single"/>
                <w:shd w:fill="00FF00" w:val="clear"/>
              </w:rPr>
              <w:t xml:space="preserve">Doaa</w:t>
            </w:r>
          </w:p>
        </w:tc>
      </w:tr>
    </w:tbl>
    <w:p>
      <w:pPr>
        <w:keepNext w:val="true"/>
        <w:keepLines w:val="true"/>
        <w:bidi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6">
    <w:abstractNumId w:val="102"/>
  </w:num>
  <w:num w:numId="8">
    <w:abstractNumId w:val="96"/>
  </w:num>
  <w:num w:numId="17">
    <w:abstractNumId w:val="90"/>
  </w:num>
  <w:num w:numId="25">
    <w:abstractNumId w:val="84"/>
  </w:num>
  <w:num w:numId="27">
    <w:abstractNumId w:val="78"/>
  </w:num>
  <w:num w:numId="36">
    <w:abstractNumId w:val="72"/>
  </w:num>
  <w:num w:numId="38">
    <w:abstractNumId w:val="66"/>
  </w:num>
  <w:num w:numId="47">
    <w:abstractNumId w:val="60"/>
  </w:num>
  <w:num w:numId="49">
    <w:abstractNumId w:val="54"/>
  </w:num>
  <w:num w:numId="57">
    <w:abstractNumId w:val="48"/>
  </w:num>
  <w:num w:numId="65">
    <w:abstractNumId w:val="42"/>
  </w:num>
  <w:num w:numId="67">
    <w:abstractNumId w:val="36"/>
  </w:num>
  <w:num w:numId="72">
    <w:abstractNumId w:val="30"/>
  </w:num>
  <w:num w:numId="74">
    <w:abstractNumId w:val="24"/>
  </w:num>
  <w:num w:numId="76">
    <w:abstractNumId w:val="18"/>
  </w:num>
  <w:num w:numId="78">
    <w:abstractNumId w:val="12"/>
  </w:num>
  <w:num w:numId="80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ortal/ks" Id="docRId0" Type="http://schemas.openxmlformats.org/officeDocument/2006/relationships/hyperlink" /><Relationship TargetMode="External" Target="http://portal:8080/k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