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SWOT Analizi — Panel Ebatlama ve Robotik İstifleme Hattı (Siber Dayanıklılık &amp; Safety)</w:t>
      </w:r>
    </w:p>
    <w:p>
      <w:pPr/>
      <w:r>
        <w:t xml:space="preserve">Oct 30, 2026</w:t>
      </w:r>
      <w:r>
        <w:t xml:space="preserve"> · </w:t>
      </w:r>
      <w:r>
        <w:t xml:space="preserve">@Sabri</w:t>
      </w:r>
    </w:p>
    <w:p>
      <w:pPr/>
      <w:r>
        <w:t xml:space="preserve">Hat, insanı koruyan emniyet mimarisi açısından güçlü; aslı risk, bu mimarinin uzak erişim, düz ağ ve imzasız reçete üzerinden dolaylı bozulabilmesidir. 2026–2027 mevzuat takvimi bu açıkları pazarlama sorunu olmaktan çıkarıp satış koşuluna çeviriyor.</w:t>
      </w:r>
    </w:p>
    <w:p>
      <w:pPr>
        <w:pStyle w:val="Heading2"/>
      </w:pPr>
      <w:r>
        <w:t xml:space="preserve">Yönetici özeti</w:t>
      </w:r>
    </w:p>
    <w:p>
      <w:pPr>
        <w:pStyle w:val="ListParagraph"/>
        <w:numPr>
          <w:ilvl w:val="0"/>
          <w:numId w:val="2"/>
        </w:numPr>
      </w:pPr>
      <w:r>
        <w:rPr>
          <w:b/>
          <w:bCs/>
        </w:rPr>
        <w:t xml:space="preserve">En yüksek risk:</w:t>
      </w:r>
      <w:r>
        <w:t xml:space="preserve"> Açık uzak bakım erişimi üzerinden Safety PLC parametrelerini bozup kapıyı testere dönerken açtırma senaryosu (Lab 3, skor 18, Kritik). İmalat, fidye yazılımında en çok hedeflenen sektörlerin başında; imalata yönelik fidye saldırıları 2025'te %61 arttı.</w:t>
      </w:r>
    </w:p>
    <w:p>
      <w:pPr>
        <w:pStyle w:val="ListParagraph"/>
        <w:numPr>
          <w:ilvl w:val="0"/>
          <w:numId w:val="2"/>
        </w:numPr>
      </w:pPr>
      <w:r>
        <w:rPr>
          <w:b/>
          <w:bCs/>
        </w:rPr>
        <w:t xml:space="preserve">Takvim sıkışıyor:</w:t>
      </w:r>
      <w:r>
        <w:t xml:space="preserve"> CRA raporlama yükümlülükleri 11 Eylül 2026'da başladı; Makine Tüzüğü'nün siber maddeleri 20 Ocak 2027'de, CRA'nın tamamı 11 Aralık 2027'de geçerli olur. Türkiye'de eşdeğer yönetmelik 16 Ekim 2026'da yayımlandı.</w:t>
      </w:r>
    </w:p>
    <w:p>
      <w:pPr>
        <w:pStyle w:val="ListParagraph"/>
        <w:numPr>
          <w:ilvl w:val="0"/>
          <w:numId w:val="2"/>
        </w:numPr>
      </w:pPr>
      <w:r>
        <w:rPr>
          <w:b/>
          <w:bCs/>
        </w:rPr>
        <w:t xml:space="preserve">Pazar büyüyor ama rekabet sert:</w:t>
      </w:r>
      <w:r>
        <w:t xml:space="preserve"> Panel testere pazarı 2025'te yaklaşık 1,65 milyar $, 2035'te 2,77 milyar $. Türk ağaç işleme makinesi ihracatı 10 yılda 6,5 kat arttı (2023: 160 milyon $), ancak dünya pazarındaki payı yaklaşık %2.</w:t>
      </w:r>
    </w:p>
    <w:p>
      <w:pPr>
        <w:pStyle w:val="ListParagraph"/>
        <w:numPr>
          <w:ilvl w:val="0"/>
          <w:numId w:val="2"/>
        </w:numPr>
      </w:pPr>
      <w:r>
        <w:rPr>
          <w:b/>
          <w:bCs/>
        </w:rPr>
        <w:t xml:space="preserve">Fark yaratma fırsatı:</w:t>
      </w:r>
      <w:r>
        <w:t xml:space="preserve"> Rakip HOMAG güvenli bağlantıyı platformuna gömmüş durumda; IEC 62443 eşlemeli, belgeli bir güvenlik dosyası Türk üreticiyi fiyat dışında ayırabilir.</w:t>
      </w:r>
    </w:p>
    <w:p>
      <w:pPr>
        <w:pStyle w:val="ListParagraph"/>
        <w:numPr>
          <w:ilvl w:val="0"/>
          <w:numId w:val="2"/>
        </w:numPr>
      </w:pPr>
      <w:r>
        <w:rPr>
          <w:b/>
          <w:bCs/>
        </w:rPr>
        <w:t xml:space="preserve">İlk üç eylem (90 gün):</w:t>
      </w:r>
      <w:r>
        <w:t xml:space="preserve"> Uzak erişimi VPN + MFA + jump server arkasına alıp varsayılan kapalı yapmak; Safety PLC ve robot parametrelerine ağdan yazmayı kapatmak; USB ve mühendislik dizüstünü ayırmak.</w:t>
      </w:r>
    </w:p>
    <w:p>
      <w:pPr/>
      <w:r>
        <w:drawing>
          <wp:inline distT="0" distB="0" distL="0" distR="0">
            <wp:extent cx="5486400" cy="2996292"/>
            <wp:docPr id="1" name="image1" descr="SWOT matrisi · 4 kutu, her kutuda 5 ana madde"/>
            <a:graphic xmlns:a="http://schemas.openxmlformats.org/drawingml/2006/main">
              <a:graphicData uri="http://schemas.openxmlformats.org/drawingml/2006/picture">
                <pic:pic xmlns:pic="http://schemas.openxmlformats.org/drawingml/2006/picture">
                  <pic:nvPicPr>
                    <pic:cNvPr id="1" name="image1" descr="SWOT matrisi · 4 kutu, her kutuda 5 ana madde"/>
                    <pic:cNvPicPr/>
                  </pic:nvPicPr>
                  <pic:blipFill>
                    <a:blip r:embed="rId3"/>
                    <a:stretch>
                      <a:fillRect/>
                    </a:stretch>
                  </pic:blipFill>
                  <pic:spPr>
                    <a:xfrm>
                      <a:off x="0" y="0"/>
                      <a:ext cx="5486400" cy="2996292"/>
                    </a:xfrm>
                    <a:prstGeom prst="rect">
                      <a:avLst/>
                    </a:prstGeom>
                  </pic:spPr>
                </pic:pic>
              </a:graphicData>
            </a:graphic>
          </wp:inline>
        </w:drawing>
      </w:r>
    </w:p>
    <w:p>
      <w:pPr/>
      <w:r>
        <w:t xml:space="preserve">SWOT matrisi · 4 kutu, her kutuda 5 ana madde</w:t>
      </w:r>
    </w:p>
    <w:p>
      <w:pPr/>
      <w:r>
        <w:t xml:space="preserve">Matris, aşağıdaki dört SWOT tablosunun özetidir; parantezdeki kodlar tablolardaki maddelere atıf yapar. Vurgulu kutu (zayıf yönler) analizin ana bulgusudur.</w:t>
      </w:r>
    </w:p>
    <w:p>
      <w:pPr>
        <w:pStyle w:val="Heading2"/>
      </w:pPr>
      <w:r>
        <w:t xml:space="preserve">Kapsam ve yöntem</w:t>
      </w:r>
    </w:p>
    <w:p>
      <w:pPr/>
      <w:r>
        <w:t xml:space="preserve">Bu analiz, AİMSAD üyesi bir üreticinin otomatik ahşap ebatlama (panel beam saw) ve robotik istifleme hattını </w:t>
      </w:r>
      <w:r>
        <w:rPr>
          <w:b/>
          <w:bCs/>
        </w:rPr>
        <w:t xml:space="preserve">siber dayanıklılık ve functional safety</w:t>
      </w:r>
      <w:r>
        <w:t xml:space="preserve"> açısından değerlendirir; ders projesindeki Lab 1–5 çıktılarıyla birebir tutarlıdır.</w:t>
      </w:r>
    </w:p>
    <w:p>
      <w:pPr/>
      <w:r>
        <w:rPr>
          <w:b/>
          <w:bCs/>
        </w:rPr>
        <w:t xml:space="preserve">Değerlendirilen sistem:</w:t>
      </w:r>
      <w:r>
        <w:t xml:space="preserve"> 4000+ d/dk dairesel testere, baskı kirişi ve itme kolu (pusher), 50–100 kg panel taşıyan vakumlu robot. Koruma zinciri ışık bariyeri, kapı kilidi, vakum izleme ve alan tarayıcıdan Safety PLC (PROFIsafe) üzerinden STO'ya gider. Hat; MES/ERP ve CAD/CAM yazılımından XML/G-kodu reçete alır ve (varsayım) internete açık bir uzak bakım erişimi vardır.</w:t>
      </w:r>
    </w:p>
    <w:p>
      <w:pPr/>
      <w:r>
        <w:rPr>
          <w:b/>
          <w:bCs/>
        </w:rPr>
        <w:t xml:space="preserve">Yöntem:</w:t>
      </w:r>
      <w:r>
        <w:t xml:space="preserve"> İç etkenler (S, W) makinenin mimarisinden ve Lab bulgularından, dış etkenler (O, T) mevzuat, standart, tehdit istihbaratı ve pazar kaynaklarından çıkarıldı. Her madde, hakkında kaynak bulunduğunda bağlantıyla verildi; kaynak yerine mimari çıkarımdan gelen maddeler "Lab bulgusu" veya "çıkarım" olarak işaretlendi.</w:t>
      </w:r>
    </w:p>
    <w:p>
      <w:pPr/>
      <w:r>
        <w:rPr>
          <w:b/>
          <w:bCs/>
        </w:rPr>
        <w:t xml:space="preserve">Ek çerçeveler:</w:t>
      </w:r>
      <w:r>
        <w:t xml:space="preserve"> Dış çevre PESTEL ile, rekabet oyuncu grupları üzerinden ve mevzuat tarihleri bir takvimle ele alındı; tüm maddeler SWOT kodlarıyla (S1–T10) eşlendi ve TOWS stratejilerine bağlanır.</w:t>
      </w:r>
    </w:p>
    <w:p>
      <w:pPr/>
      <w:r>
        <w:rPr>
          <w:b/>
          <w:bCs/>
        </w:rPr>
        <w:t xml:space="preserve">Sınırlar:</w:t>
      </w:r>
      <w:r>
        <w:t xml:space="preserve"> Üretici dokümanı ve gerçek saha verisi olmadığı için emniyet donanımı ve bağlantı ayrıntıları tipik bir mimari varsayımıdır. Bu çalışma resmî bir denetim veya uygunluk değerlendirmesi değildir.</w:t>
      </w:r>
    </w:p>
    <w:p>
      <w:pPr>
        <w:pStyle w:val="Heading2"/>
      </w:pPr>
      <w:r>
        <w:t xml:space="preserve">Mevzuat takvimi</w:t>
      </w:r>
    </w:p>
    <w:p>
      <w:pPr/>
      <w:r>
        <w:t xml:space="preserve">Hat için en yakın zorunlu eşik 20 Ocak 2027'de uygulanmaya başlayan Makine Tüzüğü, CRA'nın raporlama yükümlülükleri ise 11 Eylül 2026'dan beri yürürlükte.</w:t>
      </w:r>
    </w:p>
    <w:p>
      <w:pPr/>
      <w:r>
        <w:drawing>
          <wp:inline distT="0" distB="0" distL="0" distR="0">
            <wp:extent cx="5486400" cy="2563585"/>
            <wp:docPr id="2" name="image2" descr="mevzuat takvimi · 7 tarih, bugün işaretli"/>
            <a:graphic xmlns:a="http://schemas.openxmlformats.org/drawingml/2006/main">
              <a:graphicData uri="http://schemas.openxmlformats.org/drawingml/2006/picture">
                <pic:pic xmlns:pic="http://schemas.openxmlformats.org/drawingml/2006/picture">
                  <pic:nvPicPr>
                    <pic:cNvPr id="2" name="image2" descr="mevzuat takvimi · 7 tarih, bugün işaretli"/>
                    <pic:cNvPicPr/>
                  </pic:nvPicPr>
                  <pic:blipFill>
                    <a:blip r:embed="rId4"/>
                    <a:stretch>
                      <a:fillRect/>
                    </a:stretch>
                  </pic:blipFill>
                  <pic:spPr>
                    <a:xfrm>
                      <a:off x="0" y="0"/>
                      <a:ext cx="5486400" cy="2563585"/>
                    </a:xfrm>
                    <a:prstGeom prst="rect">
                      <a:avLst/>
                    </a:prstGeom>
                  </pic:spPr>
                </pic:pic>
              </a:graphicData>
            </a:graphic>
          </wp:inline>
        </w:drawing>
      </w:r>
    </w:p>
    <w:p>
      <w:pPr/>
      <w:r>
        <w:t xml:space="preserve">mevzuat takvimi · 7 tarih, bugün işaretli</w:t>
      </w:r>
    </w:p>
    <w:p>
      <w:pPr/>
      <w:r>
        <w:t xml:space="preserve">Tarihler </w:t>
      </w:r>
      <w:hyperlink r:id="rId5" w:history="1">
        <w:r>
          <w:rPr>
            <w:rStyle w:val="Hyperlink"/>
          </w:rPr>
          <w:t xml:space="preserve">AB Komisyonu</w:t>
        </w:r>
      </w:hyperlink>
      <w:r>
        <w:t xml:space="preserve">, </w:t>
      </w:r>
      <w:hyperlink r:id="rId6" w:history="1">
        <w:r>
          <w:rPr>
            <w:rStyle w:val="Hyperlink"/>
          </w:rPr>
          <w:t xml:space="preserve">Bluefruit</w:t>
        </w:r>
      </w:hyperlink>
      <w:r>
        <w:t xml:space="preserve">, </w:t>
      </w:r>
      <w:hyperlink r:id="rId7" w:history="1">
        <w:r>
          <w:rPr>
            <w:rStyle w:val="Hyperlink"/>
          </w:rPr>
          <w:t xml:space="preserve">Alomaliye</w:t>
        </w:r>
      </w:hyperlink>
      <w:r>
        <w:t xml:space="preserve"> ve </w:t>
      </w:r>
      <w:hyperlink r:id="rId8" w:history="1">
        <w:r>
          <w:rPr>
            <w:rStyle w:val="Hyperlink"/>
          </w:rPr>
          <w:t xml:space="preserve">Köksal Hukuk</w:t>
        </w:r>
      </w:hyperlink>
      <w:r>
        <w:t xml:space="preserve"> sayfalarından alındı; 7545 sayılı Kanun için gösterilen tarih Resmî Gazete yayım tarihidir.</w:t>
      </w:r>
    </w:p>
    <w:p>
      <w:pPr>
        <w:pStyle w:val="Heading2"/>
      </w:pPr>
      <w:r>
        <w:t xml:space="preserve">Pazar ve rekabet konumu</w:t>
      </w:r>
    </w:p>
    <w:p>
      <w:pPr/>
      <w:r>
        <w:t xml:space="preserve">Dünya ağaç işleme makinesi pazarının yaklaşık %80'i Çin, Almanya ve İtalya'da; Türk üreticilerin payı yaklaşık %2 ve fiyat avantajı maliyet artışıyla eriyor. En az bir büyük rakip, güvenli bağlantıyı platformunun parçası yapmış durumda.</w:t>
      </w:r>
    </w:p>
    <w:tbl>
      <w:tblPr>
        <w:tblStyle w:val="TableGrid"/>
        <w:tblW w:w="0" w:type="auto"/>
        <w:tblLayout w:type="fixed"/>
        <w:tblLook w:val="04A0" w:firstRow="1" w:lastRow="0" w:firstColumn="0" w:lastColumn="0" w:noHBand="0" w:noVBand="1"/>
      </w:tblPr>
      <w:tblGrid>
        <w:gridCol w:w="1718"/>
        <w:gridCol w:w="2990"/>
        <w:gridCol w:w="3426"/>
        <w:gridCol w:w="1225"/>
      </w:tblGrid>
      <w:tr>
        <w:trPr>
          <w:tblHeader/>
        </w:trPr>
        <w:tc>
          <w:tcPr>
            <w:tcW w:w="1718" w:type="dxa"/>
            <w:shd w:val="clear" w:color="auto" w:fill="F2F2F2"/>
          </w:tcPr>
          <w:p>
            <w:pPr/>
            <w:r>
              <w:t xml:space="preserve">Oyuncu grubu</w:t>
            </w:r>
          </w:p>
        </w:tc>
        <w:tc>
          <w:tcPr>
            <w:tcW w:w="2990" w:type="dxa"/>
            <w:shd w:val="clear" w:color="auto" w:fill="F2F2F2"/>
          </w:tcPr>
          <w:p>
            <w:pPr/>
            <w:r>
              <w:t xml:space="preserve">Konum</w:t>
            </w:r>
          </w:p>
        </w:tc>
        <w:tc>
          <w:tcPr>
            <w:tcW w:w="3426" w:type="dxa"/>
            <w:shd w:val="clear" w:color="auto" w:fill="F2F2F2"/>
          </w:tcPr>
          <w:p>
            <w:pPr/>
            <w:r>
              <w:t xml:space="preserve">Güvenlik ve bağlantı duruşu</w:t>
            </w:r>
          </w:p>
        </w:tc>
        <w:tc>
          <w:tcPr>
            <w:tcW w:w="1225" w:type="dxa"/>
            <w:shd w:val="clear" w:color="auto" w:fill="F2F2F2"/>
          </w:tcPr>
          <w:p>
            <w:pPr/>
            <w:r>
              <w:t xml:space="preserve">Kaynak</w:t>
            </w:r>
          </w:p>
        </w:tc>
      </w:tr>
      <w:tr>
        <w:tc>
          <w:tcPr>
            <w:tcW w:w="1718" w:type="dxa"/>
          </w:tcPr>
          <w:p>
            <w:pPr/>
            <w:r>
              <w:t xml:space="preserve">Alman ve İtalyan öncüler (HOMAG, SCM, Biesse, Altendorf, Felder, HOLZ-HER)</w:t>
            </w:r>
          </w:p>
        </w:tc>
        <w:tc>
          <w:tcPr>
            <w:tcW w:w="2990" w:type="dxa"/>
          </w:tcPr>
          <w:p>
            <w:pPr/>
            <w:r>
              <w:t xml:space="preserve">Pazarın başlıca oyuncuları; üretici başına ciro Türk sektörünün toplamını aşabiliyor</w:t>
            </w:r>
          </w:p>
        </w:tc>
        <w:tc>
          <w:tcPr>
            <w:tcW w:w="3426" w:type="dxa"/>
          </w:tcPr>
          <w:p>
            <w:pPr/>
            <w:r>
              <w:t xml:space="preserve">HOMAG'ın tapio platformu makineden dışarı doğru HTTPS 443 üzerinden bağlanıyor, açık güvenlik duvarı portu yok, bireysel sertifikalar kullanıyor; sayfada IEC 62443 veya ISO 27001 belirtilmemiş. Diğer üreticilerin duruşu bu çalışmada incelenmedi.</w:t>
            </w:r>
          </w:p>
        </w:tc>
        <w:tc>
          <w:tcPr>
            <w:tcW w:w="1225" w:type="dxa"/>
          </w:tcPr>
          <w:p>
            <w:pPr/>
            <w:hyperlink r:id="rId9" w:history="1">
              <w:r>
                <w:rPr>
                  <w:rStyle w:val="Hyperlink"/>
                </w:rPr>
                <w:t xml:space="preserve">Spherical Insights</w:t>
              </w:r>
            </w:hyperlink>
            <w:r>
              <w:t xml:space="preserve">; </w:t>
            </w:r>
            <w:hyperlink r:id="rId10" w:history="1">
              <w:r>
                <w:rPr>
                  <w:rStyle w:val="Hyperlink"/>
                </w:rPr>
                <w:t xml:space="preserve">tapio</w:t>
              </w:r>
            </w:hyperlink>
            <w:r>
              <w:t xml:space="preserve">; </w:t>
            </w:r>
            <w:hyperlink r:id="rId11" w:history="1">
              <w:r>
                <w:rPr>
                  <w:rStyle w:val="Hyperlink"/>
                </w:rPr>
                <w:t xml:space="preserve">Dünya</w:t>
              </w:r>
            </w:hyperlink>
          </w:p>
        </w:tc>
      </w:tr>
      <w:tr>
        <w:tc>
          <w:tcPr>
            <w:tcW w:w="1718" w:type="dxa"/>
          </w:tcPr>
          <w:p>
            <w:pPr/>
            <w:r>
              <w:t xml:space="preserve">Çinli üreticiler (Foshan Leader Machinery, Unisunx Group)</w:t>
            </w:r>
          </w:p>
        </w:tc>
        <w:tc>
          <w:tcPr>
            <w:tcW w:w="2990" w:type="dxa"/>
          </w:tcPr>
          <w:p>
            <w:pPr/>
            <w:r>
              <w:t xml:space="preserve">Fiyat ve devlet desteğiyle büyüyor; Türkiye Rusya pazar payının yaklaşık yarısını Çin'e kaptırdı</w:t>
            </w:r>
          </w:p>
        </w:tc>
        <w:tc>
          <w:tcPr>
            <w:tcW w:w="3426" w:type="dxa"/>
          </w:tcPr>
          <w:p>
            <w:pPr/>
            <w:r>
              <w:t xml:space="preserve">Bu çalışmada incelenmedi</w:t>
            </w:r>
          </w:p>
        </w:tc>
        <w:tc>
          <w:tcPr>
            <w:tcW w:w="1225" w:type="dxa"/>
          </w:tcPr>
          <w:p>
            <w:pPr/>
            <w:hyperlink r:id="rId9" w:history="1">
              <w:r>
                <w:rPr>
                  <w:rStyle w:val="Hyperlink"/>
                </w:rPr>
                <w:t xml:space="preserve">Spherical Insights</w:t>
              </w:r>
            </w:hyperlink>
            <w:r>
              <w:t xml:space="preserve">; </w:t>
            </w:r>
            <w:hyperlink r:id="rId11" w:history="1">
              <w:r>
                <w:rPr>
                  <w:rStyle w:val="Hyperlink"/>
                </w:rPr>
                <w:t xml:space="preserve">Dünya</w:t>
              </w:r>
            </w:hyperlink>
          </w:p>
        </w:tc>
      </w:tr>
      <w:tr>
        <w:tc>
          <w:tcPr>
            <w:tcW w:w="1718" w:type="dxa"/>
          </w:tcPr>
          <w:p>
            <w:pPr/>
            <w:r>
              <w:t xml:space="preserve">Türk üreticiler (AİMSAD üyeleri)</w:t>
            </w:r>
          </w:p>
        </w:tc>
        <w:tc>
          <w:tcPr>
            <w:tcW w:w="2990" w:type="dxa"/>
          </w:tcPr>
          <w:p>
            <w:pPr/>
            <w:r>
              <w:t xml:space="preserve">Avrupa'da 3., dünyada ilk 10'da; ihracat 160 milyon $ (2023), ithalat 110 milyon $; yerel içerik %50–60</w:t>
            </w:r>
          </w:p>
        </w:tc>
        <w:tc>
          <w:tcPr>
            <w:tcW w:w="3426" w:type="dxa"/>
          </w:tcPr>
          <w:p>
            <w:pPr/>
            <w:r>
              <w:t xml:space="preserve">Sektör düzeyinde veri bulunamadı</w:t>
            </w:r>
          </w:p>
        </w:tc>
        <w:tc>
          <w:tcPr>
            <w:tcW w:w="1225" w:type="dxa"/>
          </w:tcPr>
          <w:p>
            <w:pPr/>
            <w:hyperlink r:id="rId12" w:history="1">
              <w:r>
                <w:rPr>
                  <w:rStyle w:val="Hyperlink"/>
                </w:rPr>
                <w:t xml:space="preserve">Ekonomi Gazetesi, 30 Ekim 2024</w:t>
              </w:r>
            </w:hyperlink>
            <w:r>
              <w:t xml:space="preserve">; </w:t>
            </w:r>
            <w:hyperlink r:id="rId11" w:history="1">
              <w:r>
                <w:rPr>
                  <w:rStyle w:val="Hyperlink"/>
                </w:rPr>
                <w:t xml:space="preserve">Dünya</w:t>
              </w:r>
            </w:hyperlink>
          </w:p>
        </w:tc>
      </w:tr>
      <w:tr>
        <w:tc>
          <w:tcPr>
            <w:tcW w:w="1718" w:type="dxa"/>
          </w:tcPr>
          <w:p>
            <w:pPr/>
            <w:r>
              <w:t xml:space="preserve">Bu hat</w:t>
            </w:r>
          </w:p>
        </w:tc>
        <w:tc>
          <w:tcPr>
            <w:tcW w:w="2990" w:type="dxa"/>
          </w:tcPr>
          <w:p>
            <w:pPr/>
            <w:r>
              <w:t xml:space="preserve">Ebatlama + robotik istifleme, komple hat sunabilecek konumda</w:t>
            </w:r>
          </w:p>
        </w:tc>
        <w:tc>
          <w:tcPr>
            <w:tcW w:w="3426" w:type="dxa"/>
          </w:tcPr>
          <w:p>
            <w:pPr/>
            <w:r>
              <w:t xml:space="preserve">Emniyet mimarisi güçlü; ağ ve uzak erişim zayıf (varsayım, Lab 1–5)</w:t>
            </w:r>
          </w:p>
        </w:tc>
        <w:tc>
          <w:tcPr>
            <w:tcW w:w="1225" w:type="dxa"/>
          </w:tcPr>
          <w:p>
            <w:pPr/>
            <w:r>
              <w:t xml:space="preserve">Lab bulgusu</w:t>
            </w:r>
          </w:p>
        </w:tc>
      </w:tr>
    </w:tbl>
    <w:p>
      <w:pPr>
        <w:pStyle w:val="Heading2"/>
      </w:pPr>
      <w:r>
        <w:t xml:space="preserve">Dış çevre (PESTEL)</w:t>
      </w:r>
    </w:p>
    <w:p>
      <w:pPr/>
      <w:r>
        <w:t xml:space="preserve">Dış etkenlerin en ağırı yasal ve teknolojik boyutta; ekonomik baskı uyum maliyetini zorlaştırıyor. Kodlar SWOT tablolarındaki maddelere atıf yapar.</w:t>
      </w:r>
    </w:p>
    <w:tbl>
      <w:tblPr>
        <w:tblStyle w:val="TableGrid"/>
        <w:tblW w:w="0" w:type="auto"/>
        <w:tblLayout w:type="fixed"/>
        <w:tblLook w:val="04A0" w:firstRow="1" w:lastRow="0" w:firstColumn="0" w:lastColumn="0" w:noHBand="0" w:noVBand="1"/>
      </w:tblPr>
      <w:tblGrid>
        <w:gridCol w:w="1344"/>
        <w:gridCol w:w="4137"/>
        <w:gridCol w:w="2211"/>
        <w:gridCol w:w="1668"/>
      </w:tblGrid>
      <w:tr>
        <w:trPr>
          <w:tblHeader/>
        </w:trPr>
        <w:tc>
          <w:tcPr>
            <w:tcW w:w="1344" w:type="dxa"/>
            <w:shd w:val="clear" w:color="auto" w:fill="F2F2F2"/>
          </w:tcPr>
          <w:p>
            <w:pPr/>
            <w:r>
              <w:t xml:space="preserve">Faktör</w:t>
            </w:r>
          </w:p>
        </w:tc>
        <w:tc>
          <w:tcPr>
            <w:tcW w:w="4137" w:type="dxa"/>
            <w:shd w:val="clear" w:color="auto" w:fill="F2F2F2"/>
          </w:tcPr>
          <w:p>
            <w:pPr/>
            <w:r>
              <w:t xml:space="preserve">Durum</w:t>
            </w:r>
          </w:p>
        </w:tc>
        <w:tc>
          <w:tcPr>
            <w:tcW w:w="2211" w:type="dxa"/>
            <w:shd w:val="clear" w:color="auto" w:fill="F2F2F2"/>
          </w:tcPr>
          <w:p>
            <w:pPr/>
            <w:r>
              <w:t xml:space="preserve">Etki</w:t>
            </w:r>
          </w:p>
        </w:tc>
        <w:tc>
          <w:tcPr>
            <w:tcW w:w="1668" w:type="dxa"/>
            <w:shd w:val="clear" w:color="auto" w:fill="F2F2F2"/>
          </w:tcPr>
          <w:p>
            <w:pPr/>
            <w:r>
              <w:t xml:space="preserve">Kaynak</w:t>
            </w:r>
          </w:p>
        </w:tc>
      </w:tr>
      <w:tr>
        <w:tc>
          <w:tcPr>
            <w:tcW w:w="1344" w:type="dxa"/>
          </w:tcPr>
          <w:p>
            <w:pPr/>
            <w:r>
              <w:t xml:space="preserve">Politik</w:t>
            </w:r>
          </w:p>
        </w:tc>
        <w:tc>
          <w:tcPr>
            <w:tcW w:w="4137" w:type="dxa"/>
          </w:tcPr>
          <w:p>
            <w:pPr/>
            <w:r>
              <w:t xml:space="preserve">Makine sektörü ulusal kalkınma planında öncelikli sektör olarak tanımlanmış (AİMSAD Başkanı, Kasım 2019); Türkiye, AB makine mevzuatının karşılığı yönetmeliği 16 Ekim 2026'da yayımladı</w:t>
            </w:r>
          </w:p>
        </w:tc>
        <w:tc>
          <w:tcPr>
            <w:tcW w:w="2211" w:type="dxa"/>
          </w:tcPr>
          <w:p>
            <w:pPr/>
            <w:r>
              <w:t xml:space="preserve">O2</w:t>
            </w:r>
          </w:p>
        </w:tc>
        <w:tc>
          <w:tcPr>
            <w:tcW w:w="1668" w:type="dxa"/>
          </w:tcPr>
          <w:p>
            <w:pPr/>
            <w:hyperlink r:id="rId13" w:history="1">
              <w:r>
                <w:rPr>
                  <w:rStyle w:val="Hyperlink"/>
                </w:rPr>
                <w:t xml:space="preserve">TGRT Haber, 15 Kasım 2019</w:t>
              </w:r>
            </w:hyperlink>
            <w:r>
              <w:t xml:space="preserve">; </w:t>
            </w:r>
            <w:hyperlink r:id="rId7" w:history="1">
              <w:r>
                <w:rPr>
                  <w:rStyle w:val="Hyperlink"/>
                </w:rPr>
                <w:t xml:space="preserve">Alomaliye</w:t>
              </w:r>
            </w:hyperlink>
          </w:p>
        </w:tc>
      </w:tr>
      <w:tr>
        <w:tc>
          <w:tcPr>
            <w:tcW w:w="1344" w:type="dxa"/>
          </w:tcPr>
          <w:p>
            <w:pPr/>
            <w:r>
              <w:t xml:space="preserve">Ekonomik</w:t>
            </w:r>
          </w:p>
        </w:tc>
        <w:tc>
          <w:tcPr>
            <w:tcW w:w="4137" w:type="dxa"/>
          </w:tcPr>
          <w:p>
            <w:pPr/>
            <w:r>
              <w:t xml:space="preserve">İhracat 10 yılda 6,5 kat arttı; 2024'ün ilk 7 ayında ihracat 85 milyon $ ile aynı seviyede, ithalat %12 düştü. Maliyet artışı Türk makinelerinin yaklaşık %30'luk fiyat avantajını bazı ürünlerde yok etti. Almanya ihracatı ilk yarıda %7 düştü, İtalya da geriliyor</w:t>
            </w:r>
          </w:p>
        </w:tc>
        <w:tc>
          <w:tcPr>
            <w:tcW w:w="2211" w:type="dxa"/>
          </w:tcPr>
          <w:p>
            <w:pPr/>
            <w:r>
              <w:t xml:space="preserve">S6, S7, T8</w:t>
            </w:r>
          </w:p>
        </w:tc>
        <w:tc>
          <w:tcPr>
            <w:tcW w:w="1668" w:type="dxa"/>
          </w:tcPr>
          <w:p>
            <w:pPr/>
            <w:hyperlink r:id="rId12" w:history="1">
              <w:r>
                <w:rPr>
                  <w:rStyle w:val="Hyperlink"/>
                </w:rPr>
                <w:t xml:space="preserve">Ekonomi Gazetesi</w:t>
              </w:r>
            </w:hyperlink>
            <w:r>
              <w:t xml:space="preserve">; </w:t>
            </w:r>
            <w:hyperlink r:id="rId11" w:history="1">
              <w:r>
                <w:rPr>
                  <w:rStyle w:val="Hyperlink"/>
                </w:rPr>
                <w:t xml:space="preserve">Dünya</w:t>
              </w:r>
            </w:hyperlink>
          </w:p>
        </w:tc>
      </w:tr>
      <w:tr>
        <w:tc>
          <w:tcPr>
            <w:tcW w:w="1344" w:type="dxa"/>
          </w:tcPr>
          <w:p>
            <w:pPr/>
            <w:r>
              <w:t xml:space="preserve">Sosyal</w:t>
            </w:r>
          </w:p>
        </w:tc>
        <w:tc>
          <w:tcPr>
            <w:tcW w:w="4137" w:type="dxa"/>
          </w:tcPr>
          <w:p>
            <w:pPr/>
            <w:r>
              <w:t xml:space="preserve">Siber güvenlik becerisi ihtiyacı büyüyor, bütçe baskısı sürüyor; imalat sahalarının %24'ünde OT olay müdahale planı yok</w:t>
            </w:r>
          </w:p>
        </w:tc>
        <w:tc>
          <w:tcPr>
            <w:tcW w:w="2211" w:type="dxa"/>
          </w:tcPr>
          <w:p>
            <w:pPr/>
            <w:r>
              <w:t xml:space="preserve">W7, T10</w:t>
            </w:r>
          </w:p>
        </w:tc>
        <w:tc>
          <w:tcPr>
            <w:tcW w:w="1668" w:type="dxa"/>
          </w:tcPr>
          <w:p>
            <w:pPr/>
            <w:hyperlink r:id="rId14" w:history="1">
              <w:r>
                <w:rPr>
                  <w:rStyle w:val="Hyperlink"/>
                </w:rPr>
                <w:t xml:space="preserve">ISC2, 4 Aralık 2025</w:t>
              </w:r>
            </w:hyperlink>
            <w:r>
              <w:t xml:space="preserve">; </w:t>
            </w:r>
            <w:hyperlink r:id="rId15" w:history="1">
              <w:r>
                <w:rPr>
                  <w:rStyle w:val="Hyperlink"/>
                </w:rPr>
                <w:t xml:space="preserve">Dragos</w:t>
              </w:r>
            </w:hyperlink>
          </w:p>
        </w:tc>
      </w:tr>
      <w:tr>
        <w:tc>
          <w:tcPr>
            <w:tcW w:w="1344" w:type="dxa"/>
          </w:tcPr>
          <w:p>
            <w:pPr/>
            <w:r>
              <w:t xml:space="preserve">Teknolojik</w:t>
            </w:r>
          </w:p>
        </w:tc>
        <w:tc>
          <w:tcPr>
            <w:tcW w:w="4137" w:type="dxa"/>
          </w:tcPr>
          <w:p>
            <w:pPr/>
            <w:r>
              <w:t xml:space="preserve">Bilgisayar kontrollü sistemler, yapay zeka ile kesim optimizasyonu ve arıza tespiti, otomatik besleme ve dijital bağlantı öne çıkıyor; 145.000'den fazla endüstriyel kontrol sistemi internete açık</w:t>
            </w:r>
          </w:p>
        </w:tc>
        <w:tc>
          <w:tcPr>
            <w:tcW w:w="2211" w:type="dxa"/>
          </w:tcPr>
          <w:p>
            <w:pPr/>
            <w:r>
              <w:t xml:space="preserve">O5, T3</w:t>
            </w:r>
          </w:p>
        </w:tc>
        <w:tc>
          <w:tcPr>
            <w:tcW w:w="1668" w:type="dxa"/>
          </w:tcPr>
          <w:p>
            <w:pPr/>
            <w:hyperlink r:id="rId9" w:history="1">
              <w:r>
                <w:rPr>
                  <w:rStyle w:val="Hyperlink"/>
                </w:rPr>
                <w:t xml:space="preserve">Spherical Insights</w:t>
              </w:r>
            </w:hyperlink>
            <w:r>
              <w:t xml:space="preserve">; </w:t>
            </w:r>
            <w:hyperlink r:id="rId16" w:history="1">
              <w:r>
                <w:rPr>
                  <w:rStyle w:val="Hyperlink"/>
                </w:rPr>
                <w:t xml:space="preserve">SecurityWeek (Censys)</w:t>
              </w:r>
            </w:hyperlink>
          </w:p>
        </w:tc>
      </w:tr>
      <w:tr>
        <w:tc>
          <w:tcPr>
            <w:tcW w:w="1344" w:type="dxa"/>
          </w:tcPr>
          <w:p>
            <w:pPr/>
            <w:r>
              <w:t xml:space="preserve">Yasal</w:t>
            </w:r>
          </w:p>
        </w:tc>
        <w:tc>
          <w:tcPr>
            <w:tcW w:w="4137" w:type="dxa"/>
          </w:tcPr>
          <w:p>
            <w:pPr/>
            <w:r>
              <w:t xml:space="preserve">CRA (raporlama 11 Eylül 2026, tam uygulama 11 Aralık 2027), Makine Tüzüğü (20 Ocak 2027), 7545 sayılı Kanun (19 Mart 2025)</w:t>
            </w:r>
          </w:p>
        </w:tc>
        <w:tc>
          <w:tcPr>
            <w:tcW w:w="2211" w:type="dxa"/>
          </w:tcPr>
          <w:p>
            <w:pPr/>
            <w:r>
              <w:t xml:space="preserve">O1–O3, O8, T6, T7</w:t>
            </w:r>
          </w:p>
        </w:tc>
        <w:tc>
          <w:tcPr>
            <w:tcW w:w="1668" w:type="dxa"/>
          </w:tcPr>
          <w:p>
            <w:pPr/>
            <w:hyperlink r:id="rId5" w:history="1">
              <w:r>
                <w:rPr>
                  <w:rStyle w:val="Hyperlink"/>
                </w:rPr>
                <w:t xml:space="preserve">AB Komisyonu</w:t>
              </w:r>
            </w:hyperlink>
            <w:r>
              <w:t xml:space="preserve">; </w:t>
            </w:r>
            <w:hyperlink r:id="rId6" w:history="1">
              <w:r>
                <w:rPr>
                  <w:rStyle w:val="Hyperlink"/>
                </w:rPr>
                <w:t xml:space="preserve">Bluefruit</w:t>
              </w:r>
            </w:hyperlink>
            <w:r>
              <w:t xml:space="preserve">; </w:t>
            </w:r>
            <w:hyperlink r:id="rId8" w:history="1">
              <w:r>
                <w:rPr>
                  <w:rStyle w:val="Hyperlink"/>
                </w:rPr>
                <w:t xml:space="preserve">Köksal Hukuk</w:t>
              </w:r>
            </w:hyperlink>
          </w:p>
        </w:tc>
      </w:tr>
      <w:tr>
        <w:tc>
          <w:tcPr>
            <w:tcW w:w="1344" w:type="dxa"/>
          </w:tcPr>
          <w:p>
            <w:pPr/>
            <w:r>
              <w:t xml:space="preserve">Çevresel</w:t>
            </w:r>
          </w:p>
        </w:tc>
        <w:tc>
          <w:tcPr>
            <w:tcW w:w="4137" w:type="dxa"/>
          </w:tcPr>
          <w:p>
            <w:pPr/>
            <w:r>
              <w:t xml:space="preserve">Hassas kesim malzeme israfını azaltıyor; ek çevre mevzuatı bu çalışmada incelenmedi</w:t>
            </w:r>
          </w:p>
        </w:tc>
        <w:tc>
          <w:tcPr>
            <w:tcW w:w="2211" w:type="dxa"/>
          </w:tcPr>
          <w:p>
            <w:pPr/>
            <w:r>
              <w:t xml:space="preserve">O5</w:t>
            </w:r>
          </w:p>
        </w:tc>
        <w:tc>
          <w:tcPr>
            <w:tcW w:w="1668" w:type="dxa"/>
          </w:tcPr>
          <w:p>
            <w:pPr/>
            <w:hyperlink r:id="rId9" w:history="1">
              <w:r>
                <w:rPr>
                  <w:rStyle w:val="Hyperlink"/>
                </w:rPr>
                <w:t xml:space="preserve">Spherical Insights</w:t>
              </w:r>
            </w:hyperlink>
          </w:p>
        </w:tc>
      </w:tr>
    </w:tbl>
    <w:p>
      <w:pPr>
        <w:pStyle w:val="Heading2"/>
      </w:pPr>
      <w:r>
        <w:t xml:space="preserve">Güçlü yönler (S)</w:t>
      </w:r>
    </w:p>
    <w:p>
      <w:pPr/>
      <w:r>
        <w:t xml:space="preserve">Hattanın en büyük gücü, emniyet zincirinin üretim kontrolünden ayrı tasarlanmış olması ve üreticinin bulunduğu sektörün ihracat ivmesidir. "Lab bulgusu" yazan maddeler Lab 1–5 çıktılarından, "çıkarım" yazanlar mimariden gelir.</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Güçlü yön</w:t>
            </w:r>
          </w:p>
        </w:tc>
        <w:tc>
          <w:tcPr>
            <w:tcW w:w="3720" w:type="dxa"/>
            <w:shd w:val="clear" w:color="auto" w:fill="F2F2F2"/>
          </w:tcPr>
          <w:p>
            <w:pPr/>
            <w:r>
              <w:t xml:space="preserve">Dayanak</w:t>
            </w:r>
          </w:p>
        </w:tc>
      </w:tr>
      <w:tr>
        <w:tc>
          <w:tcPr>
            <w:tcW w:w="720" w:type="dxa"/>
          </w:tcPr>
          <w:p>
            <w:pPr/>
            <w:r>
              <w:t xml:space="preserve">S1</w:t>
            </w:r>
          </w:p>
        </w:tc>
        <w:tc>
          <w:tcPr>
            <w:tcW w:w="4920" w:type="dxa"/>
          </w:tcPr>
          <w:p>
            <w:pPr/>
            <w:r>
              <w:rPr>
                <w:b/>
                <w:bCs/>
              </w:rPr>
              <w:t xml:space="preserve">Ayrı Safety PLC mimarisi.</w:t>
            </w:r>
            <w:r>
              <w:t xml:space="preserve"> Işık bariyeri, kapı kilidi, vakum izleme ve alan tarayıcı üretim PLC'sinden bağımsız bir Safety PLC (PROFIsafe) üzerinden STO'ya gider; üretim tarafı bozulsa bile mil durur.</w:t>
            </w:r>
          </w:p>
        </w:tc>
        <w:tc>
          <w:tcPr>
            <w:tcW w:w="3720" w:type="dxa"/>
          </w:tcPr>
          <w:p>
            <w:pPr/>
            <w:r>
              <w:t xml:space="preserve">Lab bulgusu (Lab 1, Lab 4)</w:t>
            </w:r>
          </w:p>
        </w:tc>
      </w:tr>
      <w:tr>
        <w:tc>
          <w:tcPr>
            <w:tcW w:w="720" w:type="dxa"/>
          </w:tcPr>
          <w:p>
            <w:pPr/>
            <w:r>
              <w:t xml:space="preserve">S2</w:t>
            </w:r>
          </w:p>
        </w:tc>
        <w:tc>
          <w:tcPr>
            <w:tcW w:w="4920" w:type="dxa"/>
          </w:tcPr>
          <w:p>
            <w:pPr/>
            <w:r>
              <w:rPr>
                <w:b/>
                <w:bCs/>
              </w:rPr>
              <w:t xml:space="preserve">Zengin emniyet donanımı.</w:t>
            </w:r>
            <w:r>
              <w:t xml:space="preserve"> Testere (4000+ d/dk), baskı kirişi ve 50–100 kg panel taşıyan robot için altı emniyet fonksiyonu (SF1–SF6) tanımlı: STO, guard locking, vakum düşmesinde güvenli durdurma, güvenli hız.</w:t>
            </w:r>
          </w:p>
        </w:tc>
        <w:tc>
          <w:tcPr>
            <w:tcW w:w="3720" w:type="dxa"/>
          </w:tcPr>
          <w:p>
            <w:pPr/>
            <w:r>
              <w:t xml:space="preserve">Lab bulgusu (Lab 1); PLr değerleri eğitim amaçlı tahmin</w:t>
            </w:r>
          </w:p>
        </w:tc>
      </w:tr>
      <w:tr>
        <w:tc>
          <w:tcPr>
            <w:tcW w:w="720" w:type="dxa"/>
          </w:tcPr>
          <w:p>
            <w:pPr/>
            <w:r>
              <w:t xml:space="preserve">S3</w:t>
            </w:r>
          </w:p>
        </w:tc>
        <w:tc>
          <w:tcPr>
            <w:tcW w:w="4920" w:type="dxa"/>
          </w:tcPr>
          <w:p>
            <w:pPr/>
            <w:r>
              <w:rPr>
                <w:b/>
                <w:bCs/>
              </w:rPr>
              <w:t xml:space="preserve">Fail-safe tasarım mantığı.</w:t>
            </w:r>
            <w:r>
              <w:t xml:space="preserve"> Emniyet fonksiyonları enerji kesme (STO) ve fren üzerine kurulu; iletişim veya üretim PLC'si arızası makineyi güvenli duruma getirir.</w:t>
            </w:r>
          </w:p>
        </w:tc>
        <w:tc>
          <w:tcPr>
            <w:tcW w:w="3720" w:type="dxa"/>
          </w:tcPr>
          <w:p>
            <w:pPr/>
            <w:r>
              <w:t xml:space="preserve">Lab bulgusu (Lab 1, Lab 4); çıkarım</w:t>
            </w:r>
          </w:p>
        </w:tc>
      </w:tr>
      <w:tr>
        <w:tc>
          <w:tcPr>
            <w:tcW w:w="720" w:type="dxa"/>
          </w:tcPr>
          <w:p>
            <w:pPr/>
            <w:r>
              <w:t xml:space="preserve">S4</w:t>
            </w:r>
          </w:p>
        </w:tc>
        <w:tc>
          <w:tcPr>
            <w:tcW w:w="4920" w:type="dxa"/>
          </w:tcPr>
          <w:p>
            <w:pPr/>
            <w:r>
              <w:rPr>
                <w:b/>
                <w:bCs/>
              </w:rPr>
              <w:t xml:space="preserve">Siber riski emniyet diliyle okuyabilme.</w:t>
            </w:r>
            <w:r>
              <w:t xml:space="preserve"> Senaryolar "veri çalındı" değil "hattaki insana ne olur" sorusuyla kuruldu; S=3 olanlar skoru düşük olsa da öne alınıyor.</w:t>
            </w:r>
          </w:p>
        </w:tc>
        <w:tc>
          <w:tcPr>
            <w:tcW w:w="3720" w:type="dxa"/>
          </w:tcPr>
          <w:p>
            <w:pPr/>
            <w:r>
              <w:t xml:space="preserve">Lab bulgusu (Lab 3)</w:t>
            </w:r>
          </w:p>
        </w:tc>
      </w:tr>
      <w:tr>
        <w:tc>
          <w:tcPr>
            <w:tcW w:w="720" w:type="dxa"/>
          </w:tcPr>
          <w:p>
            <w:pPr/>
            <w:r>
              <w:t xml:space="preserve">S5</w:t>
            </w:r>
          </w:p>
        </w:tc>
        <w:tc>
          <w:tcPr>
            <w:tcW w:w="4920" w:type="dxa"/>
          </w:tcPr>
          <w:p>
            <w:pPr/>
            <w:r>
              <w:rPr>
                <w:b/>
                <w:bCs/>
              </w:rPr>
              <w:t xml:space="preserve">Hazır siber dayanıklılık belge seti.</w:t>
            </w:r>
            <w:r>
              <w:t xml:space="preserve"> Safety Function Map, Zone/Conduit diyagramı, Risk Register, güvenli uzak erişim hedefi ve zafiyet karar akışı (EP 02–06, 09–11) CRA ve Makine Tüzüğü dosyasının çekirdeğini oluşturur.</w:t>
            </w:r>
          </w:p>
        </w:tc>
        <w:tc>
          <w:tcPr>
            <w:tcW w:w="3720" w:type="dxa"/>
          </w:tcPr>
          <w:p>
            <w:pPr/>
            <w:r>
              <w:t xml:space="preserve">Lab bulgusu (Lab 1–5)</w:t>
            </w:r>
          </w:p>
        </w:tc>
      </w:tr>
      <w:tr>
        <w:tc>
          <w:tcPr>
            <w:tcW w:w="720" w:type="dxa"/>
          </w:tcPr>
          <w:p>
            <w:pPr/>
            <w:r>
              <w:t xml:space="preserve">S6</w:t>
            </w:r>
          </w:p>
        </w:tc>
        <w:tc>
          <w:tcPr>
            <w:tcW w:w="4920" w:type="dxa"/>
          </w:tcPr>
          <w:p>
            <w:pPr/>
            <w:r>
              <w:rPr>
                <w:b/>
                <w:bCs/>
              </w:rPr>
              <w:t xml:space="preserve">Sektörel ivme.</w:t>
            </w:r>
            <w:r>
              <w:t xml:space="preserve"> Türk ağaç işleme makineleri ihracatı 10 yılda 6,5 kat arttı (2023: 160 milyon $); Türkiye Avrupa'da Almanya ve İtalya'dan sonra 3., dünyada ilk 10'da; firmalar yeni trendlere hızlı uyum sağladığını vurguluyor.</w:t>
            </w:r>
          </w:p>
        </w:tc>
        <w:tc>
          <w:tcPr>
            <w:tcW w:w="3720" w:type="dxa"/>
          </w:tcPr>
          <w:p>
            <w:pPr/>
            <w:hyperlink r:id="rId12" w:history="1">
              <w:r>
                <w:rPr>
                  <w:rStyle w:val="Hyperlink"/>
                </w:rPr>
                <w:t xml:space="preserve">Ekonomi Gazetesi, 30 Ekim 2024</w:t>
              </w:r>
            </w:hyperlink>
          </w:p>
        </w:tc>
      </w:tr>
      <w:tr>
        <w:tc>
          <w:tcPr>
            <w:tcW w:w="720" w:type="dxa"/>
          </w:tcPr>
          <w:p>
            <w:pPr/>
            <w:r>
              <w:t xml:space="preserve">S7</w:t>
            </w:r>
          </w:p>
        </w:tc>
        <w:tc>
          <w:tcPr>
            <w:tcW w:w="4920" w:type="dxa"/>
          </w:tcPr>
          <w:p>
            <w:pPr/>
            <w:r>
              <w:rPr>
                <w:b/>
                <w:bCs/>
              </w:rPr>
              <w:t xml:space="preserve">Yüksek katma değer.</w:t>
            </w:r>
            <w:r>
              <w:t xml:space="preserve"> Ağaç işleme makinesi ihracatı kilo başına 12–15 $; makine sektörü genelinde bu 5,5–6 $. Ayrıca sektör 2017'den beri dış ticaret fazlası veriyor.</w:t>
            </w:r>
          </w:p>
        </w:tc>
        <w:tc>
          <w:tcPr>
            <w:tcW w:w="3720" w:type="dxa"/>
          </w:tcPr>
          <w:p>
            <w:pPr/>
            <w:hyperlink r:id="rId11" w:history="1">
              <w:r>
                <w:rPr>
                  <w:rStyle w:val="Hyperlink"/>
                </w:rPr>
                <w:t xml:space="preserve">Dünya</w:t>
              </w:r>
            </w:hyperlink>
            <w:r>
              <w:t xml:space="preserve"> (tarih belirtilmemiş)</w:t>
            </w:r>
          </w:p>
        </w:tc>
      </w:tr>
      <w:tr>
        <w:tc>
          <w:tcPr>
            <w:tcW w:w="720" w:type="dxa"/>
          </w:tcPr>
          <w:p>
            <w:pPr/>
            <w:r>
              <w:t xml:space="preserve">S8</w:t>
            </w:r>
          </w:p>
        </w:tc>
        <w:tc>
          <w:tcPr>
            <w:tcW w:w="4920" w:type="dxa"/>
          </w:tcPr>
          <w:p>
            <w:pPr/>
            <w:r>
              <w:rPr>
                <w:b/>
                <w:bCs/>
              </w:rPr>
              <w:t xml:space="preserve">Dijital reçete akışı verimlilik sağlar.</w:t>
            </w:r>
            <w:r>
              <w:t xml:space="preserve"> MES/CAD-CAM'den gelen kesim planları fireyi azaltır; pazar büyümesinin ana sürücüsü hassas ebatlama ve otomatik malzeme besleme.</w:t>
            </w:r>
          </w:p>
        </w:tc>
        <w:tc>
          <w:tcPr>
            <w:tcW w:w="3720" w:type="dxa"/>
          </w:tcPr>
          <w:p>
            <w:pPr/>
            <w:hyperlink r:id="rId9" w:history="1">
              <w:r>
                <w:rPr>
                  <w:rStyle w:val="Hyperlink"/>
                </w:rPr>
                <w:t xml:space="preserve">Spherical Insights</w:t>
              </w:r>
            </w:hyperlink>
          </w:p>
        </w:tc>
      </w:tr>
    </w:tbl>
    <w:p>
      <w:pPr>
        <w:pStyle w:val="Heading2"/>
      </w:pPr>
      <w:r>
        <w:t xml:space="preserve">Zayıf yönler (W)</w:t>
      </w:r>
    </w:p>
    <w:p>
      <w:pPr/>
      <w:r>
        <w:t xml:space="preserve">En ciddi zayıflık, üretim ağının dış dünyaya açık, düz ve izlenmeyen yapısıdır; gerçek olay raporlarında saldırganların en sık kullandığı giriş yolu da tam olarak budur. Uzak erişim ve ağ ayrıntıları tipik bir mimari varsayımıdır (üretici dokümanıyla doğrulanmalı).</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Zayıf yön</w:t>
            </w:r>
          </w:p>
        </w:tc>
        <w:tc>
          <w:tcPr>
            <w:tcW w:w="3720" w:type="dxa"/>
            <w:shd w:val="clear" w:color="auto" w:fill="F2F2F2"/>
          </w:tcPr>
          <w:p>
            <w:pPr/>
            <w:r>
              <w:t xml:space="preserve">Dayanak</w:t>
            </w:r>
          </w:p>
        </w:tc>
      </w:tr>
      <w:tr>
        <w:tc>
          <w:tcPr>
            <w:tcW w:w="720" w:type="dxa"/>
          </w:tcPr>
          <w:p>
            <w:pPr/>
            <w:r>
              <w:t xml:space="preserve">W1</w:t>
            </w:r>
          </w:p>
        </w:tc>
        <w:tc>
          <w:tcPr>
            <w:tcW w:w="4920" w:type="dxa"/>
          </w:tcPr>
          <w:p>
            <w:pPr/>
            <w:r>
              <w:rPr>
                <w:b/>
                <w:bCs/>
              </w:rPr>
              <w:t xml:space="preserve">Uzak bakım erişimi internete 7/24 açık, ortak servis hesabıyla korunuyor.</w:t>
            </w:r>
            <w:r>
              <w:t xml:space="preserve"> Dragos 2025 verilerinde başlangıç erişiminin tipik yolları çalıntı kimlik bilgisi, ele geçirilmiş uzak erişim ve zayıf IT/OT ayrımı.</w:t>
            </w:r>
          </w:p>
        </w:tc>
        <w:tc>
          <w:tcPr>
            <w:tcW w:w="3720" w:type="dxa"/>
          </w:tcPr>
          <w:p>
            <w:pPr/>
            <w:r>
              <w:t xml:space="preserve">Lab bulgusu (Lab 3 S1, Lab 4); </w:t>
            </w:r>
            <w:hyperlink r:id="rId15" w:history="1">
              <w:r>
                <w:rPr>
                  <w:rStyle w:val="Hyperlink"/>
                </w:rPr>
                <w:t xml:space="preserve">Dragos</w:t>
              </w:r>
            </w:hyperlink>
          </w:p>
        </w:tc>
      </w:tr>
      <w:tr>
        <w:tc>
          <w:tcPr>
            <w:tcW w:w="720" w:type="dxa"/>
          </w:tcPr>
          <w:p>
            <w:pPr/>
            <w:r>
              <w:t xml:space="preserve">W2</w:t>
            </w:r>
          </w:p>
        </w:tc>
        <w:tc>
          <w:tcPr>
            <w:tcW w:w="4920" w:type="dxa"/>
          </w:tcPr>
          <w:p>
            <w:pPr/>
            <w:r>
              <w:rPr>
                <w:b/>
                <w:bCs/>
              </w:rPr>
              <w:t xml:space="preserve">Düz ağ, IT/OT segmentasyonu yok.</w:t>
            </w:r>
            <w:r>
              <w:t xml:space="preserve"> İçeri giren biri Safety PLC'ye kadar ulaşabiliyor. Dragos değerlendirmelerinde imalat sahalarının yaklaşık yarısında ortak IT/OT etki alanı var; bu tüm sektörlerin en yüksek oranı.</w:t>
            </w:r>
          </w:p>
        </w:tc>
        <w:tc>
          <w:tcPr>
            <w:tcW w:w="3720" w:type="dxa"/>
          </w:tcPr>
          <w:p>
            <w:pPr/>
            <w:r>
              <w:t xml:space="preserve">Lab bulgusu (Lab 2); </w:t>
            </w:r>
            <w:hyperlink r:id="rId15" w:history="1">
              <w:r>
                <w:rPr>
                  <w:rStyle w:val="Hyperlink"/>
                </w:rPr>
                <w:t xml:space="preserve">Dragos</w:t>
              </w:r>
            </w:hyperlink>
          </w:p>
        </w:tc>
      </w:tr>
      <w:tr>
        <w:tc>
          <w:tcPr>
            <w:tcW w:w="720" w:type="dxa"/>
          </w:tcPr>
          <w:p>
            <w:pPr/>
            <w:r>
              <w:t xml:space="preserve">W3</w:t>
            </w:r>
          </w:p>
        </w:tc>
        <w:tc>
          <w:tcPr>
            <w:tcW w:w="4920" w:type="dxa"/>
          </w:tcPr>
          <w:p>
            <w:pPr/>
            <w:r>
              <w:rPr>
                <w:b/>
                <w:bCs/>
              </w:rPr>
              <w:t xml:space="preserve">Reçete dosyaları imzasız ve SMB paylaşımından geliyor.</w:t>
            </w:r>
            <w:r>
              <w:t xml:space="preserve"> Değiştirilen koordinat, ölçü veya ağırlık verisi hem hurda hem yaralanma üretebilir. Trend Micro, robot görev programlarında geçersiz koordinat gönderen sahte paketlerle ekipman hasarı gösterdi (reçeteye uyarlama bizim çıkarımımız).</w:t>
            </w:r>
          </w:p>
        </w:tc>
        <w:tc>
          <w:tcPr>
            <w:tcW w:w="3720" w:type="dxa"/>
          </w:tcPr>
          <w:p>
            <w:pPr/>
            <w:r>
              <w:t xml:space="preserve">Lab bulgusu (Lab 3 S2); </w:t>
            </w:r>
            <w:hyperlink r:id="rId17" w:history="1">
              <w:r>
                <w:rPr>
                  <w:rStyle w:val="Hyperlink"/>
                </w:rPr>
                <w:t xml:space="preserve">Trend Micro, Nisan 2021</w:t>
              </w:r>
            </w:hyperlink>
          </w:p>
        </w:tc>
      </w:tr>
      <w:tr>
        <w:tc>
          <w:tcPr>
            <w:tcW w:w="720" w:type="dxa"/>
          </w:tcPr>
          <w:p>
            <w:pPr/>
            <w:r>
              <w:t xml:space="preserve">W4</w:t>
            </w:r>
          </w:p>
        </w:tc>
        <w:tc>
          <w:tcPr>
            <w:tcW w:w="4920" w:type="dxa"/>
          </w:tcPr>
          <w:p>
            <w:pPr/>
            <w:r>
              <w:rPr>
                <w:b/>
                <w:bCs/>
              </w:rPr>
              <w:t xml:space="preserve">Safety PLC ve robot güvenli alan parametreleri ağdan/mühendislik PC'sinden değiştirilebilir.</w:t>
            </w:r>
            <w:r>
              <w:t xml:space="preserve"> Durma süresi, kapı kilit gecikmesi, vakum eşiği sessizce bozulabilir. TRITON olayı emniyet kontrolörlerinin gerçekten hedef alınabildiğini gösterdi.</w:t>
            </w:r>
          </w:p>
        </w:tc>
        <w:tc>
          <w:tcPr>
            <w:tcW w:w="3720" w:type="dxa"/>
          </w:tcPr>
          <w:p>
            <w:pPr/>
            <w:r>
              <w:t xml:space="preserve">Lab bulgusu (Lab 1 Soru 7–8); </w:t>
            </w:r>
            <w:hyperlink r:id="rId18" w:history="1">
              <w:r>
                <w:rPr>
                  <w:rStyle w:val="Hyperlink"/>
                </w:rPr>
                <w:t xml:space="preserve">Dark Reading, Ocak 2018</w:t>
              </w:r>
            </w:hyperlink>
          </w:p>
        </w:tc>
      </w:tr>
      <w:tr>
        <w:tc>
          <w:tcPr>
            <w:tcW w:w="720" w:type="dxa"/>
          </w:tcPr>
          <w:p>
            <w:pPr/>
            <w:r>
              <w:t xml:space="preserve">W5</w:t>
            </w:r>
          </w:p>
        </w:tc>
        <w:tc>
          <w:tcPr>
            <w:tcW w:w="4920" w:type="dxa"/>
          </w:tcPr>
          <w:p>
            <w:pPr/>
            <w:r>
              <w:rPr>
                <w:b/>
                <w:bCs/>
              </w:rPr>
              <w:t xml:space="preserve">USB ve mühendislik dizüstü kontrolsüz.</w:t>
            </w:r>
            <w:r>
              <w:t xml:space="preserve"> Optimizasyon PC'si ve mühendislik bilgisayarı hem ofis ağına hem hatta bağlanıyor; tarama kiosku yok.</w:t>
            </w:r>
          </w:p>
        </w:tc>
        <w:tc>
          <w:tcPr>
            <w:tcW w:w="3720" w:type="dxa"/>
          </w:tcPr>
          <w:p>
            <w:pPr/>
            <w:r>
              <w:t xml:space="preserve">Lab bulgusu (Lab 3 S3)</w:t>
            </w:r>
          </w:p>
        </w:tc>
      </w:tr>
      <w:tr>
        <w:tc>
          <w:tcPr>
            <w:tcW w:w="720" w:type="dxa"/>
          </w:tcPr>
          <w:p>
            <w:pPr/>
            <w:r>
              <w:t xml:space="preserve">W6</w:t>
            </w:r>
          </w:p>
        </w:tc>
        <w:tc>
          <w:tcPr>
            <w:tcW w:w="4920" w:type="dxa"/>
          </w:tcPr>
          <w:p>
            <w:pPr/>
            <w:r>
              <w:rPr>
                <w:b/>
                <w:bCs/>
              </w:rPr>
              <w:t xml:space="preserve">Yama ve SBOM süreci olgun değil.</w:t>
            </w:r>
            <w:r>
              <w:t xml:space="preserve"> PLC firmware'indeki Component X 2.4 (CVSS 9.8) bugünkü mimaride erişilebilir bulundu; CRA yazılım malzeme listesini (SBOM) ve zafiyet yönetimini zorunlu kılıyor.</w:t>
            </w:r>
          </w:p>
        </w:tc>
        <w:tc>
          <w:tcPr>
            <w:tcW w:w="3720" w:type="dxa"/>
          </w:tcPr>
          <w:p>
            <w:pPr/>
            <w:r>
              <w:t xml:space="preserve">Lab bulgusu (Lab 5); </w:t>
            </w:r>
            <w:hyperlink r:id="rId19" w:history="1">
              <w:r>
                <w:rPr>
                  <w:rStyle w:val="Hyperlink"/>
                </w:rPr>
                <w:t xml:space="preserve">cyberresilienceact.eu</w:t>
              </w:r>
            </w:hyperlink>
          </w:p>
        </w:tc>
      </w:tr>
      <w:tr>
        <w:tc>
          <w:tcPr>
            <w:tcW w:w="720" w:type="dxa"/>
          </w:tcPr>
          <w:p>
            <w:pPr/>
            <w:r>
              <w:t xml:space="preserve">W7</w:t>
            </w:r>
          </w:p>
        </w:tc>
        <w:tc>
          <w:tcPr>
            <w:tcW w:w="4920" w:type="dxa"/>
          </w:tcPr>
          <w:p>
            <w:pPr/>
            <w:r>
              <w:rPr>
                <w:b/>
                <w:bCs/>
              </w:rPr>
              <w:t xml:space="preserve">Gözlemlenebilirlik ve olay müdahale hazırlığı zayıf.</w:t>
            </w:r>
            <w:r>
              <w:t xml:space="preserve"> Oturum kaydı yok. Dragos: imalat sahalarının %24'ünde OT olay müdahale planı yok (tüm sektörlerin en yüksek oranı); testlerin %56'sında PowerShell/RDP/WMI gibi yerel yönetim araçlarının kötüye kullanımı fark edilemedi.</w:t>
            </w:r>
          </w:p>
        </w:tc>
        <w:tc>
          <w:tcPr>
            <w:tcW w:w="3720" w:type="dxa"/>
          </w:tcPr>
          <w:p>
            <w:pPr/>
            <w:r>
              <w:t xml:space="preserve">Lab bulgusu (Lab 4); </w:t>
            </w:r>
            <w:hyperlink r:id="rId15" w:history="1">
              <w:r>
                <w:rPr>
                  <w:rStyle w:val="Hyperlink"/>
                </w:rPr>
                <w:t xml:space="preserve">Dragos</w:t>
              </w:r>
            </w:hyperlink>
          </w:p>
        </w:tc>
      </w:tr>
      <w:tr>
        <w:tc>
          <w:tcPr>
            <w:tcW w:w="720" w:type="dxa"/>
          </w:tcPr>
          <w:p>
            <w:pPr/>
            <w:r>
              <w:t xml:space="preserve">W8</w:t>
            </w:r>
          </w:p>
        </w:tc>
        <w:tc>
          <w:tcPr>
            <w:tcW w:w="4920" w:type="dxa"/>
          </w:tcPr>
          <w:p>
            <w:pPr/>
            <w:r>
              <w:rPr>
                <w:b/>
                <w:bCs/>
              </w:rPr>
              <w:t xml:space="preserve">Ölçek ve parti bağımlılığı.</w:t>
            </w:r>
            <w:r>
              <w:t xml:space="preserve"> Türk firmaları Alman rakiplere göre küçük; yerel içerik %50–60 ve bazı parçaların yerli alternatifi yok. Güvenli (sertifikalı) bileşen seçeneği tedarikçiye bağlı kalır (çıkarım).</w:t>
            </w:r>
          </w:p>
        </w:tc>
        <w:tc>
          <w:tcPr>
            <w:tcW w:w="3720" w:type="dxa"/>
          </w:tcPr>
          <w:p>
            <w:pPr/>
            <w:hyperlink r:id="rId11" w:history="1">
              <w:r>
                <w:rPr>
                  <w:rStyle w:val="Hyperlink"/>
                </w:rPr>
                <w:t xml:space="preserve">Dünya</w:t>
              </w:r>
            </w:hyperlink>
          </w:p>
        </w:tc>
      </w:tr>
      <w:tr>
        <w:tc>
          <w:tcPr>
            <w:tcW w:w="720" w:type="dxa"/>
          </w:tcPr>
          <w:p>
            <w:pPr/>
            <w:r>
              <w:t xml:space="preserve">W9</w:t>
            </w:r>
          </w:p>
        </w:tc>
        <w:tc>
          <w:tcPr>
            <w:tcW w:w="4920" w:type="dxa"/>
          </w:tcPr>
          <w:p>
            <w:pPr/>
            <w:r>
              <w:rPr>
                <w:b/>
                <w:bCs/>
              </w:rPr>
              <w:t xml:space="preserve">Teknik belge ve izlenebilirlik boşluğu.</w:t>
            </w:r>
            <w:r>
              <w:t xml:space="preserve"> Makine Tüzüğü, yazılım yüklemelerinin ve müdahalelerin kaydının 5 yıl tutulmasını ister; mevcut mimaride bu kayıt yok.</w:t>
            </w:r>
          </w:p>
        </w:tc>
        <w:tc>
          <w:tcPr>
            <w:tcW w:w="3720" w:type="dxa"/>
          </w:tcPr>
          <w:p>
            <w:pPr/>
            <w:hyperlink r:id="rId6" w:history="1">
              <w:r>
                <w:rPr>
                  <w:rStyle w:val="Hyperlink"/>
                </w:rPr>
                <w:t xml:space="preserve">Bluefruit</w:t>
              </w:r>
            </w:hyperlink>
            <w:r>
              <w:t xml:space="preserve">; Lab bulgusu (Lab 4)</w:t>
            </w:r>
          </w:p>
        </w:tc>
      </w:tr>
    </w:tbl>
    <w:p>
      <w:pPr>
        <w:pStyle w:val="Heading2"/>
      </w:pPr>
      <w:r>
        <w:t xml:space="preserve">Fırsatlar (O)</w:t>
      </w:r>
    </w:p>
    <w:p>
      <w:pPr/>
      <w:r>
        <w:t xml:space="preserve">En büyük fırsat, siber dayanıklılığın 2026–2027 arasında göndüllü bir özellikten yasal satış koşuluna dönüşmesidir: erken hazırlanan üretici, aynı yıllarda uyum telaşına düşen rakiplerin önüne geçer.</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Fırsat</w:t>
            </w:r>
          </w:p>
        </w:tc>
        <w:tc>
          <w:tcPr>
            <w:tcW w:w="3720" w:type="dxa"/>
            <w:shd w:val="clear" w:color="auto" w:fill="F2F2F2"/>
          </w:tcPr>
          <w:p>
            <w:pPr/>
            <w:r>
              <w:t xml:space="preserve">Dayanak</w:t>
            </w:r>
          </w:p>
        </w:tc>
      </w:tr>
      <w:tr>
        <w:tc>
          <w:tcPr>
            <w:tcW w:w="720" w:type="dxa"/>
          </w:tcPr>
          <w:p>
            <w:pPr/>
            <w:r>
              <w:t xml:space="preserve">O1</w:t>
            </w:r>
          </w:p>
        </w:tc>
        <w:tc>
          <w:tcPr>
            <w:tcW w:w="4920" w:type="dxa"/>
          </w:tcPr>
          <w:p>
            <w:pPr/>
            <w:r>
              <w:rPr>
                <w:b/>
                <w:bCs/>
              </w:rPr>
              <w:t xml:space="preserve">Makine Tüzüğü (AB) 2023/1230, 20 Ocak 2027'den itibaren uygulanır.</w:t>
            </w:r>
            <w:r>
              <w:t xml:space="preserve"> EHSR 1.1.9 ve 1.2.1, kontrol sistemlerinin "makul ölçüde öngörülebilir kötü niyetli girişimlere" dayanıklı olmasını ve müdahale/yazılım kaydı tutulmasını ister. Siber dayanıklılık CE dosyasının parçası olur.</w:t>
            </w:r>
          </w:p>
        </w:tc>
        <w:tc>
          <w:tcPr>
            <w:tcW w:w="3720" w:type="dxa"/>
          </w:tcPr>
          <w:p>
            <w:pPr/>
            <w:hyperlink r:id="rId6" w:history="1">
              <w:r>
                <w:rPr>
                  <w:rStyle w:val="Hyperlink"/>
                </w:rPr>
                <w:t xml:space="preserve">Bluefruit</w:t>
              </w:r>
            </w:hyperlink>
          </w:p>
        </w:tc>
      </w:tr>
      <w:tr>
        <w:tc>
          <w:tcPr>
            <w:tcW w:w="720" w:type="dxa"/>
          </w:tcPr>
          <w:p>
            <w:pPr/>
            <w:r>
              <w:t xml:space="preserve">O2</w:t>
            </w:r>
          </w:p>
        </w:tc>
        <w:tc>
          <w:tcPr>
            <w:tcW w:w="4920" w:type="dxa"/>
          </w:tcPr>
          <w:p>
            <w:pPr/>
            <w:r>
              <w:rPr>
                <w:b/>
                <w:bCs/>
              </w:rPr>
              <w:t xml:space="preserve">Türkiye mevzuatı aynı yönde ilerliyor.</w:t>
            </w:r>
            <w:r>
              <w:t xml:space="preserve"> Makine Emniyeti Yönetmeliği (AB) 2023/1230, 16 Ekim 2026 tarihli Resmî Gazete'de (33402) yayımlandı; ihracatçı ve yerel üretici aynı çerçeveye tabi. Ulaşabilen metinde siber güvenlik hükmü ve yürürlük tarihi doğrulanamadı; tam metin okunmalı.</w:t>
            </w:r>
          </w:p>
        </w:tc>
        <w:tc>
          <w:tcPr>
            <w:tcW w:w="3720" w:type="dxa"/>
          </w:tcPr>
          <w:p>
            <w:pPr/>
            <w:hyperlink r:id="rId7" w:history="1">
              <w:r>
                <w:rPr>
                  <w:rStyle w:val="Hyperlink"/>
                </w:rPr>
                <w:t xml:space="preserve">Alomaliye, 16 Ekim 2026</w:t>
              </w:r>
            </w:hyperlink>
          </w:p>
        </w:tc>
      </w:tr>
      <w:tr>
        <w:tc>
          <w:tcPr>
            <w:tcW w:w="720" w:type="dxa"/>
          </w:tcPr>
          <w:p>
            <w:pPr/>
            <w:r>
              <w:t xml:space="preserve">O3</w:t>
            </w:r>
          </w:p>
        </w:tc>
        <w:tc>
          <w:tcPr>
            <w:tcW w:w="4920" w:type="dxa"/>
          </w:tcPr>
          <w:p>
            <w:pPr/>
            <w:r>
              <w:rPr>
                <w:b/>
                <w:bCs/>
              </w:rPr>
              <w:t xml:space="preserve">CRA, güvenli ürünü satış argümanı yapıyor.</w:t>
            </w:r>
            <w:r>
              <w:t xml:space="preserve"> Raporlama yükümlülükleri 11 Eylül 2026'da başladı, tüm hükümler 11 Aralık 2027'de geçerli. İyi belgelenmiş SBOM, 5 yıllık güvenlik güncellemesi ve zafiyet süreci, AB müşterilerinin satın alma kriterine dönüşür.</w:t>
            </w:r>
          </w:p>
        </w:tc>
        <w:tc>
          <w:tcPr>
            <w:tcW w:w="3720" w:type="dxa"/>
          </w:tcPr>
          <w:p>
            <w:pPr/>
            <w:hyperlink r:id="rId5" w:history="1">
              <w:r>
                <w:rPr>
                  <w:rStyle w:val="Hyperlink"/>
                </w:rPr>
                <w:t xml:space="preserve">AB Komisyonu</w:t>
              </w:r>
            </w:hyperlink>
            <w:r>
              <w:t xml:space="preserve">; </w:t>
            </w:r>
            <w:hyperlink r:id="rId19" w:history="1">
              <w:r>
                <w:rPr>
                  <w:rStyle w:val="Hyperlink"/>
                </w:rPr>
                <w:t xml:space="preserve">cyberresilienceact.eu</w:t>
              </w:r>
            </w:hyperlink>
          </w:p>
        </w:tc>
      </w:tr>
      <w:tr>
        <w:tc>
          <w:tcPr>
            <w:tcW w:w="720" w:type="dxa"/>
          </w:tcPr>
          <w:p>
            <w:pPr/>
            <w:r>
              <w:t xml:space="preserve">O4</w:t>
            </w:r>
          </w:p>
        </w:tc>
        <w:tc>
          <w:tcPr>
            <w:tcW w:w="4920" w:type="dxa"/>
          </w:tcPr>
          <w:p>
            <w:pPr/>
            <w:r>
              <w:rPr>
                <w:b/>
                <w:bCs/>
              </w:rPr>
              <w:t xml:space="preserve">IEC 62443 ile adım adım kanıtlanabilirlik.</w:t>
            </w:r>
            <w:r>
              <w:t xml:space="preserve"> Standart yasal zorunluluk değil ama 3-2 (zone/conduit), 4-1 (güvenli geliştirme), 4-2 (bileşen gereksinimleri) mühendislik gerekçelendirmesini destekler; uyumlu standart henüz yayınlanmadığından belgeyi ilk hazırlayan fark yaratır.</w:t>
            </w:r>
          </w:p>
        </w:tc>
        <w:tc>
          <w:tcPr>
            <w:tcW w:w="3720" w:type="dxa"/>
          </w:tcPr>
          <w:p>
            <w:pPr/>
            <w:hyperlink r:id="rId6" w:history="1">
              <w:r>
                <w:rPr>
                  <w:rStyle w:val="Hyperlink"/>
                </w:rPr>
                <w:t xml:space="preserve">Bluefruit</w:t>
              </w:r>
            </w:hyperlink>
          </w:p>
        </w:tc>
      </w:tr>
      <w:tr>
        <w:tc>
          <w:tcPr>
            <w:tcW w:w="720" w:type="dxa"/>
          </w:tcPr>
          <w:p>
            <w:pPr/>
            <w:r>
              <w:t xml:space="preserve">O5</w:t>
            </w:r>
          </w:p>
        </w:tc>
        <w:tc>
          <w:tcPr>
            <w:tcW w:w="4920" w:type="dxa"/>
          </w:tcPr>
          <w:p>
            <w:pPr/>
            <w:r>
              <w:rPr>
                <w:b/>
                <w:bCs/>
              </w:rPr>
              <w:t xml:space="preserve">Panel ebatlama pazarı büyüyor, otomasyon ön planda.</w:t>
            </w:r>
            <w:r>
              <w:t xml:space="preserve"> Pazar 2025'te yaklaşık 1,65 milyar $; 2035'te 2,77 milyar $ (yıllık %5,32). Hareket alanı: bilgisayar kontrollü sistemler, yapay zeka ile kesim optimizasyonu ve arıza tespiti, otomatik besleme, dijital bağlantı.</w:t>
            </w:r>
          </w:p>
        </w:tc>
        <w:tc>
          <w:tcPr>
            <w:tcW w:w="3720" w:type="dxa"/>
          </w:tcPr>
          <w:p>
            <w:pPr/>
            <w:hyperlink r:id="rId9" w:history="1">
              <w:r>
                <w:rPr>
                  <w:rStyle w:val="Hyperlink"/>
                </w:rPr>
                <w:t xml:space="preserve">Spherical Insights</w:t>
              </w:r>
            </w:hyperlink>
          </w:p>
        </w:tc>
      </w:tr>
      <w:tr>
        <w:tc>
          <w:tcPr>
            <w:tcW w:w="720" w:type="dxa"/>
          </w:tcPr>
          <w:p>
            <w:pPr/>
            <w:r>
              <w:t xml:space="preserve">O6</w:t>
            </w:r>
          </w:p>
        </w:tc>
        <w:tc>
          <w:tcPr>
            <w:tcW w:w="4920" w:type="dxa"/>
          </w:tcPr>
          <w:p>
            <w:pPr/>
            <w:r>
              <w:rPr>
                <w:b/>
                <w:bCs/>
              </w:rPr>
              <w:t xml:space="preserve">Komple hat ve anahtar teslim satış eğilimi.</w:t>
            </w:r>
            <w:r>
              <w:t xml:space="preserve"> Türk firmaları tek makine yerine tam üretim hattı sunmak için kooperatifleşmeye başladı; ebatlama + istifleme hattı bu modelin doğal örneği, güvenlik mimarisi paketin farklılaştırıcı parçası olabilir (yorum).</w:t>
            </w:r>
          </w:p>
        </w:tc>
        <w:tc>
          <w:tcPr>
            <w:tcW w:w="3720" w:type="dxa"/>
          </w:tcPr>
          <w:p>
            <w:pPr/>
            <w:hyperlink r:id="rId11" w:history="1">
              <w:r>
                <w:rPr>
                  <w:rStyle w:val="Hyperlink"/>
                </w:rPr>
                <w:t xml:space="preserve">Dünya</w:t>
              </w:r>
            </w:hyperlink>
          </w:p>
        </w:tc>
      </w:tr>
      <w:tr>
        <w:tc>
          <w:tcPr>
            <w:tcW w:w="720" w:type="dxa"/>
          </w:tcPr>
          <w:p>
            <w:pPr/>
            <w:r>
              <w:t xml:space="preserve">O7</w:t>
            </w:r>
          </w:p>
        </w:tc>
        <w:tc>
          <w:tcPr>
            <w:tcW w:w="4920" w:type="dxa"/>
          </w:tcPr>
          <w:p>
            <w:pPr/>
            <w:r>
              <w:rPr>
                <w:b/>
                <w:bCs/>
              </w:rPr>
              <w:t xml:space="preserve">Güvenli uzaktan servis, gelir modeli olabilir.</w:t>
            </w:r>
            <w:r>
              <w:t xml:space="preserve"> Rakip HOMAG'ın tapio platformu, makineden dışarı doğru bağlantı (OPC UA, HTTPS 443, açık güvenlik duvarı portu yok, bireysel sertifikalar) ile örnek veriyor; sayfada IEC 62443 veya ISO 27001 belgesi belirtilmiyor, yani belgeli bir yaklaşım fark yaratabilir.</w:t>
            </w:r>
          </w:p>
        </w:tc>
        <w:tc>
          <w:tcPr>
            <w:tcW w:w="3720" w:type="dxa"/>
          </w:tcPr>
          <w:p>
            <w:pPr/>
            <w:hyperlink r:id="rId10" w:history="1">
              <w:r>
                <w:rPr>
                  <w:rStyle w:val="Hyperlink"/>
                </w:rPr>
                <w:t xml:space="preserve">tapio güvenlik sayfası</w:t>
              </w:r>
            </w:hyperlink>
          </w:p>
        </w:tc>
      </w:tr>
      <w:tr>
        <w:tc>
          <w:tcPr>
            <w:tcW w:w="720" w:type="dxa"/>
          </w:tcPr>
          <w:p>
            <w:pPr/>
            <w:r>
              <w:t xml:space="preserve">O8</w:t>
            </w:r>
          </w:p>
        </w:tc>
        <w:tc>
          <w:tcPr>
            <w:tcW w:w="4920" w:type="dxa"/>
          </w:tcPr>
          <w:p>
            <w:pPr/>
            <w:r>
              <w:rPr>
                <w:b/>
                <w:bCs/>
              </w:rPr>
              <w:t xml:space="preserve">Türkiye'de siber güvenlik çerçevesi netleşiyor.</w:t>
            </w:r>
            <w:r>
              <w:t xml:space="preserve"> 7545 sayılı Kanun 19 Mart 2025'te yürürlüğe girdi; siber uzayda faaliyet gösteren tüm gerçek ve tüzel kişileri kapsadığı için yerel müşterilerin satın alma kriterleri de sıkılaşır (çıkarım).</w:t>
            </w:r>
          </w:p>
        </w:tc>
        <w:tc>
          <w:tcPr>
            <w:tcW w:w="3720" w:type="dxa"/>
          </w:tcPr>
          <w:p>
            <w:pPr/>
            <w:hyperlink r:id="rId8" w:history="1">
              <w:r>
                <w:rPr>
                  <w:rStyle w:val="Hyperlink"/>
                </w:rPr>
                <w:t xml:space="preserve">Köksal Hukuk</w:t>
              </w:r>
            </w:hyperlink>
          </w:p>
        </w:tc>
      </w:tr>
    </w:tbl>
    <w:p>
      <w:pPr>
        <w:pStyle w:val="Heading2"/>
      </w:pPr>
      <w:r>
        <w:t xml:space="preserve">Tehditler (T)</w:t>
      </w:r>
    </w:p>
    <w:p>
      <w:pPr/>
      <w:r>
        <w:t xml:space="preserve">En yüksek tehdit, imalatın fidye yazılımı sıralarında zirvede olması ve saldırganların uzak erişimle OT'ye geçebilmesidir. İkinci tehdit grubu, uyum yükünün (CRA, Makine Tüzüğü, 7545) fiyat baskısı altındaki üreticiye aynı anda binmesidir.</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Tehdit</w:t>
            </w:r>
          </w:p>
        </w:tc>
        <w:tc>
          <w:tcPr>
            <w:tcW w:w="3720" w:type="dxa"/>
            <w:shd w:val="clear" w:color="auto" w:fill="F2F2F2"/>
          </w:tcPr>
          <w:p>
            <w:pPr/>
            <w:r>
              <w:t xml:space="preserve">Dayanak</w:t>
            </w:r>
          </w:p>
        </w:tc>
      </w:tr>
      <w:tr>
        <w:tc>
          <w:tcPr>
            <w:tcW w:w="720" w:type="dxa"/>
          </w:tcPr>
          <w:p>
            <w:pPr/>
            <w:r>
              <w:t xml:space="preserve">T1</w:t>
            </w:r>
          </w:p>
        </w:tc>
        <w:tc>
          <w:tcPr>
            <w:tcW w:w="4920" w:type="dxa"/>
          </w:tcPr>
          <w:p>
            <w:pPr/>
            <w:r>
              <w:rPr>
                <w:b/>
                <w:bCs/>
              </w:rPr>
              <w:t xml:space="preserve">Fidye yazılımı imalatı öncelikli hedef alıyor.</w:t>
            </w:r>
            <w:r>
              <w:t xml:space="preserve"> İmalata yönelik fidye saldırıları 2025'te 520'den 838'e (+%61) çıktı; Dragos, endüstriyel kuruluşları hedefleyen 119 fidye grubu saptadı (2024'e göre yaklaşık +%49) ve fidye mağdurlarının üçte ikisinden fazlasının imalat olduğunu bildirdi.</w:t>
            </w:r>
          </w:p>
        </w:tc>
        <w:tc>
          <w:tcPr>
            <w:tcW w:w="3720" w:type="dxa"/>
          </w:tcPr>
          <w:p>
            <w:pPr/>
            <w:hyperlink r:id="rId20" w:history="1">
              <w:r>
                <w:rPr>
                  <w:rStyle w:val="Hyperlink"/>
                </w:rPr>
                <w:t xml:space="preserve">Halcyon</w:t>
              </w:r>
            </w:hyperlink>
            <w:r>
              <w:t xml:space="preserve"> (KELA verisi); </w:t>
            </w:r>
            <w:hyperlink r:id="rId15" w:history="1">
              <w:r>
                <w:rPr>
                  <w:rStyle w:val="Hyperlink"/>
                </w:rPr>
                <w:t xml:space="preserve">Dragos, Nisan 2026</w:t>
              </w:r>
            </w:hyperlink>
          </w:p>
        </w:tc>
      </w:tr>
      <w:tr>
        <w:tc>
          <w:tcPr>
            <w:tcW w:w="720" w:type="dxa"/>
          </w:tcPr>
          <w:p>
            <w:pPr/>
            <w:r>
              <w:t xml:space="preserve">T2</w:t>
            </w:r>
          </w:p>
        </w:tc>
        <w:tc>
          <w:tcPr>
            <w:tcW w:w="4920" w:type="dxa"/>
          </w:tcPr>
          <w:p>
            <w:pPr/>
            <w:r>
              <w:rPr>
                <w:b/>
                <w:bCs/>
              </w:rPr>
              <w:t xml:space="preserve">Tedarikçi ve uzak mühendislik bağlantıları en sık yol.</w:t>
            </w:r>
            <w:r>
              <w:t xml:space="preserve"> Dragos, tedarikçi erişimini, uzak mühendislik bağlantılarını ve üçüncü taraf entegrasyonlarını saldırganların en çok kullandığı yollar olarak sayıyor. Fidye saldırganları geçerli kimlik bilgisi ve uzak erişimle SCADA/HMI çalıştıran sanal sunuculara ulaşıp görme ve kontrol kaybı ve günlerce duruş yarattı.</w:t>
            </w:r>
          </w:p>
        </w:tc>
        <w:tc>
          <w:tcPr>
            <w:tcW w:w="3720" w:type="dxa"/>
          </w:tcPr>
          <w:p>
            <w:pPr/>
            <w:hyperlink r:id="rId15" w:history="1">
              <w:r>
                <w:rPr>
                  <w:rStyle w:val="Hyperlink"/>
                </w:rPr>
                <w:t xml:space="preserve">Dragos</w:t>
              </w:r>
            </w:hyperlink>
          </w:p>
        </w:tc>
      </w:tr>
      <w:tr>
        <w:tc>
          <w:tcPr>
            <w:tcW w:w="720" w:type="dxa"/>
          </w:tcPr>
          <w:p>
            <w:pPr/>
            <w:r>
              <w:t xml:space="preserve">T3</w:t>
            </w:r>
          </w:p>
        </w:tc>
        <w:tc>
          <w:tcPr>
            <w:tcW w:w="4920" w:type="dxa"/>
          </w:tcPr>
          <w:p>
            <w:pPr/>
            <w:r>
              <w:rPr>
                <w:b/>
                <w:bCs/>
              </w:rPr>
              <w:t xml:space="preserve">İnternete açık endüstriyel sistemler sürekli taranıyor.</w:t>
            </w:r>
            <w:r>
              <w:t xml:space="preserve"> Censys, dünyada 145.000'den fazla internete açık endüstriyel kontrol sistemi buldu; bunların %35'i Avrupa'da ve Avrupa'da Modbus, S7 (Siemens) gibi protokoller daha yaygın. Bir makinenin açık uzak bakım erişimi aynı taramalarda görünür (çıkarım).</w:t>
            </w:r>
          </w:p>
        </w:tc>
        <w:tc>
          <w:tcPr>
            <w:tcW w:w="3720" w:type="dxa"/>
          </w:tcPr>
          <w:p>
            <w:pPr/>
            <w:hyperlink r:id="rId16" w:history="1">
              <w:r>
                <w:rPr>
                  <w:rStyle w:val="Hyperlink"/>
                </w:rPr>
                <w:t xml:space="preserve">SecurityWeek (Censys raporu)</w:t>
              </w:r>
            </w:hyperlink>
          </w:p>
        </w:tc>
      </w:tr>
      <w:tr>
        <w:tc>
          <w:tcPr>
            <w:tcW w:w="720" w:type="dxa"/>
          </w:tcPr>
          <w:p>
            <w:pPr/>
            <w:r>
              <w:t xml:space="preserve">T4</w:t>
            </w:r>
          </w:p>
        </w:tc>
        <w:tc>
          <w:tcPr>
            <w:tcW w:w="4920" w:type="dxa"/>
          </w:tcPr>
          <w:p>
            <w:pPr/>
            <w:r>
              <w:rPr>
                <w:b/>
                <w:bCs/>
              </w:rPr>
              <w:t xml:space="preserve">Emniyet kontrolörlerini ve robotları hedef alan saldırılar gerçek.</w:t>
            </w:r>
            <w:r>
              <w:t xml:space="preserve"> TRITON, emniyet kontrolörüne (Triconex) uzaktan erişim truva atı yerleştiren ilk bilinen saldırıydı ve olay, kontrolörlerin güvenli moda geçip süreci durdurmasıyla keşfedildi. Trend Micro ve Politecnico di Milano bir endüstriyel robotta 63 zafiyet buldu; yaklaşık 83.000 cihaz uzaktan erişilebilir, 5.100'ü kimlik doğrulamasız.</w:t>
            </w:r>
          </w:p>
        </w:tc>
        <w:tc>
          <w:tcPr>
            <w:tcW w:w="3720" w:type="dxa"/>
          </w:tcPr>
          <w:p>
            <w:pPr/>
            <w:hyperlink r:id="rId18" w:history="1">
              <w:r>
                <w:rPr>
                  <w:rStyle w:val="Hyperlink"/>
                </w:rPr>
                <w:t xml:space="preserve">Dark Reading</w:t>
              </w:r>
            </w:hyperlink>
            <w:r>
              <w:t xml:space="preserve">; </w:t>
            </w:r>
            <w:hyperlink r:id="rId21" w:history="1">
              <w:r>
                <w:rPr>
                  <w:rStyle w:val="Hyperlink"/>
                </w:rPr>
                <w:t xml:space="preserve">Control Engineering</w:t>
              </w:r>
            </w:hyperlink>
          </w:p>
        </w:tc>
      </w:tr>
      <w:tr>
        <w:tc>
          <w:tcPr>
            <w:tcW w:w="720" w:type="dxa"/>
          </w:tcPr>
          <w:p>
            <w:pPr/>
            <w:r>
              <w:t xml:space="preserve">T5</w:t>
            </w:r>
          </w:p>
        </w:tc>
        <w:tc>
          <w:tcPr>
            <w:tcW w:w="4920" w:type="dxa"/>
          </w:tcPr>
          <w:p>
            <w:pPr/>
            <w:r>
              <w:rPr>
                <w:b/>
                <w:bCs/>
              </w:rPr>
              <w:t xml:space="preserve">Sessiz sabotaj fark edilmeden zarar üretir.</w:t>
            </w:r>
            <w:r>
              <w:t xml:space="preserve"> Dragos'a göre imalat fidye olayları sık sık yalnızca BT olayı diye kaydedilir, OT etkisi tanınmaz; AZURITE grubu mühendislik istasyonlarından alarm verisi, yapılandırma dosyaları ve operatör kimlik bilgisi topluyor. Reçetede 2 mm kayma bu sınıfa girer (Lab 3 notu).</w:t>
            </w:r>
          </w:p>
        </w:tc>
        <w:tc>
          <w:tcPr>
            <w:tcW w:w="3720" w:type="dxa"/>
          </w:tcPr>
          <w:p>
            <w:pPr/>
            <w:hyperlink r:id="rId15" w:history="1">
              <w:r>
                <w:rPr>
                  <w:rStyle w:val="Hyperlink"/>
                </w:rPr>
                <w:t xml:space="preserve">Dragos</w:t>
              </w:r>
            </w:hyperlink>
          </w:p>
        </w:tc>
      </w:tr>
      <w:tr>
        <w:tc>
          <w:tcPr>
            <w:tcW w:w="720" w:type="dxa"/>
          </w:tcPr>
          <w:p>
            <w:pPr/>
            <w:r>
              <w:t xml:space="preserve">T6</w:t>
            </w:r>
          </w:p>
        </w:tc>
        <w:tc>
          <w:tcPr>
            <w:tcW w:w="4920" w:type="dxa"/>
          </w:tcPr>
          <w:p>
            <w:pPr/>
            <w:r>
              <w:rPr>
                <w:b/>
                <w:bCs/>
              </w:rPr>
              <w:t xml:space="preserve">Yüksek yaptırım ve davalar.</w:t>
            </w:r>
            <w:r>
              <w:t xml:space="preserve"> CRA ihlalinde 15 milyon € veya yıllık küresel cironun %2,5'i (hangisi yüksekse). Türkiye'de 7545 sayılı Kanun, zafiyet ve olayın gecikmeden bildirilmemesine 1–10 milyon TL idari para cezası ve denetim yükümlülüklerine uymamaya 100 bin–1 milyon TL (ticari şirketlerde brüt satışın %5'ine kadar) ceza öngörüyor; ikincil düzenlemeler Temmuz 2026 itibarıyla yayımlanmamıştı.</w:t>
            </w:r>
          </w:p>
        </w:tc>
        <w:tc>
          <w:tcPr>
            <w:tcW w:w="3720" w:type="dxa"/>
          </w:tcPr>
          <w:p>
            <w:pPr/>
            <w:hyperlink r:id="rId19" w:history="1">
              <w:r>
                <w:rPr>
                  <w:rStyle w:val="Hyperlink"/>
                </w:rPr>
                <w:t xml:space="preserve">cyberresilienceact.eu</w:t>
              </w:r>
            </w:hyperlink>
            <w:r>
              <w:t xml:space="preserve">; </w:t>
            </w:r>
            <w:hyperlink r:id="rId8" w:history="1">
              <w:r>
                <w:rPr>
                  <w:rStyle w:val="Hyperlink"/>
                </w:rPr>
                <w:t xml:space="preserve">Köksal Hukuk</w:t>
              </w:r>
            </w:hyperlink>
          </w:p>
        </w:tc>
      </w:tr>
      <w:tr>
        <w:tc>
          <w:tcPr>
            <w:tcW w:w="720" w:type="dxa"/>
          </w:tcPr>
          <w:p>
            <w:pPr/>
            <w:r>
              <w:t xml:space="preserve">T7</w:t>
            </w:r>
          </w:p>
        </w:tc>
        <w:tc>
          <w:tcPr>
            <w:tcW w:w="4920" w:type="dxa"/>
          </w:tcPr>
          <w:p>
            <w:pPr/>
            <w:r>
              <w:rPr>
                <w:b/>
                <w:bCs/>
              </w:rPr>
              <w:t xml:space="preserve">Standart ve uygulama belirsizliği.</w:t>
            </w:r>
            <w:r>
              <w:t xml:space="preserve"> Makine Tüzüğü siber maddeleri için Resmî Gazete'de atıf yapılan uyumlu standart yok; üretici doğrudan mühendislik gerekçelendirmesi belgelemek zorunda. CRA uyumlu standartlarının takvimi de 2026 içinde öteleniyor.</w:t>
            </w:r>
          </w:p>
        </w:tc>
        <w:tc>
          <w:tcPr>
            <w:tcW w:w="3720" w:type="dxa"/>
          </w:tcPr>
          <w:p>
            <w:pPr/>
            <w:hyperlink r:id="rId6" w:history="1">
              <w:r>
                <w:rPr>
                  <w:rStyle w:val="Hyperlink"/>
                </w:rPr>
                <w:t xml:space="preserve">Bluefruit</w:t>
              </w:r>
            </w:hyperlink>
            <w:r>
              <w:t xml:space="preserve">; </w:t>
            </w:r>
            <w:hyperlink r:id="rId19" w:history="1">
              <w:r>
                <w:rPr>
                  <w:rStyle w:val="Hyperlink"/>
                </w:rPr>
                <w:t xml:space="preserve">cyberresilienceact.eu</w:t>
              </w:r>
            </w:hyperlink>
          </w:p>
        </w:tc>
      </w:tr>
      <w:tr>
        <w:tc>
          <w:tcPr>
            <w:tcW w:w="720" w:type="dxa"/>
          </w:tcPr>
          <w:p>
            <w:pPr/>
            <w:r>
              <w:t xml:space="preserve">T8</w:t>
            </w:r>
          </w:p>
        </w:tc>
        <w:tc>
          <w:tcPr>
            <w:tcW w:w="4920" w:type="dxa"/>
          </w:tcPr>
          <w:p>
            <w:pPr/>
            <w:r>
              <w:rPr>
                <w:b/>
                <w:bCs/>
              </w:rPr>
              <w:t xml:space="preserve">Fiyat rekabeti ve pazar kaybı.</w:t>
            </w:r>
            <w:r>
              <w:t xml:space="preserve"> Dünya ağaç işleme makinesi pazarı 12–13 milyar $; Türkiye yaklaşık %2 paya sahip, Çin, Almanya ve İtalya yaklaşık %80'i alıyor. Türkiye Rusya pazar payının yaklaşık yarısını Çin'e kaptırdı; Avrupa kalitesinde %30 ucuz olma avantajı bazı ürünlerde maliyet artışıyla eridi. Uyum maliyeti bu marjda ek baskı yaratır.</w:t>
            </w:r>
          </w:p>
        </w:tc>
        <w:tc>
          <w:tcPr>
            <w:tcW w:w="3720" w:type="dxa"/>
          </w:tcPr>
          <w:p>
            <w:pPr/>
            <w:hyperlink r:id="rId11" w:history="1">
              <w:r>
                <w:rPr>
                  <w:rStyle w:val="Hyperlink"/>
                </w:rPr>
                <w:t xml:space="preserve">Dünya</w:t>
              </w:r>
            </w:hyperlink>
            <w:r>
              <w:t xml:space="preserve"> (tarih belirtilmemiş)</w:t>
            </w:r>
          </w:p>
        </w:tc>
      </w:tr>
      <w:tr>
        <w:tc>
          <w:tcPr>
            <w:tcW w:w="720" w:type="dxa"/>
          </w:tcPr>
          <w:p>
            <w:pPr/>
            <w:r>
              <w:t xml:space="preserve">T9</w:t>
            </w:r>
          </w:p>
        </w:tc>
        <w:tc>
          <w:tcPr>
            <w:tcW w:w="4920" w:type="dxa"/>
          </w:tcPr>
          <w:p>
            <w:pPr/>
            <w:r>
              <w:rPr>
                <w:b/>
                <w:bCs/>
              </w:rPr>
              <w:t xml:space="preserve">Büyük rakipler güvenli bağlantıyı ürünün parçası yaptı.</w:t>
            </w:r>
            <w:r>
              <w:t xml:space="preserve"> HOMAG, tapio platformuyla makineden dışı çıkan bağlantı, bireysel sertifika ve Azure üzerinde kimlik yönetimi sunuyor; Altendorf, SCM, Felder, Biesse, HOMAG pazarın başlıca oyuncuları. Müşteriler bu düzeyi beklemeye başlar.</w:t>
            </w:r>
          </w:p>
        </w:tc>
        <w:tc>
          <w:tcPr>
            <w:tcW w:w="3720" w:type="dxa"/>
          </w:tcPr>
          <w:p>
            <w:pPr/>
            <w:hyperlink r:id="rId10" w:history="1">
              <w:r>
                <w:rPr>
                  <w:rStyle w:val="Hyperlink"/>
                </w:rPr>
                <w:t xml:space="preserve">tapio</w:t>
              </w:r>
            </w:hyperlink>
            <w:r>
              <w:t xml:space="preserve">; </w:t>
            </w:r>
            <w:hyperlink r:id="rId9" w:history="1">
              <w:r>
                <w:rPr>
                  <w:rStyle w:val="Hyperlink"/>
                </w:rPr>
                <w:t xml:space="preserve">Spherical Insights</w:t>
              </w:r>
            </w:hyperlink>
          </w:p>
        </w:tc>
      </w:tr>
      <w:tr>
        <w:tc>
          <w:tcPr>
            <w:tcW w:w="720" w:type="dxa"/>
          </w:tcPr>
          <w:p>
            <w:pPr/>
            <w:r>
              <w:t xml:space="preserve">T10</w:t>
            </w:r>
          </w:p>
        </w:tc>
        <w:tc>
          <w:tcPr>
            <w:tcW w:w="4920" w:type="dxa"/>
          </w:tcPr>
          <w:p>
            <w:pPr/>
            <w:r>
              <w:rPr>
                <w:b/>
                <w:bCs/>
              </w:rPr>
              <w:t xml:space="preserve">Beceri açığı.</w:t>
            </w:r>
            <w:r>
              <w:t xml:space="preserve"> ISC2'nin Aralık 2025 çalışması, bütçe baskısının sürdüğünü ve beceri ihtiyacının büyüdüğünü bildiriyor (sayısal veriler ana sayfada yok). OT güvenliği, makine üreticisi için nadir ve pahalı bir yetkinlik (çıkarım).</w:t>
            </w:r>
          </w:p>
        </w:tc>
        <w:tc>
          <w:tcPr>
            <w:tcW w:w="3720" w:type="dxa"/>
          </w:tcPr>
          <w:p>
            <w:pPr/>
            <w:hyperlink r:id="rId14" w:history="1">
              <w:r>
                <w:rPr>
                  <w:rStyle w:val="Hyperlink"/>
                </w:rPr>
                <w:t xml:space="preserve">ISC2, 4 Aralık 2025</w:t>
              </w:r>
            </w:hyperlink>
          </w:p>
        </w:tc>
      </w:tr>
    </w:tbl>
    <w:p>
      <w:pPr>
        <w:pStyle w:val="Heading2"/>
      </w:pPr>
      <w:r>
        <w:t xml:space="preserve">SWOT matrisi ve TOWS stratejileri</w:t>
      </w:r>
    </w:p>
    <w:p>
      <w:pPr/>
      <w:r>
        <w:t xml:space="preserve">Ana strateji, güçlü emniyet mimarisini (S1–S5) 2027 uyum takvimine yatırıp zayıf noktaları (W1–W4) önce kapatmaktır; saldırgan içeri girse bile insanın korunması tüm planların ortak hedefidir. Aşağıdaki kodlar üstteki S/W/O/T tablolarına atıf yapar.</w:t>
      </w:r>
    </w:p>
    <w:tbl>
      <w:tblPr>
        <w:tblStyle w:val="TableGrid"/>
        <w:tblW w:w="0" w:type="auto"/>
        <w:tblLayout w:type="fixed"/>
        <w:tblLook w:val="04A0" w:firstRow="1" w:lastRow="0" w:firstColumn="0" w:lastColumn="0" w:noHBand="0" w:noVBand="1"/>
      </w:tblPr>
      <w:tblGrid>
        <w:gridCol w:w="2618"/>
        <w:gridCol w:w="4231"/>
        <w:gridCol w:w="2511"/>
      </w:tblGrid>
      <w:tr>
        <w:trPr>
          <w:tblHeader/>
        </w:trPr>
        <w:tc>
          <w:tcPr>
            <w:tcW w:w="2618" w:type="dxa"/>
            <w:shd w:val="clear" w:color="auto" w:fill="F2F2F2"/>
          </w:tcPr>
          <w:p>
            <w:pPr/>
            <w:r>
              <w:t xml:space="preserve">Tür</w:t>
            </w:r>
          </w:p>
        </w:tc>
        <w:tc>
          <w:tcPr>
            <w:tcW w:w="4231" w:type="dxa"/>
            <w:shd w:val="clear" w:color="auto" w:fill="F2F2F2"/>
          </w:tcPr>
          <w:p>
            <w:pPr/>
            <w:r>
              <w:t xml:space="preserve">Strateji ve eylem</w:t>
            </w:r>
          </w:p>
        </w:tc>
        <w:tc>
          <w:tcPr>
            <w:tcW w:w="2511" w:type="dxa"/>
            <w:shd w:val="clear" w:color="auto" w:fill="F2F2F2"/>
          </w:tcPr>
          <w:p>
            <w:pPr/>
            <w:r>
              <w:t xml:space="preserve">Kodlar</w:t>
            </w:r>
          </w:p>
        </w:tc>
      </w:tr>
      <w:tr>
        <w:tc>
          <w:tcPr>
            <w:tcW w:w="2618" w:type="dxa"/>
          </w:tcPr>
          <w:p>
            <w:pPr/>
            <w:r>
              <w:rPr>
                <w:b/>
                <w:bCs/>
              </w:rPr>
              <w:t xml:space="preserve">SO</w:t>
            </w:r>
            <w:r>
              <w:t xml:space="preserve"> (güç + fırsat)</w:t>
            </w:r>
          </w:p>
        </w:tc>
        <w:tc>
          <w:tcPr>
            <w:tcW w:w="4231" w:type="dxa"/>
          </w:tcPr>
          <w:p>
            <w:pPr/>
            <w:r>
              <w:t xml:space="preserve">Lab çıktılarını CE/CRA teknik dosyasına dönüştür; IEC 62443-3-2/4-1/4-2 eşlemesiyle 20 Ocak 2027 öncesinde pilot dosya hazırla.</w:t>
            </w:r>
          </w:p>
        </w:tc>
        <w:tc>
          <w:tcPr>
            <w:tcW w:w="2511" w:type="dxa"/>
          </w:tcPr>
          <w:p>
            <w:pPr/>
            <w:r>
              <w:t xml:space="preserve">S1, S5 + O1, O3, O4</w:t>
            </w:r>
          </w:p>
        </w:tc>
      </w:tr>
      <w:tr>
        <w:tc>
          <w:tcPr>
            <w:tcW w:w="2618" w:type="dxa"/>
          </w:tcPr>
          <w:p>
            <w:pPr/>
            <w:r>
              <w:rPr>
                <w:b/>
                <w:bCs/>
              </w:rPr>
              <w:t xml:space="preserve">SO</w:t>
            </w:r>
          </w:p>
        </w:tc>
        <w:tc>
          <w:tcPr>
            <w:tcW w:w="4231" w:type="dxa"/>
          </w:tcPr>
          <w:p>
            <w:pPr/>
            <w:r>
              <w:t xml:space="preserve">Güvenlik mimarisini "güvenli ebatlama + istifleme hattı" olarak anahtar teslim tekliflerin standart paketi yap.</w:t>
            </w:r>
          </w:p>
        </w:tc>
        <w:tc>
          <w:tcPr>
            <w:tcW w:w="2511" w:type="dxa"/>
          </w:tcPr>
          <w:p>
            <w:pPr/>
            <w:r>
              <w:t xml:space="preserve">S2, S6, S7 + O5, O6</w:t>
            </w:r>
          </w:p>
        </w:tc>
      </w:tr>
      <w:tr>
        <w:tc>
          <w:tcPr>
            <w:tcW w:w="2618" w:type="dxa"/>
          </w:tcPr>
          <w:p>
            <w:pPr/>
            <w:r>
              <w:rPr>
                <w:b/>
                <w:bCs/>
              </w:rPr>
              <w:t xml:space="preserve">SO</w:t>
            </w:r>
          </w:p>
        </w:tc>
        <w:tc>
          <w:tcPr>
            <w:tcW w:w="4231" w:type="dxa"/>
          </w:tcPr>
          <w:p>
            <w:pPr/>
            <w:r>
              <w:t xml:space="preserve">Zone/conduit tabanlı, oturum kayıtlı uzaktan servisi satılabilir hizmet olarak tasarla.</w:t>
            </w:r>
          </w:p>
        </w:tc>
        <w:tc>
          <w:tcPr>
            <w:tcW w:w="2511" w:type="dxa"/>
          </w:tcPr>
          <w:p>
            <w:pPr/>
            <w:r>
              <w:t xml:space="preserve">S1, S3 + O7</w:t>
            </w:r>
          </w:p>
        </w:tc>
      </w:tr>
      <w:tr>
        <w:tc>
          <w:tcPr>
            <w:tcW w:w="2618" w:type="dxa"/>
          </w:tcPr>
          <w:p>
            <w:pPr/>
            <w:r>
              <w:rPr>
                <w:b/>
                <w:bCs/>
              </w:rPr>
              <w:t xml:space="preserve">WO</w:t>
            </w:r>
            <w:r>
              <w:t xml:space="preserve"> (zayıflık + fırsat)</w:t>
            </w:r>
          </w:p>
        </w:tc>
        <w:tc>
          <w:tcPr>
            <w:tcW w:w="4231" w:type="dxa"/>
          </w:tcPr>
          <w:p>
            <w:pPr/>
            <w:r>
              <w:t xml:space="preserve">Uzak erişimi DMZ'ye taşı: VPN + MFA + jump server + kişisel hesap + varsayılan kapalı; hat ağını 5 bölgeye ayır.</w:t>
            </w:r>
          </w:p>
        </w:tc>
        <w:tc>
          <w:tcPr>
            <w:tcW w:w="2511" w:type="dxa"/>
          </w:tcPr>
          <w:p>
            <w:pPr/>
            <w:r>
              <w:t xml:space="preserve">W1, W2 + O1, O3</w:t>
            </w:r>
          </w:p>
        </w:tc>
      </w:tr>
      <w:tr>
        <w:tc>
          <w:tcPr>
            <w:tcW w:w="2618" w:type="dxa"/>
          </w:tcPr>
          <w:p>
            <w:pPr/>
            <w:r>
              <w:rPr>
                <w:b/>
                <w:bCs/>
              </w:rPr>
              <w:t xml:space="preserve">WO</w:t>
            </w:r>
          </w:p>
        </w:tc>
        <w:tc>
          <w:tcPr>
            <w:tcW w:w="4231" w:type="dxa"/>
          </w:tcPr>
          <w:p>
            <w:pPr/>
            <w:r>
              <w:t xml:space="preserve">Reçeteye dijital imza + hash; Safety PLC ve robot güvenli alan parametrelerine ağdan yazmayı kapat, değişiklikte checksum kontrolü uygula.</w:t>
            </w:r>
          </w:p>
        </w:tc>
        <w:tc>
          <w:tcPr>
            <w:tcW w:w="2511" w:type="dxa"/>
          </w:tcPr>
          <w:p>
            <w:pPr/>
            <w:r>
              <w:t xml:space="preserve">W3, W4, W5 + O4</w:t>
            </w:r>
          </w:p>
        </w:tc>
      </w:tr>
      <w:tr>
        <w:tc>
          <w:tcPr>
            <w:tcW w:w="2618" w:type="dxa"/>
          </w:tcPr>
          <w:p>
            <w:pPr/>
            <w:r>
              <w:rPr>
                <w:b/>
                <w:bCs/>
              </w:rPr>
              <w:t xml:space="preserve">WO</w:t>
            </w:r>
          </w:p>
        </w:tc>
        <w:tc>
          <w:tcPr>
            <w:tcW w:w="4231" w:type="dxa"/>
          </w:tcPr>
          <w:p>
            <w:pPr/>
            <w:r>
              <w:t xml:space="preserve">SBOM, zafiyet yönetimi ve 5 yıllık müdahale/yazılım günlüğü kur; 24 saat / 72 saat / 14 gün raporlama akışını tatbikatla dene.</w:t>
            </w:r>
          </w:p>
        </w:tc>
        <w:tc>
          <w:tcPr>
            <w:tcW w:w="2511" w:type="dxa"/>
          </w:tcPr>
          <w:p>
            <w:pPr/>
            <w:r>
              <w:t xml:space="preserve">W6, W7, W9 + O1, O3</w:t>
            </w:r>
          </w:p>
        </w:tc>
      </w:tr>
      <w:tr>
        <w:tc>
          <w:tcPr>
            <w:tcW w:w="2618" w:type="dxa"/>
          </w:tcPr>
          <w:p>
            <w:pPr/>
            <w:r>
              <w:rPr>
                <w:b/>
                <w:bCs/>
              </w:rPr>
              <w:t xml:space="preserve">ST</w:t>
            </w:r>
            <w:r>
              <w:t xml:space="preserve"> (güç + tehdit)</w:t>
            </w:r>
          </w:p>
        </w:tc>
        <w:tc>
          <w:tcPr>
            <w:tcW w:w="4231" w:type="dxa"/>
          </w:tcPr>
          <w:p>
            <w:pPr/>
            <w:r>
              <w:t xml:space="preserve">Safety bağımsızlığını ölçülebilir gereksinime çevir: uzak yoldan emniyet parametresi değiştirilemez; her yama ve değişiklik sonrası emniyet fonksiyon testi.</w:t>
            </w:r>
          </w:p>
        </w:tc>
        <w:tc>
          <w:tcPr>
            <w:tcW w:w="2511" w:type="dxa"/>
          </w:tcPr>
          <w:p>
            <w:pPr/>
            <w:r>
              <w:t xml:space="preserve">S1, S3 + T2, T4</w:t>
            </w:r>
          </w:p>
        </w:tc>
      </w:tr>
      <w:tr>
        <w:tc>
          <w:tcPr>
            <w:tcW w:w="2618" w:type="dxa"/>
          </w:tcPr>
          <w:p>
            <w:pPr/>
            <w:r>
              <w:rPr>
                <w:b/>
                <w:bCs/>
              </w:rPr>
              <w:t xml:space="preserve">ST</w:t>
            </w:r>
          </w:p>
        </w:tc>
        <w:tc>
          <w:tcPr>
            <w:tcW w:w="4231" w:type="dxa"/>
          </w:tcPr>
          <w:p>
            <w:pPr/>
            <w:r>
              <w:t xml:space="preserve">Risk Register ve Evidence Pack'i denetim ve yaptırım savunması için canlı tut; olay anında kanıt korunur.</w:t>
            </w:r>
          </w:p>
        </w:tc>
        <w:tc>
          <w:tcPr>
            <w:tcW w:w="2511" w:type="dxa"/>
          </w:tcPr>
          <w:p>
            <w:pPr/>
            <w:r>
              <w:t xml:space="preserve">S4, S5 + T6, T7</w:t>
            </w:r>
          </w:p>
        </w:tc>
      </w:tr>
      <w:tr>
        <w:tc>
          <w:tcPr>
            <w:tcW w:w="2618" w:type="dxa"/>
          </w:tcPr>
          <w:p>
            <w:pPr/>
            <w:r>
              <w:rPr>
                <w:b/>
                <w:bCs/>
              </w:rPr>
              <w:t xml:space="preserve">ST</w:t>
            </w:r>
          </w:p>
        </w:tc>
        <w:tc>
          <w:tcPr>
            <w:tcW w:w="4231" w:type="dxa"/>
          </w:tcPr>
          <w:p>
            <w:pPr/>
            <w:r>
              <w:t xml:space="preserve">Siber uyumu fiyat dışı farklılaştırıcı olarak konumlandır (Çin fiyat rekabeti ve HOMAG gibi büyük rakiplere karşı).</w:t>
            </w:r>
          </w:p>
        </w:tc>
        <w:tc>
          <w:tcPr>
            <w:tcW w:w="2511" w:type="dxa"/>
          </w:tcPr>
          <w:p>
            <w:pPr/>
            <w:r>
              <w:t xml:space="preserve">S6, S7 + T8, T9</w:t>
            </w:r>
          </w:p>
        </w:tc>
      </w:tr>
      <w:tr>
        <w:tc>
          <w:tcPr>
            <w:tcW w:w="2618" w:type="dxa"/>
          </w:tcPr>
          <w:p>
            <w:pPr/>
            <w:r>
              <w:rPr>
                <w:b/>
                <w:bCs/>
              </w:rPr>
              <w:t xml:space="preserve">WT</w:t>
            </w:r>
            <w:r>
              <w:t xml:space="preserve"> (zayıflık + tehdit)</w:t>
            </w:r>
          </w:p>
        </w:tc>
        <w:tc>
          <w:tcPr>
            <w:tcW w:w="4231" w:type="dxa"/>
          </w:tcPr>
          <w:p>
            <w:pPr/>
            <w:r>
              <w:t xml:space="preserve">OT güvenliği için dış uzman/ortak kullan; sertifikalı bileşen tedarikçileri listesi oluştur.</w:t>
            </w:r>
          </w:p>
        </w:tc>
        <w:tc>
          <w:tcPr>
            <w:tcW w:w="2511" w:type="dxa"/>
          </w:tcPr>
          <w:p>
            <w:pPr/>
            <w:r>
              <w:t xml:space="preserve">W8 + T10</w:t>
            </w:r>
          </w:p>
        </w:tc>
      </w:tr>
      <w:tr>
        <w:tc>
          <w:tcPr>
            <w:tcW w:w="2618" w:type="dxa"/>
          </w:tcPr>
          <w:p>
            <w:pPr/>
            <w:r>
              <w:rPr>
                <w:b/>
                <w:bCs/>
              </w:rPr>
              <w:t xml:space="preserve">WT</w:t>
            </w:r>
          </w:p>
        </w:tc>
        <w:tc>
          <w:tcPr>
            <w:tcW w:w="4231" w:type="dxa"/>
          </w:tcPr>
          <w:p>
            <w:pPr/>
            <w:r>
              <w:t xml:space="preserve">OT gözlem (ağ görünürlüğü, günlük), çevrimdışı yedek ve ölçü/koordinat doğrulama ile sessiz sabotajı erken yakala; OT olay müdahale planı yaz.</w:t>
            </w:r>
          </w:p>
        </w:tc>
        <w:tc>
          <w:tcPr>
            <w:tcW w:w="2511" w:type="dxa"/>
          </w:tcPr>
          <w:p>
            <w:pPr/>
            <w:r>
              <w:t xml:space="preserve">W7 + T1, T5</w:t>
            </w:r>
          </w:p>
        </w:tc>
      </w:tr>
      <w:tr>
        <w:tc>
          <w:tcPr>
            <w:tcW w:w="2618" w:type="dxa"/>
          </w:tcPr>
          <w:p>
            <w:pPr/>
            <w:r>
              <w:rPr>
                <w:b/>
                <w:bCs/>
              </w:rPr>
              <w:t xml:space="preserve">WT</w:t>
            </w:r>
          </w:p>
        </w:tc>
        <w:tc>
          <w:tcPr>
            <w:tcW w:w="4231" w:type="dxa"/>
          </w:tcPr>
          <w:p>
            <w:pPr/>
            <w:r>
              <w:t xml:space="preserve">Standart ve yönetmelik gelişmelerini (uyumlu standartlar, Türkiye ikincil düzenlemeleri) izleyen bir sorumlu ata; gerekçelendirmeyi güncel tut.</w:t>
            </w:r>
          </w:p>
        </w:tc>
        <w:tc>
          <w:tcPr>
            <w:tcW w:w="2511" w:type="dxa"/>
          </w:tcPr>
          <w:p>
            <w:pPr/>
            <w:r>
              <w:t xml:space="preserve">W9 + T6, T7</w:t>
            </w:r>
          </w:p>
        </w:tc>
      </w:tr>
    </w:tbl>
    <w:p>
      <w:pPr>
        <w:pStyle w:val="Heading2"/>
      </w:pPr>
      <w:r>
        <w:t xml:space="preserve">Önceliklendirme ve eylem planı</w:t>
      </w:r>
    </w:p>
    <w:p>
      <w:pPr/>
      <w:r>
        <w:t xml:space="preserve">İlk 90 günde uzak erişimi ve emniyet parametrelerini korumak, en yüksek riski (Lab 3 Senaryo 1, skor 18) en düşük çabayla düşürür; ağ segmentasyonu ve teknik dosya daha uzun sürer ve 2027 takvimine yayılır. Etki ve çaba puanları (1–5; çaba düşükse kolay) bu analizin yargısıdır, ölçülmüş veri değildir.</w:t>
      </w:r>
    </w:p>
    <w:tbl>
      <w:tblPr>
        <w:tblStyle w:val="TableGrid"/>
        <w:tblW w:w="0" w:type="auto"/>
        <w:tblLayout w:type="fixed"/>
        <w:tblLook w:val="04A0" w:firstRow="1" w:lastRow="0" w:firstColumn="0" w:lastColumn="0" w:noHBand="0" w:noVBand="1"/>
      </w:tblPr>
      <w:tblGrid>
        <w:gridCol w:w="724"/>
        <w:gridCol w:w="3115"/>
        <w:gridCol w:w="1265"/>
        <w:gridCol w:w="1344"/>
        <w:gridCol w:w="1352"/>
        <w:gridCol w:w="1560"/>
      </w:tblGrid>
      <w:tr>
        <w:trPr>
          <w:tblHeader/>
        </w:trPr>
        <w:tc>
          <w:tcPr>
            <w:tcW w:w="724" w:type="dxa"/>
            <w:shd w:val="clear" w:color="auto" w:fill="F2F2F2"/>
          </w:tcPr>
          <w:p>
            <w:pPr/>
            <w:r>
              <w:t xml:space="preserve">Sıra</w:t>
            </w:r>
          </w:p>
        </w:tc>
        <w:tc>
          <w:tcPr>
            <w:tcW w:w="3115" w:type="dxa"/>
            <w:shd w:val="clear" w:color="auto" w:fill="F2F2F2"/>
          </w:tcPr>
          <w:p>
            <w:pPr/>
            <w:r>
              <w:t xml:space="preserve">Eylem</w:t>
            </w:r>
          </w:p>
        </w:tc>
        <w:tc>
          <w:tcPr>
            <w:tcW w:w="1265" w:type="dxa"/>
            <w:shd w:val="clear" w:color="auto" w:fill="F2F2F2"/>
          </w:tcPr>
          <w:p>
            <w:pPr/>
            <w:r>
              <w:t xml:space="preserve">Etki (1–5)</w:t>
            </w:r>
          </w:p>
        </w:tc>
        <w:tc>
          <w:tcPr>
            <w:tcW w:w="1344" w:type="dxa"/>
            <w:shd w:val="clear" w:color="auto" w:fill="F2F2F2"/>
          </w:tcPr>
          <w:p>
            <w:pPr/>
            <w:r>
              <w:t xml:space="preserve">Çaba (1–5)</w:t>
            </w:r>
          </w:p>
        </w:tc>
        <w:tc>
          <w:tcPr>
            <w:tcW w:w="1352" w:type="dxa"/>
            <w:shd w:val="clear" w:color="auto" w:fill="F2F2F2"/>
          </w:tcPr>
          <w:p>
            <w:pPr/>
            <w:r>
              <w:t xml:space="preserve">Zaman</w:t>
            </w:r>
          </w:p>
        </w:tc>
        <w:tc>
          <w:tcPr>
            <w:tcW w:w="1560" w:type="dxa"/>
            <w:shd w:val="clear" w:color="auto" w:fill="F2F2F2"/>
          </w:tcPr>
          <w:p>
            <w:pPr/>
            <w:r>
              <w:t xml:space="preserve">Karşıladığı risk</w:t>
            </w:r>
          </w:p>
        </w:tc>
      </w:tr>
      <w:tr>
        <w:tc>
          <w:tcPr>
            <w:tcW w:w="724" w:type="dxa"/>
          </w:tcPr>
          <w:p>
            <w:pPr/>
            <w:r>
              <w:t xml:space="preserve">1</w:t>
            </w:r>
          </w:p>
        </w:tc>
        <w:tc>
          <w:tcPr>
            <w:tcW w:w="3115" w:type="dxa"/>
          </w:tcPr>
          <w:p>
            <w:pPr/>
            <w:r>
              <w:t xml:space="preserve">Uzak erişimi VPN + MFA + jump server + kişisel hesap ile sınırla, varsayılan kapalı yap</w:t>
            </w:r>
          </w:p>
        </w:tc>
        <w:tc>
          <w:tcPr>
            <w:tcW w:w="1265" w:type="dxa"/>
          </w:tcPr>
          <w:p>
            <w:pPr/>
            <w:r>
              <w:t xml:space="preserve">5</w:t>
            </w:r>
          </w:p>
        </w:tc>
        <w:tc>
          <w:tcPr>
            <w:tcW w:w="1344" w:type="dxa"/>
          </w:tcPr>
          <w:p>
            <w:pPr/>
            <w:r>
              <w:t xml:space="preserve">2</w:t>
            </w:r>
          </w:p>
        </w:tc>
        <w:tc>
          <w:tcPr>
            <w:tcW w:w="1352" w:type="dxa"/>
          </w:tcPr>
          <w:p>
            <w:pPr/>
            <w:r>
              <w:t xml:space="preserve">Kasım 2026 – Ocak 2027</w:t>
            </w:r>
          </w:p>
        </w:tc>
        <w:tc>
          <w:tcPr>
            <w:tcW w:w="1560" w:type="dxa"/>
          </w:tcPr>
          <w:p>
            <w:pPr/>
            <w:r>
              <w:t xml:space="preserve">Lab 3 S1 (18, Kritik); W1</w:t>
            </w:r>
          </w:p>
        </w:tc>
      </w:tr>
      <w:tr>
        <w:tc>
          <w:tcPr>
            <w:tcW w:w="724" w:type="dxa"/>
          </w:tcPr>
          <w:p>
            <w:pPr/>
            <w:r>
              <w:t xml:space="preserve">2</w:t>
            </w:r>
          </w:p>
        </w:tc>
        <w:tc>
          <w:tcPr>
            <w:tcW w:w="3115" w:type="dxa"/>
          </w:tcPr>
          <w:p>
            <w:pPr/>
            <w:r>
              <w:t xml:space="preserve">Safety PLC ve robot güvenli alan parametrelerine ağdan yazmayı kapat; değişiklikte checksum kontrolü</w:t>
            </w:r>
          </w:p>
        </w:tc>
        <w:tc>
          <w:tcPr>
            <w:tcW w:w="1265" w:type="dxa"/>
          </w:tcPr>
          <w:p>
            <w:pPr/>
            <w:r>
              <w:t xml:space="preserve">5</w:t>
            </w:r>
          </w:p>
        </w:tc>
        <w:tc>
          <w:tcPr>
            <w:tcW w:w="1344" w:type="dxa"/>
          </w:tcPr>
          <w:p>
            <w:pPr/>
            <w:r>
              <w:t xml:space="preserve">2</w:t>
            </w:r>
          </w:p>
        </w:tc>
        <w:tc>
          <w:tcPr>
            <w:tcW w:w="1352" w:type="dxa"/>
          </w:tcPr>
          <w:p>
            <w:pPr/>
            <w:r>
              <w:t xml:space="preserve">Kasım 2026 – Ocak 2027</w:t>
            </w:r>
          </w:p>
        </w:tc>
        <w:tc>
          <w:tcPr>
            <w:tcW w:w="1560" w:type="dxa"/>
          </w:tcPr>
          <w:p>
            <w:pPr/>
            <w:r>
              <w:t xml:space="preserve">Lab 3 S1; W4</w:t>
            </w:r>
          </w:p>
        </w:tc>
      </w:tr>
      <w:tr>
        <w:tc>
          <w:tcPr>
            <w:tcW w:w="724" w:type="dxa"/>
          </w:tcPr>
          <w:p>
            <w:pPr/>
            <w:r>
              <w:t xml:space="preserve">3</w:t>
            </w:r>
          </w:p>
        </w:tc>
        <w:tc>
          <w:tcPr>
            <w:tcW w:w="3115" w:type="dxa"/>
          </w:tcPr>
          <w:p>
            <w:pPr/>
            <w:r>
              <w:t xml:space="preserve">USB portlarını kapat, tarama kiosku kur; mühendislik dizüstünü ofis ağından ayır</w:t>
            </w:r>
          </w:p>
        </w:tc>
        <w:tc>
          <w:tcPr>
            <w:tcW w:w="1265" w:type="dxa"/>
          </w:tcPr>
          <w:p>
            <w:pPr/>
            <w:r>
              <w:t xml:space="preserve">3</w:t>
            </w:r>
          </w:p>
        </w:tc>
        <w:tc>
          <w:tcPr>
            <w:tcW w:w="1344" w:type="dxa"/>
          </w:tcPr>
          <w:p>
            <w:pPr/>
            <w:r>
              <w:t xml:space="preserve">2</w:t>
            </w:r>
          </w:p>
        </w:tc>
        <w:tc>
          <w:tcPr>
            <w:tcW w:w="1352" w:type="dxa"/>
          </w:tcPr>
          <w:p>
            <w:pPr/>
            <w:r>
              <w:t xml:space="preserve">Kasım 2026 – Ocak 2027</w:t>
            </w:r>
          </w:p>
        </w:tc>
        <w:tc>
          <w:tcPr>
            <w:tcW w:w="1560" w:type="dxa"/>
          </w:tcPr>
          <w:p>
            <w:pPr/>
            <w:r>
              <w:t xml:space="preserve">Lab 3 S3 (S=3 bayraklı); W5</w:t>
            </w:r>
          </w:p>
        </w:tc>
      </w:tr>
      <w:tr>
        <w:tc>
          <w:tcPr>
            <w:tcW w:w="724" w:type="dxa"/>
          </w:tcPr>
          <w:p>
            <w:pPr/>
            <w:r>
              <w:t xml:space="preserve">4</w:t>
            </w:r>
          </w:p>
        </w:tc>
        <w:tc>
          <w:tcPr>
            <w:tcW w:w="3115" w:type="dxa"/>
          </w:tcPr>
          <w:p>
            <w:pPr/>
            <w:r>
              <w:t xml:space="preserve">CRA raporlama akışını (24 saat / 72 saat / 14 gün) tatbikatla dene, sorumluları ata</w:t>
            </w:r>
          </w:p>
        </w:tc>
        <w:tc>
          <w:tcPr>
            <w:tcW w:w="1265" w:type="dxa"/>
          </w:tcPr>
          <w:p>
            <w:pPr/>
            <w:r>
              <w:t xml:space="preserve">3</w:t>
            </w:r>
          </w:p>
        </w:tc>
        <w:tc>
          <w:tcPr>
            <w:tcW w:w="1344" w:type="dxa"/>
          </w:tcPr>
          <w:p>
            <w:pPr/>
            <w:r>
              <w:t xml:space="preserve">2</w:t>
            </w:r>
          </w:p>
        </w:tc>
        <w:tc>
          <w:tcPr>
            <w:tcW w:w="1352" w:type="dxa"/>
          </w:tcPr>
          <w:p>
            <w:pPr/>
            <w:r>
              <w:t xml:space="preserve">Hemen (raporlama 11 Eylül 2026'da başladı)</w:t>
            </w:r>
          </w:p>
        </w:tc>
        <w:tc>
          <w:tcPr>
            <w:tcW w:w="1560" w:type="dxa"/>
          </w:tcPr>
          <w:p>
            <w:pPr/>
            <w:r>
              <w:t xml:space="preserve">W7; T6</w:t>
            </w:r>
          </w:p>
        </w:tc>
      </w:tr>
      <w:tr>
        <w:tc>
          <w:tcPr>
            <w:tcW w:w="724" w:type="dxa"/>
          </w:tcPr>
          <w:p>
            <w:pPr/>
            <w:r>
              <w:t xml:space="preserve">5</w:t>
            </w:r>
          </w:p>
        </w:tc>
        <w:tc>
          <w:tcPr>
            <w:tcW w:w="3115" w:type="dxa"/>
          </w:tcPr>
          <w:p>
            <w:pPr/>
            <w:r>
              <w:t xml:space="preserve">Oturum kaydı, müdahale/yazılım günlüğü (5 yıl saklama) ve OT olay müdahale planı</w:t>
            </w:r>
          </w:p>
        </w:tc>
        <w:tc>
          <w:tcPr>
            <w:tcW w:w="1265" w:type="dxa"/>
          </w:tcPr>
          <w:p>
            <w:pPr/>
            <w:r>
              <w:t xml:space="preserve">4</w:t>
            </w:r>
          </w:p>
        </w:tc>
        <w:tc>
          <w:tcPr>
            <w:tcW w:w="1344" w:type="dxa"/>
          </w:tcPr>
          <w:p>
            <w:pPr/>
            <w:r>
              <w:t xml:space="preserve">3</w:t>
            </w:r>
          </w:p>
        </w:tc>
        <w:tc>
          <w:tcPr>
            <w:tcW w:w="1352" w:type="dxa"/>
          </w:tcPr>
          <w:p>
            <w:pPr/>
            <w:r>
              <w:t xml:space="preserve">20 Ocak 2027 öncesi</w:t>
            </w:r>
          </w:p>
        </w:tc>
        <w:tc>
          <w:tcPr>
            <w:tcW w:w="1560" w:type="dxa"/>
          </w:tcPr>
          <w:p>
            <w:pPr/>
            <w:r>
              <w:t xml:space="preserve">W7, W9; O1</w:t>
            </w:r>
          </w:p>
        </w:tc>
      </w:tr>
      <w:tr>
        <w:tc>
          <w:tcPr>
            <w:tcW w:w="724" w:type="dxa"/>
          </w:tcPr>
          <w:p>
            <w:pPr/>
            <w:r>
              <w:t xml:space="preserve">6</w:t>
            </w:r>
          </w:p>
        </w:tc>
        <w:tc>
          <w:tcPr>
            <w:tcW w:w="3115" w:type="dxa"/>
          </w:tcPr>
          <w:p>
            <w:pPr/>
            <w:r>
              <w:t xml:space="preserve">Reçeteye dijital imza + hash; ölçü, koordinat ve ağırlık makullük kontrolü</w:t>
            </w:r>
          </w:p>
        </w:tc>
        <w:tc>
          <w:tcPr>
            <w:tcW w:w="1265" w:type="dxa"/>
          </w:tcPr>
          <w:p>
            <w:pPr/>
            <w:r>
              <w:t xml:space="preserve">4</w:t>
            </w:r>
          </w:p>
        </w:tc>
        <w:tc>
          <w:tcPr>
            <w:tcW w:w="1344" w:type="dxa"/>
          </w:tcPr>
          <w:p>
            <w:pPr/>
            <w:r>
              <w:t xml:space="preserve">3</w:t>
            </w:r>
          </w:p>
        </w:tc>
        <w:tc>
          <w:tcPr>
            <w:tcW w:w="1352" w:type="dxa"/>
          </w:tcPr>
          <w:p>
            <w:pPr/>
            <w:r>
              <w:t xml:space="preserve">Ocak – Mart 2027</w:t>
            </w:r>
          </w:p>
        </w:tc>
        <w:tc>
          <w:tcPr>
            <w:tcW w:w="1560" w:type="dxa"/>
          </w:tcPr>
          <w:p>
            <w:pPr/>
            <w:r>
              <w:t xml:space="preserve">Lab 3 S2 (12, Yüksek); W3; T5</w:t>
            </w:r>
          </w:p>
        </w:tc>
      </w:tr>
      <w:tr>
        <w:tc>
          <w:tcPr>
            <w:tcW w:w="724" w:type="dxa"/>
          </w:tcPr>
          <w:p>
            <w:pPr/>
            <w:r>
              <w:t xml:space="preserve">7</w:t>
            </w:r>
          </w:p>
        </w:tc>
        <w:tc>
          <w:tcPr>
            <w:tcW w:w="3115" w:type="dxa"/>
          </w:tcPr>
          <w:p>
            <w:pPr/>
            <w:r>
              <w:t xml:space="preserve">SBOM, zafiyet yönetimi ve yama süreci (test → bakım penceresi → emniyet doğrulama)</w:t>
            </w:r>
          </w:p>
        </w:tc>
        <w:tc>
          <w:tcPr>
            <w:tcW w:w="1265" w:type="dxa"/>
          </w:tcPr>
          <w:p>
            <w:pPr/>
            <w:r>
              <w:t xml:space="preserve">4</w:t>
            </w:r>
          </w:p>
        </w:tc>
        <w:tc>
          <w:tcPr>
            <w:tcW w:w="1344" w:type="dxa"/>
          </w:tcPr>
          <w:p>
            <w:pPr/>
            <w:r>
              <w:t xml:space="preserve">3</w:t>
            </w:r>
          </w:p>
        </w:tc>
        <w:tc>
          <w:tcPr>
            <w:tcW w:w="1352" w:type="dxa"/>
          </w:tcPr>
          <w:p>
            <w:pPr/>
            <w:r>
              <w:t xml:space="preserve">Ocak – Haziran 2027</w:t>
            </w:r>
          </w:p>
        </w:tc>
        <w:tc>
          <w:tcPr>
            <w:tcW w:w="1560" w:type="dxa"/>
          </w:tcPr>
          <w:p>
            <w:pPr/>
            <w:r>
              <w:t xml:space="preserve">Lab 5; W6</w:t>
            </w:r>
          </w:p>
        </w:tc>
      </w:tr>
      <w:tr>
        <w:tc>
          <w:tcPr>
            <w:tcW w:w="724" w:type="dxa"/>
          </w:tcPr>
          <w:p>
            <w:pPr/>
            <w:r>
              <w:t xml:space="preserve">8</w:t>
            </w:r>
          </w:p>
        </w:tc>
        <w:tc>
          <w:tcPr>
            <w:tcW w:w="3115" w:type="dxa"/>
          </w:tcPr>
          <w:p>
            <w:pPr/>
            <w:r>
              <w:t xml:space="preserve">Ağ segmentasyonu: 5 bölge, 4 geçiş, güvenlik duvarı + DPI</w:t>
            </w:r>
          </w:p>
        </w:tc>
        <w:tc>
          <w:tcPr>
            <w:tcW w:w="1265" w:type="dxa"/>
          </w:tcPr>
          <w:p>
            <w:pPr/>
            <w:r>
              <w:t xml:space="preserve">5</w:t>
            </w:r>
          </w:p>
        </w:tc>
        <w:tc>
          <w:tcPr>
            <w:tcW w:w="1344" w:type="dxa"/>
          </w:tcPr>
          <w:p>
            <w:pPr/>
            <w:r>
              <w:t xml:space="preserve">4</w:t>
            </w:r>
          </w:p>
        </w:tc>
        <w:tc>
          <w:tcPr>
            <w:tcW w:w="1352" w:type="dxa"/>
          </w:tcPr>
          <w:p>
            <w:pPr/>
            <w:r>
              <w:t xml:space="preserve">Ocak – Haziran 2027</w:t>
            </w:r>
          </w:p>
        </w:tc>
        <w:tc>
          <w:tcPr>
            <w:tcW w:w="1560" w:type="dxa"/>
          </w:tcPr>
          <w:p>
            <w:pPr/>
            <w:r>
              <w:t xml:space="preserve">W2; T1, T2</w:t>
            </w:r>
          </w:p>
        </w:tc>
      </w:tr>
      <w:tr>
        <w:tc>
          <w:tcPr>
            <w:tcW w:w="724" w:type="dxa"/>
          </w:tcPr>
          <w:p>
            <w:pPr/>
            <w:r>
              <w:t xml:space="preserve">9</w:t>
            </w:r>
          </w:p>
        </w:tc>
        <w:tc>
          <w:tcPr>
            <w:tcW w:w="3115" w:type="dxa"/>
          </w:tcPr>
          <w:p>
            <w:pPr/>
            <w:r>
              <w:t xml:space="preserve">Teknik dosya: IEC 62443 eşlemesi, Safety Function Map ve Risk Register'ın CE dosyasına işlenmesi</w:t>
            </w:r>
          </w:p>
        </w:tc>
        <w:tc>
          <w:tcPr>
            <w:tcW w:w="1265" w:type="dxa"/>
          </w:tcPr>
          <w:p>
            <w:pPr/>
            <w:r>
              <w:t xml:space="preserve">4</w:t>
            </w:r>
          </w:p>
        </w:tc>
        <w:tc>
          <w:tcPr>
            <w:tcW w:w="1344" w:type="dxa"/>
          </w:tcPr>
          <w:p>
            <w:pPr/>
            <w:r>
              <w:t xml:space="preserve">4</w:t>
            </w:r>
          </w:p>
        </w:tc>
        <w:tc>
          <w:tcPr>
            <w:tcW w:w="1352" w:type="dxa"/>
          </w:tcPr>
          <w:p>
            <w:pPr/>
            <w:r>
              <w:t xml:space="preserve">11 Aralık 2027 (CRA tam uygulama) öncesi</w:t>
            </w:r>
          </w:p>
        </w:tc>
        <w:tc>
          <w:tcPr>
            <w:tcW w:w="1560" w:type="dxa"/>
          </w:tcPr>
          <w:p>
            <w:pPr/>
            <w:r>
              <w:t xml:space="preserve">O1, O3, O4; T6, T7</w:t>
            </w:r>
          </w:p>
        </w:tc>
      </w:tr>
      <w:tr>
        <w:tc>
          <w:tcPr>
            <w:tcW w:w="724" w:type="dxa"/>
          </w:tcPr>
          <w:p>
            <w:pPr/>
            <w:r>
              <w:t xml:space="preserve">10</w:t>
            </w:r>
          </w:p>
        </w:tc>
        <w:tc>
          <w:tcPr>
            <w:tcW w:w="3115" w:type="dxa"/>
          </w:tcPr>
          <w:p>
            <w:pPr/>
            <w:r>
              <w:t xml:space="preserve">Tedarikçi ve yetkinlik planı: sertifikalı bileşen listesi, OT güvenliği için ortak/eğitim</w:t>
            </w:r>
          </w:p>
        </w:tc>
        <w:tc>
          <w:tcPr>
            <w:tcW w:w="1265" w:type="dxa"/>
          </w:tcPr>
          <w:p>
            <w:pPr/>
            <w:r>
              <w:t xml:space="preserve">3</w:t>
            </w:r>
          </w:p>
        </w:tc>
        <w:tc>
          <w:tcPr>
            <w:tcW w:w="1344" w:type="dxa"/>
          </w:tcPr>
          <w:p>
            <w:pPr/>
            <w:r>
              <w:t xml:space="preserve">3</w:t>
            </w:r>
          </w:p>
        </w:tc>
        <w:tc>
          <w:tcPr>
            <w:tcW w:w="1352" w:type="dxa"/>
          </w:tcPr>
          <w:p>
            <w:pPr/>
            <w:r>
              <w:t xml:space="preserve">2027 boyunca</w:t>
            </w:r>
          </w:p>
        </w:tc>
        <w:tc>
          <w:tcPr>
            <w:tcW w:w="1560" w:type="dxa"/>
          </w:tcPr>
          <w:p>
            <w:pPr/>
            <w:r>
              <w:t xml:space="preserve">W8; T10</w:t>
            </w:r>
          </w:p>
        </w:tc>
      </w:tr>
    </w:tbl>
    <w:p>
      <w:pPr/>
      <w:r>
        <w:rPr>
          <w:b/>
          <w:bCs/>
        </w:rPr>
        <w:t xml:space="preserve">Lab 1–5 ile bağlantı:</w:t>
      </w:r>
      <w:r>
        <w:t xml:space="preserve"> Safety Function Map (Lab 1) güçlü yönlerin, Zone/Conduit ve Secure Remote Access (Lab 2, 4) 1., 2. ve 8. eylemin, Risk Register (Lab 3) önceliğin, Vulnerability Decision (Lab 5) 7. eylemin kaynağıdır.</w:t>
      </w:r>
    </w:p>
    <w:p>
      <w:pPr>
        <w:pStyle w:val="Heading2"/>
      </w:pPr>
      <w:r>
        <w:t xml:space="preserve">Doğrulanması gereken noktalar ve sınırlar</w:t>
      </w:r>
    </w:p>
    <w:p>
      <w:pPr/>
      <w:r>
        <w:t xml:space="preserve">Analizin sonuçları aşağıdaki beş nokta doğrulanırsa sağlamlaşır; hiçbiri ana bulguyu (açık uzak erişim, düz ağ, imzasız reçete) tek başına değiştirmez.</w:t>
      </w:r>
    </w:p>
    <w:p>
      <w:pPr>
        <w:pStyle w:val="ListParagraph"/>
        <w:numPr>
          <w:ilvl w:val="0"/>
          <w:numId w:val="3"/>
        </w:numPr>
      </w:pPr>
      <w:r>
        <w:rPr>
          <w:b/>
          <w:bCs/>
        </w:rPr>
        <w:t xml:space="preserve">Makine varsayımları.</w:t>
      </w:r>
      <w:r>
        <w:t xml:space="preserve"> Emniyet donanımı, uzak bakım erişimi, reçete akışı ve ağ yapısı tipik bir mimariden alındı; üretici dokümanıyla doğrulanmalı. PLr değerleri eğitim amaçlı tahmindir.</w:t>
      </w:r>
    </w:p>
    <w:p>
      <w:pPr>
        <w:pStyle w:val="ListParagraph"/>
        <w:numPr>
          <w:ilvl w:val="0"/>
          <w:numId w:val="3"/>
        </w:numPr>
      </w:pPr>
      <w:r>
        <w:rPr>
          <w:b/>
          <w:bCs/>
        </w:rPr>
        <w:t xml:space="preserve">Türkiye Makine Emniyeti Yönetmeliği.</w:t>
      </w:r>
      <w:r>
        <w:t xml:space="preserve"> Ulaşılabilen metin Madde 11'de kesik; yürürlük tarihi ve siber güvenlik hükmü teyit edilemedi. Tam metin Resmî Gazete'den okunmalı.</w:t>
      </w:r>
    </w:p>
    <w:p>
      <w:pPr>
        <w:pStyle w:val="ListParagraph"/>
        <w:numPr>
          <w:ilvl w:val="0"/>
          <w:numId w:val="3"/>
        </w:numPr>
      </w:pPr>
      <w:r>
        <w:rPr>
          <w:b/>
          <w:bCs/>
        </w:rPr>
        <w:t xml:space="preserve">7545 sayılı Kanun.</w:t>
      </w:r>
      <w:r>
        <w:t xml:space="preserve"> İkincil düzenlemeler Temmuz 2026 itibarıyla yayımlanmamıştı (kaynak özeti); sonraki gelişmeler kontrol edilmedi. Raporlama süresi Kanun'da sayısal değil, "gecikmeden".</w:t>
      </w:r>
    </w:p>
    <w:p>
      <w:pPr>
        <w:pStyle w:val="ListParagraph"/>
        <w:numPr>
          <w:ilvl w:val="0"/>
          <w:numId w:val="3"/>
        </w:numPr>
      </w:pPr>
      <w:r>
        <w:rPr>
          <w:b/>
          <w:bCs/>
        </w:rPr>
        <w:t xml:space="preserve">Tarihsiz veya eksik kaynaklar.</w:t>
      </w:r>
      <w:r>
        <w:t xml:space="preserve"> Dünya makalesi, Censys/SecurityWeek verisi ve robot zafiyet çalışması (Control Engineering) yıl belirtmiyor; ISC2 sayfasında sayısal bulgu yok. Spherical Insights'taki Avrupa büyüme oranı genel tahminle çeliştiği için kullanılmadı. Pazar büyüklüğü araştırma şirketi tahminidir.</w:t>
      </w:r>
    </w:p>
    <w:p>
      <w:pPr>
        <w:pStyle w:val="ListParagraph"/>
        <w:numPr>
          <w:ilvl w:val="0"/>
          <w:numId w:val="3"/>
        </w:numPr>
      </w:pPr>
      <w:r>
        <w:rPr>
          <w:b/>
          <w:bCs/>
        </w:rPr>
        <w:t xml:space="preserve">TRITON örneği.</w:t>
      </w:r>
      <w:r>
        <w:t xml:space="preserve"> Kaynak, fiziksel zarar verici bir yükün bulunmadığını ve saldırganların amacının bilinmediğini belirtiyor; Schneider kontrolörlerin devreye girmesini bir geliştirme hatasına bağlıyor. Bu örnek, emniyet kontrolörlerinin hedef alınabildiğinin göstergesi olarak kullanıldı, gerçekleşmiş bir zarar kanıtı olarak değil.</w:t>
      </w:r>
    </w:p>
    <w:p>
      <w:pPr>
        <w:pStyle w:val="Heading2"/>
      </w:pPr>
      <w:r>
        <w:t xml:space="preserve">Kaynaklar</w:t>
      </w:r>
    </w:p>
    <w:p>
      <w:pPr/>
      <w:r>
        <w:t xml:space="preserve">Aşağıdaki sayfalar 30 Ekim 2026'da açılıp okunmuştur; arama sonucu özeti kaynak sayılmamıştır. Tarihi sayfada belirtilmeyen kaynaklar açıkça işaretlendi.</w:t>
      </w:r>
    </w:p>
    <w:p>
      <w:pPr/>
      <w:r>
        <w:rPr>
          <w:b/>
          <w:bCs/>
        </w:rPr>
        <w:t xml:space="preserve">Mevzuat ve standartlar</w:t>
      </w:r>
    </w:p>
    <w:p>
      <w:pPr>
        <w:pStyle w:val="ListParagraph"/>
        <w:numPr>
          <w:ilvl w:val="0"/>
          <w:numId w:val="4"/>
        </w:numPr>
      </w:pPr>
      <w:hyperlink r:id="rId5" w:history="1">
        <w:r>
          <w:rPr>
            <w:rStyle w:val="Hyperlink"/>
          </w:rPr>
          <w:t xml:space="preserve">AB Komisyonu — CRA raporlama yükümlülükleri</w:t>
        </w:r>
      </w:hyperlink>
      <w:r>
        <w:t xml:space="preserve">: 11 Eylül 2026 başlangıcı; 24 saat / 72 saat / son rapor; tek raporlama platformu.</w:t>
      </w:r>
    </w:p>
    <w:p>
      <w:pPr>
        <w:pStyle w:val="ListParagraph"/>
        <w:numPr>
          <w:ilvl w:val="0"/>
          <w:numId w:val="4"/>
        </w:numPr>
      </w:pPr>
      <w:hyperlink r:id="rId22" w:history="1">
        <w:r>
          <w:rPr>
            <w:rStyle w:val="Hyperlink"/>
          </w:rPr>
          <w:t xml:space="preserve">AB Komisyonu — Cyber Resilience Act</w:t>
        </w:r>
      </w:hyperlink>
      <w:r>
        <w:t xml:space="preserve">: kapsam, yürürlük (10 Aralık 2024) ve ana yükümlülükler (11 Aralık 2027).</w:t>
      </w:r>
    </w:p>
    <w:p>
      <w:pPr>
        <w:pStyle w:val="ListParagraph"/>
        <w:numPr>
          <w:ilvl w:val="0"/>
          <w:numId w:val="4"/>
        </w:numPr>
      </w:pPr>
      <w:hyperlink r:id="rId19" w:history="1">
        <w:r>
          <w:rPr>
            <w:rStyle w:val="Hyperlink"/>
          </w:rPr>
          <w:t xml:space="preserve">cyberresilienceact.eu — CRA açıklaması</w:t>
        </w:r>
      </w:hyperlink>
      <w:r>
        <w:t xml:space="preserve">: ceza üst sınırları, ürün sınıfları, SBOM, destek süresi (bağımsız rehber, hukuki görüş değil).</w:t>
      </w:r>
    </w:p>
    <w:p>
      <w:pPr>
        <w:pStyle w:val="ListParagraph"/>
        <w:numPr>
          <w:ilvl w:val="0"/>
          <w:numId w:val="4"/>
        </w:numPr>
      </w:pPr>
      <w:hyperlink r:id="rId6" w:history="1">
        <w:r>
          <w:rPr>
            <w:rStyle w:val="Hyperlink"/>
          </w:rPr>
          <w:t xml:space="preserve">Bluefruit — Makine Tüzüğü 2023/1230, IEC 62443 ve CRA</w:t>
        </w:r>
      </w:hyperlink>
      <w:r>
        <w:t xml:space="preserve">: 20 Ocak 2027, EHSR 1.1.9 / 1.2.1, uyumlu standart durumu (üçüncü taraf yorumu).</w:t>
      </w:r>
    </w:p>
    <w:p>
      <w:pPr>
        <w:pStyle w:val="ListParagraph"/>
        <w:numPr>
          <w:ilvl w:val="0"/>
          <w:numId w:val="4"/>
        </w:numPr>
      </w:pPr>
      <w:hyperlink r:id="rId7" w:history="1">
        <w:r>
          <w:rPr>
            <w:rStyle w:val="Hyperlink"/>
          </w:rPr>
          <w:t xml:space="preserve">Alomaliye — Makine Emniyeti Yönetmeliği (AB) 2023/1230, 16 Ekim 2026</w:t>
        </w:r>
      </w:hyperlink>
      <w:r>
        <w:t xml:space="preserve">: Resmî Gazete yayımı; ulaşabilen metin yarıda kesik.</w:t>
      </w:r>
    </w:p>
    <w:p>
      <w:pPr>
        <w:pStyle w:val="ListParagraph"/>
        <w:numPr>
          <w:ilvl w:val="0"/>
          <w:numId w:val="4"/>
        </w:numPr>
      </w:pPr>
      <w:hyperlink r:id="rId8" w:history="1">
        <w:r>
          <w:rPr>
            <w:rStyle w:val="Hyperlink"/>
          </w:rPr>
          <w:t xml:space="preserve">Köksal Hukuk — 7545 sayılı Siber Güvenlik Kanunu</w:t>
        </w:r>
      </w:hyperlink>
      <w:r>
        <w:t xml:space="preserve">: yürürlük, kapsam, cezalar (hukuk bürosu özeti).</w:t>
      </w:r>
    </w:p>
    <w:p>
      <w:pPr/>
      <w:r>
        <w:rPr>
          <w:b/>
          <w:bCs/>
        </w:rPr>
        <w:t xml:space="preserve">Tehdit ve olay verileri</w:t>
      </w:r>
    </w:p>
    <w:p>
      <w:pPr>
        <w:pStyle w:val="ListParagraph"/>
        <w:numPr>
          <w:ilvl w:val="0"/>
          <w:numId w:val="5"/>
        </w:numPr>
      </w:pPr>
      <w:hyperlink r:id="rId15" w:history="1">
        <w:r>
          <w:rPr>
            <w:rStyle w:val="Hyperlink"/>
          </w:rPr>
          <w:t xml:space="preserve">Dragos — imalat OT tehditleri, Nisan 2026</w:t>
        </w:r>
      </w:hyperlink>
      <w:r>
        <w:t xml:space="preserve">: 2025 verileri.</w:t>
      </w:r>
    </w:p>
    <w:p>
      <w:pPr>
        <w:pStyle w:val="ListParagraph"/>
        <w:numPr>
          <w:ilvl w:val="0"/>
          <w:numId w:val="5"/>
        </w:numPr>
      </w:pPr>
      <w:hyperlink r:id="rId20" w:history="1">
        <w:r>
          <w:rPr>
            <w:rStyle w:val="Hyperlink"/>
          </w:rPr>
          <w:t xml:space="preserve">Halcyon — imalat fidye yazılımı</w:t>
        </w:r>
      </w:hyperlink>
      <w:r>
        <w:t xml:space="preserve">: KELA, Sophos, Dragos çalışmalarını derliyor.</w:t>
      </w:r>
    </w:p>
    <w:p>
      <w:pPr>
        <w:pStyle w:val="ListParagraph"/>
        <w:numPr>
          <w:ilvl w:val="0"/>
          <w:numId w:val="5"/>
        </w:numPr>
      </w:pPr>
      <w:hyperlink r:id="rId16" w:history="1">
        <w:r>
          <w:rPr>
            <w:rStyle w:val="Hyperlink"/>
          </w:rPr>
          <w:t xml:space="preserve">SecurityWeek — Censys: internete açık ICS</w:t>
        </w:r>
      </w:hyperlink>
      <w:r>
        <w:t xml:space="preserve">: veri yılı makalede belirtilmemiş.</w:t>
      </w:r>
    </w:p>
    <w:p>
      <w:pPr>
        <w:pStyle w:val="ListParagraph"/>
        <w:numPr>
          <w:ilvl w:val="0"/>
          <w:numId w:val="5"/>
        </w:numPr>
      </w:pPr>
      <w:hyperlink r:id="rId18" w:history="1">
        <w:r>
          <w:rPr>
            <w:rStyle w:val="Hyperlink"/>
          </w:rPr>
          <w:t xml:space="preserve">Dark Reading — TRITON/TRISIS</w:t>
        </w:r>
      </w:hyperlink>
      <w:r>
        <w:t xml:space="preserve">: 18 Ocak 2018.</w:t>
      </w:r>
    </w:p>
    <w:p>
      <w:pPr>
        <w:pStyle w:val="ListParagraph"/>
        <w:numPr>
          <w:ilvl w:val="0"/>
          <w:numId w:val="5"/>
        </w:numPr>
      </w:pPr>
      <w:hyperlink r:id="rId17" w:history="1">
        <w:r>
          <w:rPr>
            <w:rStyle w:val="Hyperlink"/>
          </w:rPr>
          <w:t xml:space="preserve">Trend Micro — akıllı fabrika, görev programı saldırı senaryoları</w:t>
        </w:r>
      </w:hyperlink>
      <w:r>
        <w:t xml:space="preserve">: 9 Nisan 2021.</w:t>
      </w:r>
    </w:p>
    <w:p>
      <w:pPr>
        <w:pStyle w:val="ListParagraph"/>
        <w:numPr>
          <w:ilvl w:val="0"/>
          <w:numId w:val="5"/>
        </w:numPr>
      </w:pPr>
      <w:hyperlink r:id="rId21" w:history="1">
        <w:r>
          <w:rPr>
            <w:rStyle w:val="Hyperlink"/>
          </w:rPr>
          <w:t xml:space="preserve">Control Engineering — endüstriyel robot zafiyetleri</w:t>
        </w:r>
      </w:hyperlink>
      <w:r>
        <w:t xml:space="preserve">: Trend Micro / Politecnico di Milano; yıl belirtilmemiş.</w:t>
      </w:r>
    </w:p>
    <w:p>
      <w:pPr>
        <w:pStyle w:val="ListParagraph"/>
        <w:numPr>
          <w:ilvl w:val="0"/>
          <w:numId w:val="5"/>
        </w:numPr>
      </w:pPr>
      <w:hyperlink r:id="rId14" w:history="1">
        <w:r>
          <w:rPr>
            <w:rStyle w:val="Hyperlink"/>
          </w:rPr>
          <w:t xml:space="preserve">ISC2 — 2025 siber güvenlik işgücü çalışması</w:t>
        </w:r>
      </w:hyperlink>
      <w:r>
        <w:t xml:space="preserve">: yalnızca özet sayfası okunabildi.</w:t>
      </w:r>
    </w:p>
    <w:p>
      <w:pPr/>
      <w:r>
        <w:rPr>
          <w:b/>
          <w:bCs/>
        </w:rPr>
        <w:t xml:space="preserve">Pazar, sektör ve rakipler</w:t>
      </w:r>
    </w:p>
    <w:p>
      <w:pPr>
        <w:pStyle w:val="ListParagraph"/>
        <w:numPr>
          <w:ilvl w:val="0"/>
          <w:numId w:val="6"/>
        </w:numPr>
      </w:pPr>
      <w:hyperlink r:id="rId9" w:history="1">
        <w:r>
          <w:rPr>
            <w:rStyle w:val="Hyperlink"/>
          </w:rPr>
          <w:t xml:space="preserve">Spherical Insights — panel testere pazarı</w:t>
        </w:r>
      </w:hyperlink>
      <w:r>
        <w:t xml:space="preserve">: pazar büyüklüğü ve oyuncular (pazar araştırma şirketi tahmini; sayfadaki Avrupa büyüme oranı tutarsız olduğu için kullanılmadı).</w:t>
      </w:r>
    </w:p>
    <w:p>
      <w:pPr>
        <w:pStyle w:val="ListParagraph"/>
        <w:numPr>
          <w:ilvl w:val="0"/>
          <w:numId w:val="6"/>
        </w:numPr>
      </w:pPr>
      <w:hyperlink r:id="rId12" w:history="1">
        <w:r>
          <w:rPr>
            <w:rStyle w:val="Hyperlink"/>
          </w:rPr>
          <w:t xml:space="preserve">Ekonomi Gazetesi — ağaç işleme makinesi ihracatı</w:t>
        </w:r>
      </w:hyperlink>
      <w:r>
        <w:t xml:space="preserve">: 30 Ekim 2024, AİMSAD yönetim kurulu üyesi ağzından.</w:t>
      </w:r>
    </w:p>
    <w:p>
      <w:pPr>
        <w:pStyle w:val="ListParagraph"/>
        <w:numPr>
          <w:ilvl w:val="0"/>
          <w:numId w:val="6"/>
        </w:numPr>
      </w:pPr>
      <w:hyperlink r:id="rId11" w:history="1">
        <w:r>
          <w:rPr>
            <w:rStyle w:val="Hyperlink"/>
          </w:rPr>
          <w:t xml:space="preserve">Dünya — Çin tehdidi altındaki sektör</w:t>
        </w:r>
      </w:hyperlink>
      <w:r>
        <w:t xml:space="preserve">: tarih belirtilmemiş.</w:t>
      </w:r>
    </w:p>
    <w:p>
      <w:pPr>
        <w:pStyle w:val="ListParagraph"/>
        <w:numPr>
          <w:ilvl w:val="0"/>
          <w:numId w:val="6"/>
        </w:numPr>
      </w:pPr>
      <w:hyperlink r:id="rId10" w:history="1">
        <w:r>
          <w:rPr>
            <w:rStyle w:val="Hyperlink"/>
          </w:rPr>
          <w:t xml:space="preserve">tapio — güvenlik ve gizlilik</w:t>
        </w:r>
      </w:hyperlink>
      <w:r>
        <w:t xml:space="preserve">: HOMAG ekosistemi; üretici beyanı.</w:t>
      </w:r>
    </w:p>
    <w:p>
      <w:pPr>
        <w:pStyle w:val="ListParagraph"/>
        <w:numPr>
          <w:ilvl w:val="0"/>
          <w:numId w:val="6"/>
        </w:numPr>
      </w:pPr>
      <w:hyperlink r:id="rId13" w:history="1">
        <w:r>
          <w:rPr>
            <w:rStyle w:val="Hyperlink"/>
          </w:rPr>
          <w:t xml:space="preserve">TGRT Haber — AİMSAD Başkanı ağaç işleme makineleri sektörü</w:t>
        </w:r>
      </w:hyperlink>
      <w:r>
        <w:t xml:space="preserve">: 15 Kasım 2019; sektör büyüklüğü ve politika çerçevesi, eski veri.</w:t>
      </w:r>
    </w:p>
    <w:p>
      <w:pPr/>
      <w:r>
        <w:rPr>
          <w:b/>
          <w:bCs/>
        </w:rPr>
        <w:t xml:space="preserve">Bu çalışmanın kendi çıktıları:</w:t>
      </w:r>
      <w:r>
        <w:t xml:space="preserve"> Lab 1–5 föyleri (Panel Ebatlama Hattı sürümü); emniyet ve ağ ayrıntıları varsayımdır.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igital-strategy.ec.europa.eu/en/policies/cra-reporting" TargetMode="External"/><Relationship Id="rId6" Type="http://schemas.openxmlformats.org/officeDocument/2006/relationships/hyperlink" Target="https://bluefruit.co.uk/embedded/eu-machinery-regulation-cybersecurity/" TargetMode="External"/><Relationship Id="rId7" Type="http://schemas.openxmlformats.org/officeDocument/2006/relationships/hyperlink" Target="https://www.alomaliye.com/2026/10/16/makine-emniyeti-yonetmeligi-2023-1230-ab/" TargetMode="External"/><Relationship Id="rId8" Type="http://schemas.openxmlformats.org/officeDocument/2006/relationships/hyperlink" Target="https://koksal.av.tr/en/legislation/cybersecurity-law-no-7545/" TargetMode="External"/><Relationship Id="rId9" Type="http://schemas.openxmlformats.org/officeDocument/2006/relationships/hyperlink" Target="https://www.sphericalinsights.com/reports/panel-saw-market" TargetMode="External"/><Relationship Id="rId10" Type="http://schemas.openxmlformats.org/officeDocument/2006/relationships/hyperlink" Target="https://www.tapio.one/en/security-privacy" TargetMode="External"/><Relationship Id="rId11" Type="http://schemas.openxmlformats.org/officeDocument/2006/relationships/hyperlink" Target="https://www.dunya.com/ihracat/dis-fazla-veren-sektor-cin-tehdidi-altinda-haberi-795517" TargetMode="External"/><Relationship Id="rId12" Type="http://schemas.openxmlformats.org/officeDocument/2006/relationships/hyperlink" Target="https://www.ekonomigazetesi.com/sektor-haberleri/agac-isleme-makinelerinde-ihracat-10-yilda-65-kat-artti-36386" TargetMode="External"/><Relationship Id="rId13" Type="http://schemas.openxmlformats.org/officeDocument/2006/relationships/hyperlink" Target="https://www.tgrthaber.com/ekonomi/aimsad-baskani-erol-agac-isleme-makineleri-sektoru-cari-acik-vermiyor-2676091" TargetMode="External"/><Relationship Id="rId14" Type="http://schemas.openxmlformats.org/officeDocument/2006/relationships/hyperlink" Target="https://www.isc2.org/insights/2025/12/isc2-publishes-2025-cybersecurity-workforce-study" TargetMode="External"/><Relationship Id="rId15" Type="http://schemas.openxmlformats.org/officeDocument/2006/relationships/hyperlink" Target="https://www.dragos.com/blog/manufacturing-cybersecurity-ot-threats" TargetMode="External"/><Relationship Id="rId16" Type="http://schemas.openxmlformats.org/officeDocument/2006/relationships/hyperlink" Target="https://www.securityweek.com/ics-security-145000-systems-exposed-to-web-many-industrial-firms-hit-by-attacks/" TargetMode="External"/><Relationship Id="rId17" Type="http://schemas.openxmlformats.org/officeDocument/2006/relationships/hyperlink" Target="https://www.trendmicro.com/en_us/research/21/d/the-security-dilemma-of-smart-factories-part-2-three-attack-scenarios-that-exploit-task-program-vulnerabilities.html" TargetMode="External"/><Relationship Id="rId18" Type="http://schemas.openxmlformats.org/officeDocument/2006/relationships/hyperlink" Target="https://www.darkreading.com/vulnerabilities-threats/schneider-electric-triton-trisis-attack-used-0-day-flaw-in-its-safety-controller-system-and-a-rat" TargetMode="External"/><Relationship Id="rId19" Type="http://schemas.openxmlformats.org/officeDocument/2006/relationships/hyperlink" Target="https://www.cyberresilienceact.eu/explained.html" TargetMode="External"/><Relationship Id="rId20" Type="http://schemas.openxmlformats.org/officeDocument/2006/relationships/hyperlink" Target="https://www.halcyon.ai/blog/manufacturing-is-the-most-targeted-sector-in-ransomware" TargetMode="External"/><Relationship Id="rId21" Type="http://schemas.openxmlformats.org/officeDocument/2006/relationships/hyperlink" Target="https://www.controleng.com/industrial-robotic-systems-vulnerable-to-cyberattacks/" TargetMode="External"/><Relationship Id="rId22" Type="http://schemas.openxmlformats.org/officeDocument/2006/relationships/hyperlink" Target="https://digital-strategy.ec.europa.eu/en/policies/cyber-resilience-ac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SWOT Analizi — Panel Ebatlama ve Robotik İstifleme Hattı (Siber Dayanıklılık &amp; S</dc:title>
  <dc:description>Claude Docs node/41da836b-3a99@20 docx-w8</dc:description>
  <cp:revision>20</cp:revision>
</cp:coreProperties>
</file>