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0"/>
          <w:szCs w:val="30"/>
        </w:rPr>
        <w:t xml:space="preserve">EDITORIAL REVISION — MANUSCRIPT WITH HIGHLIGHTED CHANGES</w:t>
      </w:r>
    </w:p>
    <w:p>
      <w:pPr>
        <w:spacing w:after="120" w:line="276"/>
      </w:pPr>
      <w:r>
        <w:rPr>
          <w:b/>
          <w:bCs/>
        </w:rPr>
        <w:t xml:space="preserve">Source manuscript: </w:t>
      </w:r>
      <w:r>
        <w:rPr>
          <w:i/>
          <w:iCs/>
        </w:rPr>
        <w:t xml:space="preserve">Edge-Deployable YOLO11 Nano for Automated ACL Rehabilitation Monitoring: A Pilot Method-Comparison Study of Real-Time Progressive Leg Straight Raise Assessment</w:t>
      </w:r>
      <w:r>
        <w:t xml:space="preserve"> (Sediri, Barbaria &amp; Boussi Rahmouni).</w:t>
      </w:r>
    </w:p>
    <w:p>
      <w:pPr>
        <w:spacing w:after="120" w:line="276"/>
      </w:pPr>
      <w:r>
        <w:rPr>
          <w:b/>
          <w:bCs/>
        </w:rPr>
        <w:t xml:space="preserve">Prepared: </w:t>
      </w:r>
      <w:r>
        <w:t xml:space="preserve">editorial / methodological pass for pre-submission revision.</w:t>
      </w:r>
    </w:p>
    <w:p>
      <w:pPr>
        <w:pStyle w:val="Heading2"/>
        <w:spacing w:after="100" w:before="200"/>
      </w:pPr>
      <w:r>
        <w:t xml:space="preserve">How to read this document</w:t>
      </w:r>
    </w:p>
    <w:p>
      <w:pPr>
        <w:spacing w:after="120" w:line="276"/>
      </w:pPr>
      <w:r>
        <w:rPr>
          <w:highlight w:val="yellow"/>
        </w:rPr>
        <w:t xml:space="preserve">Yellow highlight</w:t>
      </w:r>
      <w:r>
        <w:t xml:space="preserve"> = wording inserted or changed by this editorial pass (terminology, structure, equations, citations, framing, language).</w:t>
      </w:r>
    </w:p>
    <w:p>
      <w:pPr>
        <w:spacing w:after="120" w:line="276"/>
      </w:pPr>
      <w:r>
        <w:rPr>
          <w:highlight w:val="cyan"/>
        </w:rPr>
        <w:t xml:space="preserve">Cyan highlight</w:t>
      </w:r>
      <w:r>
        <w:t xml:space="preserve"> = </w:t>
      </w:r>
      <w:r>
        <w:rPr>
          <w:b/>
          <w:bCs/>
        </w:rPr>
        <w:t xml:space="preserve">AUTHOR ACTION REQUIRED</w:t>
      </w:r>
      <w:r>
        <w:t xml:space="preserve">: a substantive issue you must resolve against your real data or sources before submission. These flags mark factual/inferential problems, not stylistic ones.</w:t>
      </w:r>
    </w:p>
    <w:p>
      <w:pPr>
        <w:pStyle w:val="Heading2"/>
        <w:spacing w:after="100" w:before="200"/>
      </w:pPr>
      <w:r>
        <w:t xml:space="preserve">Editorial integrity note (read first)</w:t>
      </w:r>
    </w:p>
    <w:p>
      <w:pPr>
        <w:spacing w:after="120" w:line="276"/>
      </w:pPr>
      <w:r>
        <w:t xml:space="preserve">This revision improves wording, structure, terminology, equations, citations and statistical framing. It </w:t>
      </w:r>
      <w:r>
        <w:rPr>
          <w:b/>
          <w:bCs/>
        </w:rPr>
        <w:t xml:space="preserve">does not invent, alter, or 'clean up' any numerical result.</w:t>
      </w:r>
      <w:r>
        <w:t xml:space="preserve"> During review, several reported details could </w:t>
      </w:r>
      <w:r>
        <w:rPr>
          <w:b/>
          <w:bCs/>
        </w:rPr>
        <w:t xml:space="preserve">not</w:t>
      </w:r>
      <w:r>
        <w:t xml:space="preserve"> be reconciled with the public dataset the paper cites, and are flagged in cyan for you to verify: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cited dataset is real but </w:t>
      </w:r>
      <w:r>
        <w:rPr>
          <w:b/>
          <w:bCs/>
        </w:rPr>
        <w:t xml:space="preserve">mis-attributed</w:t>
      </w:r>
      <w:r>
        <w:t xml:space="preserve">: it is Aguilar-Ortega et al., </w:t>
      </w:r>
      <w:r>
        <w:rPr>
          <w:i/>
          <w:iCs/>
        </w:rPr>
        <w:t xml:space="preserve">Sensors</w:t>
      </w:r>
      <w:r>
        <w:t xml:space="preserve"> 2023;23(21):8862 (repo </w:t>
      </w:r>
      <w:r>
        <w:rPr>
          <w:i/>
          <w:iCs/>
        </w:rPr>
        <w:t xml:space="preserve">github.com/AVAuco/ucophyrehab</w:t>
      </w:r>
      <w:r>
        <w:t xml:space="preserve">), </w:t>
      </w:r>
      <w:r>
        <w:rPr>
          <w:b/>
          <w:bCs/>
        </w:rPr>
        <w:t xml:space="preserve">not</w:t>
      </w:r>
      <w:r>
        <w:t xml:space="preserve"> “Martínez-Bueso et al., IEEE Access 2020”.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That dataset contains </w:t>
      </w:r>
      <w:r>
        <w:rPr>
          <w:b/>
          <w:bCs/>
        </w:rPr>
        <w:t xml:space="preserve">27 subjects</w:t>
      </w:r>
      <w:r>
        <w:t xml:space="preserve"> (not 3), records at </w:t>
      </w:r>
      <w:r>
        <w:rPr>
          <w:b/>
          <w:bCs/>
        </w:rPr>
        <w:t xml:space="preserve">1280×720</w:t>
      </w:r>
      <w:r>
        <w:t xml:space="preserve"> (not 1920×1080), and ships </w:t>
      </w:r>
      <w:r>
        <w:rPr>
          <w:b/>
          <w:bCs/>
        </w:rPr>
        <w:t xml:space="preserve">OptiTrack motion-capture ground truth</w:t>
      </w:r>
      <w:r>
        <w:t xml:space="preserve"> for hip/knee/ankle — which contradicts the paper's claim that no motion-capture reference was available.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With </w:t>
      </w:r>
      <w:r>
        <w:rPr>
          <w:b/>
          <w:bCs/>
        </w:rPr>
        <w:t xml:space="preserve">n = 3 subjects</w:t>
      </w:r>
      <w:r>
        <w:t xml:space="preserve">, subject-level random-effects models, bootstrap CIs and “99.2% post-hoc power” are not statistically supportable; frame-level confidence intervals constitute pseudoreplication.</w:t>
      </w:r>
    </w:p>
    <w:p>
      <w:pPr>
        <w:spacing w:after="120" w:line="276"/>
      </w:pPr>
      <w:r>
        <w:rPr>
          <w:b/>
          <w:bCs/>
        </w:rPr>
        <w:t xml:space="preserve">Recommendation: </w:t>
      </w:r>
      <w:r>
        <w:t xml:space="preserve">re-run the analysis using more of the 27 available subjects and the dataset's own motion-capture ground truth, then replace the flagged figures. The corrected pipeline is provided alongside this document.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A. Reviewer catalogue of disadvantages / weaknesses</w:t>
      </w:r>
    </w:p>
    <w:p>
      <w:pPr>
        <w:spacing w:after="120" w:line="276"/>
      </w:pPr>
      <w:r>
        <w:t xml:space="preserve">Grouped by severity. “Critical” items can sink the paper at review; “Major” weaken the claims; “Minor” are correctness/polish.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4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Dataset citation is wrong (wrong authors, journal, year, URL). Real source: Aguilar-Ortega et al., Sensors 2023.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Claims 3 subjects from a 27-subject dataset; demographics table (S1–S3 ages/sex/height) and 1920×1080 resolution do not match the real data (1280×720).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“Gold standard” contradiction: dataset already provides OptiTrack motion-capture ground truth, yet the paper uses manual goniometry and lists “no motion capture” as a limitation.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Eq. (1) computes the KNEE angle (hip–knee–ankle) but is labelled “trunk-to-thigh angle”. With only hip/knee/ankle landmarks, a true trunk-to-thigh angle is not computable (needs a trunk/shoulder reference).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Statistics invalid for n=3: subject random-intercept LMM, bootstrap CIs (B=10,000), and “99.2% post-hoc power” (observed power is a known fallacy).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6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Frame-level CIs (e.g. accuracy 91.4–96.8%) treat frames as independent — pseudoreplication that artificially narrows intervals.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7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Inconsistent inter-rater reliability figures: abstract κ=0.42–0.56 vs. introduction ICC=0.72–0.84, for the same construct, partly uncited.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8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Overclaim: detecting pelvic tilt &gt;10° and hip hiking &gt;2 cm from a single 2D RGB view is not supported (and not validated); these are 3D quantities.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9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Clinical conformity window (TTA 150–165° “at peak elevation”) is biomechanically inconsistent with the angle as defined and with “raise as high as possible”.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Possible data leakage: YOLO11 Nano fine-tuned on UCO frames then tested on UCO; “not overlapping recordings” does not rule out same-subject leakage.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Circularity risk: the same physiotherapists provide goniometry ground truth and the expert conformity labels used to score classification.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Non-standard terminology: “Progressive Leg Straight Raise (PLSR)”. Standard term is “Straight Leg Raise (SLR)”; the acronym also collides with Partial Least Squares Regression.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Major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All figure cross-references are broken (“Figure ??”) — unresolved LaTeX refs throughout Results.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Equation notation error: arctan2 is written with a single argument; it takes two (atan2(Δy, Δx)).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Model specs likely off: YOLO11n-pose is ≈ 2.9M params / ≈7.6 GFLOPs; the paper's 2.6M / 8.1B matches the detection (non-pose) variant. Verify against Ultralytics.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16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Citation errors: Topol is Nature Medicine 2019 (not Lancet 2020); Watson et al. volume/year inconsistent; Ganz et al. article ID truncated.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17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Reproducibility placeholders unfilled: GitHub “[repository]” and Zenodo “[XXXXX]”; dataset URL points to a wrong IEEE document.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18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Single-exercise, single-view, controlled-lab scope; healthy subjects only — generalisability to post-operative patients and home settings is unestablished (partly acknowledged).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Minor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B. Revised manuscript (changes highlighted)</w:t>
      </w:r>
    </w:p>
    <w:p>
      <w:pPr>
        <w:spacing w:after="160"/>
        <w:jc w:val="center"/>
      </w:pPr>
      <w:r>
        <w:rPr>
          <w:b/>
          <w:bCs/>
        </w:rPr>
        <w:t xml:space="preserve">Edge-Deployable YOLO11 Nano for Automated </w:t>
      </w:r>
      <w:r>
        <w:rPr>
          <w:b/>
          <w:bCs/>
          <w:highlight w:val="yellow"/>
        </w:rPr>
        <w:t xml:space="preserve">Straight Leg Raise (SLR)</w:t>
      </w:r>
      <w:r>
        <w:rPr>
          <w:b/>
          <w:bCs/>
        </w:rPr>
        <w:t xml:space="preserve"> Assessment in ACL Rehabilitation: A Method-Comparison Pilot Study</w:t>
      </w:r>
    </w:p>
    <w:p>
      <w:pPr>
        <w:pStyle w:val="Heading2"/>
        <w:spacing w:after="100" w:before="200"/>
      </w:pPr>
      <w:r>
        <w:t xml:space="preserve">Abstract</w:t>
      </w:r>
    </w:p>
    <w:p>
      <w:pPr>
        <w:spacing w:after="120" w:line="276"/>
      </w:pPr>
      <w:r>
        <w:rPr>
          <w:b/>
          <w:bCs/>
        </w:rPr>
        <w:t xml:space="preserve">Background. </w:t>
      </w:r>
      <w:r>
        <w:t xml:space="preserve">Post–anterior cruciate ligament (ACL) reconstruction rehabilitation requires objective longitudinal monitoring of neuromuscular recovery. The </w:t>
      </w:r>
      <w:r>
        <w:rPr>
          <w:highlight w:val="yellow"/>
        </w:rPr>
        <w:t xml:space="preserve">Straight Leg Raise (SLR)</w:t>
      </w:r>
      <w:r>
        <w:t xml:space="preserve"> is a standard early-stage assessment of quadriceps activation, but routine clinical evaluation relies on subjective observation. </w:t>
      </w:r>
      <w:r>
        <w:rPr>
          <w:highlight w:val="cyan"/>
        </w:rPr>
        <w:t xml:space="preserve">[Reconcile the inter-rater reliability statistic: the abstract cites κ=0.42–0.56 while the Introduction cites ICC=0.72–0.84. State one value, for the correct construct, with a citation.]</w:t>
      </w:r>
      <w:r>
        <w:t xml:space="preserve"> Lightweight pose estimators (e.g., MediaPipe) can exhibit high-frequency signal instability (“jitter”) during dynamic movement, which may compromise kinematic fidelity.</w:t>
      </w:r>
    </w:p>
    <w:p>
      <w:pPr>
        <w:spacing w:after="120" w:line="276"/>
      </w:pPr>
      <w:r>
        <w:rPr>
          <w:b/>
          <w:bCs/>
        </w:rPr>
        <w:t xml:space="preserve">Objective. </w:t>
      </w:r>
      <w:r>
        <w:t xml:space="preserve">To pilot-validate an edge-deployable computer-vision pipeline using YOLO11 Nano for automated </w:t>
      </w:r>
      <w:r>
        <w:rPr>
          <w:highlight w:val="yellow"/>
        </w:rPr>
        <w:t xml:space="preserve">SLR</w:t>
      </w:r>
      <w:r>
        <w:t xml:space="preserve"> assessment, benchmarked against MediaPipe Pose and YOLO11 Medium using a standardized method-comparison design.</w:t>
      </w:r>
    </w:p>
    <w:p>
      <w:pPr>
        <w:spacing w:after="120" w:line="276"/>
      </w:pPr>
      <w:r>
        <w:rPr>
          <w:b/>
          <w:bCs/>
        </w:rPr>
        <w:t xml:space="preserve">Methods. </w:t>
      </w:r>
      <w:r>
        <w:t xml:space="preserve">Recordings from the publicly available </w:t>
      </w:r>
      <w:r>
        <w:rPr>
          <w:highlight w:val="yellow"/>
        </w:rPr>
        <w:t xml:space="preserve">UCO Physical Rehabilitation dataset (Aguilar-Ortega et al., Sensors 2023)</w:t>
      </w:r>
      <w:r>
        <w:t xml:space="preserve"> were analyzed. </w:t>
      </w:r>
      <w:r>
        <w:rPr>
          <w:highlight w:val="cyan"/>
        </w:rPr>
        <w:t xml:space="preserve">[The dataset provides OptiTrack-derived 2D joint ground truth for hip/knee/ankle; use this motion-capture reference as the gold standard rather than, or in addition to, manual goniometry. Reconcile the stated sample (3 subjects / 1920×1080) with the real dataset (27 subjects / 1280×720).]</w:t>
      </w:r>
      <w:r>
        <w:t xml:space="preserve"> Three frameworks were evaluated: MediaPipe Pose (baseline), YOLO11 Nano (proposed) and YOLO11 Medium (reference). Outcomes: angular agreement (Bland–Altman), raw-signal variance (σ), inference latency (ms/frame), and a conformity rate against expert assessment.</w:t>
      </w:r>
    </w:p>
    <w:p>
      <w:pPr>
        <w:spacing w:after="120" w:line="276"/>
      </w:pPr>
      <w:r>
        <w:rPr>
          <w:b/>
          <w:bCs/>
        </w:rPr>
        <w:t xml:space="preserve">Results. </w:t>
      </w:r>
      <w:r>
        <w:rPr>
          <w:highlight w:val="cyan"/>
        </w:rPr>
        <w:t xml:space="preserve">[All numeric results below are reproduced unchanged from your manuscript and must be regenerated once the dataset/ground-truth issues are resolved; CIs must be computed with clustering by session/subject rather than per frame.]</w:t>
      </w:r>
      <w:r>
        <w:t xml:space="preserve"> YOLO11 Nano showed closer agreement with the reference (mean bias −1.2°; 95% LoA −4.8° to +2.4°) than MediaPipe (+8.7°; −2.1° to +19.5°). Raw-signal variance was lower (σ = 3.1° vs. 14.2°). Inference latency was 12 ms/frame vs. 35 ms (YOLO11 Medium) and 45 ms (MediaPipe).</w:t>
      </w:r>
    </w:p>
    <w:p>
      <w:pPr>
        <w:spacing w:after="120" w:line="276"/>
      </w:pPr>
      <w:r>
        <w:rPr>
          <w:b/>
          <w:bCs/>
        </w:rPr>
        <w:t xml:space="preserve">Conclusion. </w:t>
      </w:r>
      <w:r>
        <w:t xml:space="preserve">In this pilot, YOLO11 Nano achieved </w:t>
      </w:r>
      <w:r>
        <w:rPr>
          <w:highlight w:val="yellow"/>
        </w:rPr>
        <w:t xml:space="preserve">favourable</w:t>
      </w:r>
      <w:r>
        <w:t xml:space="preserve"> kinematic agreement with sub-15 ms latency, </w:t>
      </w:r>
      <w:r>
        <w:rPr>
          <w:highlight w:val="yellow"/>
        </w:rPr>
        <w:t xml:space="preserve">supporting feasibility</w:t>
      </w:r>
      <w:r>
        <w:t xml:space="preserve"> for real-time edge deployment. </w:t>
      </w:r>
      <w:r>
        <w:rPr>
          <w:highlight w:val="yellow"/>
        </w:rPr>
        <w:t xml:space="preserve">Given the small sample and single dataset, these findings are proof-of-concept; </w:t>
      </w:r>
      <w:r>
        <w:t xml:space="preserve">larger prospective trials with post-operative patients and motion-capture validation are warranted.</w:t>
      </w:r>
    </w:p>
    <w:p>
      <w:pPr>
        <w:spacing w:after="120" w:line="276"/>
      </w:pPr>
      <w:r>
        <w:rPr>
          <w:b/>
          <w:bCs/>
        </w:rPr>
        <w:t xml:space="preserve">Keywords: </w:t>
      </w:r>
      <w:r>
        <w:t xml:space="preserve">Computer Vision; Pose Estimation; YOLO11; </w:t>
      </w:r>
      <w:r>
        <w:rPr>
          <w:highlight w:val="yellow"/>
        </w:rPr>
        <w:t xml:space="preserve">Straight Leg Raise</w:t>
      </w:r>
      <w:r>
        <w:t xml:space="preserve">; ACL Rehabilitation; Edge AI; Method Comparison; Telerehabilitation.</w:t>
      </w:r>
    </w:p>
    <w:p>
      <w:pPr>
        <w:pStyle w:val="Heading2"/>
        <w:spacing w:after="100" w:before="200"/>
      </w:pPr>
      <w:r>
        <w:t xml:space="preserve">1. Introduction</w:t>
      </w:r>
    </w:p>
    <w:p>
      <w:pPr>
        <w:spacing w:after="120" w:line="276"/>
      </w:pPr>
      <w:r>
        <w:t xml:space="preserve">ACL injuries are a major burden for sports medicine and orthopaedic rehabilitation, affecting an estimated 200,000–250,000 patients annually in the United States, and reconstruction requires a structured 6–12-month recovery (Ganz et al., 2020). The </w:t>
      </w:r>
      <w:r>
        <w:rPr>
          <w:highlight w:val="yellow"/>
        </w:rPr>
        <w:t xml:space="preserve">Straight Leg Raise (SLR)</w:t>
      </w:r>
      <w:r>
        <w:t xml:space="preserve"> is a standard early-stage assessment of quadriceps activation during the initial post-operative phase (Hewett et al., 2005). However, longitudinal monitoring of compliance and movement quality remains a logistical and methodological challenge (Mazzola et al., 2023).</w:t>
      </w:r>
    </w:p>
    <w:p>
      <w:pPr>
        <w:spacing w:after="120" w:line="276"/>
      </w:pPr>
      <w:r>
        <w:t xml:space="preserve">Manual goniometry is practical and low-cost but lacks the temporal resolution to quantify subtle compensations during dynamic phases (Mehrizi et al., 2020). </w:t>
      </w:r>
      <w:r>
        <w:rPr>
          <w:highlight w:val="cyan"/>
        </w:rPr>
        <w:t xml:space="preserve">[Use a single, consistent inter-rater reliability figure here and in the abstract, with a matching citation.]</w:t>
      </w:r>
      <w:r>
        <w:t xml:space="preserve"> Laboratory motion-capture systems are accurate but costly (USD 100,000–500,000), motivating automated, low-cost alternatives (Chen et al., 2022).</w:t>
      </w:r>
    </w:p>
    <w:p>
      <w:pPr>
        <w:spacing w:after="120" w:line="276"/>
      </w:pPr>
      <w:r>
        <w:t xml:space="preserve">Plug-and-play pose estimators such as MediaPipe Pose / BlazePose (Bazarevsky et al., 2020) enable remote monitoring but can suffer from “jitter” — high-frequency, non-physiological fluctuation in joint-angle estimates during rapid or eccentric phases (Liao et al., 2023). In ACL rehabilitation, deviations of even 5–10° can indicate meaningful compensation (Gattringer et al., 2022), so such noise is clinically relevant.</w:t>
      </w:r>
    </w:p>
    <w:p>
      <w:pPr>
        <w:spacing w:after="120" w:line="276"/>
      </w:pPr>
      <w:r>
        <w:t xml:space="preserve">This study evaluates </w:t>
      </w:r>
      <w:r>
        <w:rPr>
          <w:highlight w:val="yellow"/>
        </w:rPr>
        <w:t xml:space="preserve">a task-oriented</w:t>
      </w:r>
      <w:r>
        <w:t xml:space="preserve"> pipeline based on YOLO11 Nano (Ultralytics, 2024) designed to minimize signal variance while maximizing computational efficiency for </w:t>
      </w:r>
      <w:r>
        <w:rPr>
          <w:highlight w:val="yellow"/>
        </w:rPr>
        <w:t xml:space="preserve">on-device (“Edge AI”)</w:t>
      </w:r>
      <w:r>
        <w:t xml:space="preserve"> processing on standard consumer hardware, supporting data privacy and use in resource-limited settings (Shi et al., 2020).</w:t>
      </w:r>
    </w:p>
    <w:p>
      <w:pPr>
        <w:pStyle w:val="Heading3"/>
        <w:spacing w:after="80" w:before="160"/>
      </w:pPr>
      <w:r>
        <w:t xml:space="preserve">1.1 Original contribution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method-comparison evaluation of YOLO11 Nano for automated </w:t>
      </w:r>
      <w:r>
        <w:rPr>
          <w:highlight w:val="yellow"/>
        </w:rPr>
        <w:t xml:space="preserve">SLR</w:t>
      </w:r>
      <w:r>
        <w:t xml:space="preserve"> monitoring, with Bland–Altman analysis and effect-size reporting.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Quantification of signal-stability improvement (raw-signal σ) relative to a MediaPipe baseline.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An edge-deployment feasibility assessment (latency/throughput) on consumer hardware.</w:t>
      </w:r>
    </w:p>
    <w:p>
      <w:pPr>
        <w:spacing w:after="120" w:line="276"/>
      </w:pPr>
      <w:r>
        <w:rPr>
          <w:highlight w:val="cyan"/>
        </w:rPr>
        <w:t xml:space="preserve">[Avoid “first clinical validation” and “clinical-grade” unless supported; with healthy subjects and no patient outcomes this is proof-of-concept.]</w:t>
      </w:r>
    </w:p>
    <w:p>
      <w:pPr>
        <w:pStyle w:val="Heading2"/>
        <w:spacing w:after="100" w:before="200"/>
      </w:pPr>
      <w:r>
        <w:t xml:space="preserve">2. Materials and Methods</w:t>
      </w:r>
    </w:p>
    <w:p>
      <w:pPr>
        <w:pStyle w:val="Heading3"/>
        <w:spacing w:after="80" w:before="160"/>
      </w:pPr>
      <w:r>
        <w:t xml:space="preserve">2.1 Study design and reporting</w:t>
      </w:r>
    </w:p>
    <w:p>
      <w:pPr>
        <w:spacing w:after="120" w:line="276"/>
      </w:pPr>
      <w:r>
        <w:t xml:space="preserve">Prospective method-comparison pilot study, reported per STROBE (Von Elm et al., 2008) and GRRAS (Kottner et al., 2011), with CONSORT 2010 pilot/feasibility extensions (Eldridge et al., 2016) for transparent reporting of limitations.</w:t>
      </w:r>
    </w:p>
    <w:p>
      <w:pPr>
        <w:pStyle w:val="Heading3"/>
        <w:spacing w:after="80" w:before="160"/>
      </w:pPr>
      <w:r>
        <w:t xml:space="preserve">2.2 Dataset</w:t>
      </w:r>
    </w:p>
    <w:p>
      <w:pPr>
        <w:spacing w:after="120" w:line="276"/>
      </w:pPr>
      <w:r>
        <w:t xml:space="preserve">Recordings were drawn from the publicly available </w:t>
      </w:r>
      <w:r>
        <w:rPr>
          <w:highlight w:val="yellow"/>
        </w:rPr>
        <w:t xml:space="preserve">UCO Physical Rehabilitation dataset (Aguilar-Ortega R, Berral-Soler R, Jiménez-Velasco I, et al. Sensors 2023;23(21):8862; doi:10.3390/s23218862; repository github.com/AVAuco/ucophyrehab).</w:t>
      </w:r>
      <w:r>
        <w:t xml:space="preserve"> The dataset comprises </w:t>
      </w:r>
      <w:r>
        <w:rPr>
          <w:highlight w:val="yellow"/>
        </w:rPr>
        <w:t xml:space="preserve">27 subjects performing eight rehabilitation exercises, recorded with five RGB cameras at 1280×720, with OptiTrack motion-capture ground truth (hip/knee/ankle for lower-limb tasks). The supine SLR corresponds to dataset exercises 03/07 (“lift the extended leg”); seated lower-limb tasks correspond to 01/05 and 02/06.</w:t>
      </w:r>
    </w:p>
    <w:p>
      <w:pPr>
        <w:spacing w:after="120" w:line="276"/>
      </w:pPr>
      <w:r>
        <w:rPr>
          <w:highlight w:val="cyan"/>
        </w:rPr>
        <w:t xml:space="preserve">[State exactly which subjects, exercises, cameras and frames you used, and replace the S1–S3 demographics/resolution in Table 1 with values that match the real dataset. If only 3 subjects were used, justify the selection and reflect it as a hard limitation; the dataset offers 27.]</w:t>
      </w:r>
    </w:p>
    <w:p>
      <w:pPr>
        <w:pStyle w:val="Heading3"/>
        <w:spacing w:after="80" w:before="160"/>
      </w:pPr>
      <w:r>
        <w:t xml:space="preserve">2.3 Reference standard</w:t>
      </w:r>
    </w:p>
    <w:p>
      <w:pPr>
        <w:spacing w:after="120" w:line="276"/>
      </w:pPr>
      <w:r>
        <w:rPr>
          <w:highlight w:val="yellow"/>
        </w:rPr>
        <w:t xml:space="preserve">Primary reference: the dataset's OptiTrack-derived 2D joint coordinates (motion capture). </w:t>
      </w:r>
      <w:r>
        <w:t xml:space="preserve">Agreement of each framework with this reference is assessed by Bland–Altman analysis. </w:t>
      </w:r>
      <w:r>
        <w:rPr>
          <w:highlight w:val="cyan"/>
        </w:rPr>
        <w:t xml:space="preserve">[Your manuscript used manual goniometry as the gold standard and listed “absence of motion capture” as a limitation. Because the dataset already includes motion-capture ground truth, that limitation is incorrect and goniometry should be demoted to a secondary, cross-check reference (or removed). Resolve this before submission — it is the central methodological inconsistency.]</w:t>
      </w:r>
    </w:p>
    <w:p>
      <w:pPr>
        <w:pStyle w:val="Heading3"/>
        <w:spacing w:after="80" w:before="160"/>
      </w:pPr>
      <w:r>
        <w:t xml:space="preserve">2.4 Computer-vision architectures</w:t>
      </w:r>
    </w:p>
    <w:p>
      <w:pPr>
        <w:spacing w:after="120" w:line="276"/>
      </w:pPr>
      <w:r>
        <w:rPr>
          <w:b/>
          <w:bCs/>
        </w:rPr>
        <w:t xml:space="preserve">MediaPipe Pose (baseline) </w:t>
      </w:r>
      <w:r>
        <w:t xml:space="preserve">— BlazePose two-stage detector–tracker, 33 landmarks (Bazarevsky et al., 2020).</w:t>
      </w:r>
    </w:p>
    <w:p>
      <w:pPr>
        <w:spacing w:after="120" w:line="276"/>
      </w:pPr>
      <w:r>
        <w:rPr>
          <w:b/>
          <w:bCs/>
        </w:rPr>
        <w:t xml:space="preserve">YOLO11 Nano (proposed) </w:t>
      </w:r>
      <w:r>
        <w:t xml:space="preserve">— ultra-lightweight pose model </w:t>
      </w:r>
      <w:r>
        <w:rPr>
          <w:highlight w:val="cyan"/>
        </w:rPr>
        <w:t xml:space="preserve">[verify parameter/FLOP figures against Ultralytics: YOLO11n-pose ≈ 2.9M params / ≈7.6 GFLOPs; 2.6M/8.1B corresponds to the detection variant]</w:t>
      </w:r>
      <w:r>
        <w:t xml:space="preserve">. </w:t>
      </w:r>
      <w:r>
        <w:rPr>
          <w:highlight w:val="yellow"/>
        </w:rPr>
        <w:t xml:space="preserve">Note that YOLO11-pose uses the COCO-17 keypoint set, which includes the shoulders; this permits a true trunk-to-thigh (hip-flexion) angle, unlike a 3-landmark hip/knee/ankle scheme.</w:t>
      </w:r>
      <w:r>
        <w:rPr>
          <w:highlight w:val="cyan"/>
        </w:rPr>
        <w:t xml:space="preserve"> [If you fine-tuned on UCO frames, report the train/test split at the SUBJECT level and confirm no subject overlap, to exclude leakage.]</w:t>
      </w:r>
    </w:p>
    <w:p>
      <w:pPr>
        <w:spacing w:after="120" w:line="276"/>
      </w:pPr>
      <w:r>
        <w:rPr>
          <w:b/>
          <w:bCs/>
        </w:rPr>
        <w:t xml:space="preserve">YOLO11 Medium (reference) </w:t>
      </w:r>
      <w:r>
        <w:t xml:space="preserve">— higher-capacity variant used as an accuracy ceiling.</w:t>
      </w:r>
    </w:p>
    <w:p>
      <w:pPr>
        <w:spacing w:after="120" w:line="276"/>
      </w:pPr>
      <w:r>
        <w:rPr>
          <w:b/>
          <w:bCs/>
        </w:rPr>
        <w:t xml:space="preserve">Environment </w:t>
      </w:r>
      <w:r>
        <w:t xml:space="preserve">— report CPU/GPU, OS and framework versions; run single-frame inference (batch = 1) to simulate real-time streaming.</w:t>
      </w:r>
    </w:p>
    <w:p>
      <w:pPr>
        <w:pStyle w:val="Heading3"/>
        <w:spacing w:after="80" w:before="160"/>
      </w:pPr>
      <w:r>
        <w:t xml:space="preserve">2.5 Outcomes and the angle definition</w:t>
      </w:r>
    </w:p>
    <w:p>
      <w:pPr>
        <w:spacing w:after="120" w:line="276"/>
      </w:pPr>
      <w:r>
        <w:rPr>
          <w:highlight w:val="yellow"/>
        </w:rPr>
        <w:t xml:space="preserve">The reviewed Eq. (1) computes the angle at the knee from hip–knee–ankle landmarks; this is the KNEE flexion angle, not the trunk-to-thigh angle, and the two must not share a label. Two distinct, correctly-named angles are defined:</w:t>
      </w:r>
    </w:p>
    <w:p>
      <w:pPr>
        <w:spacing w:after="120" w:line="276"/>
      </w:pPr>
      <w:r>
        <w:rPr>
          <w:b/>
          <w:bCs/>
        </w:rPr>
        <w:t xml:space="preserve">Knee flexion angle </w:t>
      </w:r>
      <w:r>
        <w:t xml:space="preserve">(thigh vs. shank), from hip (x</w:t>
      </w:r>
      <w:r>
        <w:rPr>
          <w:vertAlign w:val="superscript"/>
        </w:rPr>
        <w:t xml:space="preserve">1</w:t>
      </w:r>
      <w:r>
        <w:t xml:space="preserve">,y</w:t>
      </w:r>
      <w:r>
        <w:rPr>
          <w:vertAlign w:val="superscript"/>
        </w:rPr>
        <w:t xml:space="preserve">1</w:t>
      </w:r>
      <w:r>
        <w:t xml:space="preserve">), knee (x</w:t>
      </w:r>
      <w:r>
        <w:rPr>
          <w:vertAlign w:val="superscript"/>
        </w:rPr>
        <w:t xml:space="preserve">2</w:t>
      </w:r>
      <w:r>
        <w:t xml:space="preserve">,y</w:t>
      </w:r>
      <w:r>
        <w:rPr>
          <w:vertAlign w:val="superscript"/>
        </w:rPr>
        <w:t xml:space="preserve">2</w:t>
      </w:r>
      <w:r>
        <w:t xml:space="preserve">) and ankle (x</w:t>
      </w:r>
      <w:r>
        <w:rPr>
          <w:vertAlign w:val="superscript"/>
        </w:rPr>
        <w:t xml:space="preserve">3</w:t>
      </w:r>
      <w:r>
        <w:t xml:space="preserve">,y</w:t>
      </w:r>
      <w:r>
        <w:rPr>
          <w:vertAlign w:val="superscript"/>
        </w:rPr>
        <w:t xml:space="preserve">3</w:t>
      </w:r>
      <w:r>
        <w:t xml:space="preserve">):</w:t>
      </w:r>
    </w:p>
    <w:p>
      <w:pPr>
        <w:spacing w:after="120" w:line="276"/>
        <w:jc w:val="center"/>
      </w:pPr>
      <w:r>
        <w:rPr>
          <w:i/>
          <w:iCs/>
        </w:rPr>
        <w:t>θknee</w:t>
      </w:r>
      <w:r>
        <w:t xml:space="preserve"> = atan2(</w:t>
      </w:r>
      <w:r>
        <w:rPr>
          <w:i/>
          <w:iCs/>
        </w:rPr>
        <w:t xml:space="preserve">y</w:t>
      </w:r>
      <w:r>
        <w:rPr>
          <w:vertAlign w:val="superscript"/>
        </w:rPr>
        <w:t xml:space="preserve">1</w:t>
      </w:r>
      <w:r>
        <w:t xml:space="preserve">−</w:t>
      </w:r>
      <w:r>
        <w:rPr>
          <w:i/>
          <w:iCs/>
        </w:rPr>
        <w:t xml:space="preserve">y</w:t>
      </w:r>
      <w:r>
        <w:rPr>
          <w:vertAlign w:val="superscript"/>
        </w:rPr>
        <w:t xml:space="preserve">2</w:t>
      </w:r>
      <w:r>
        <w:t xml:space="preserve">,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1</w:t>
      </w:r>
      <w:r>
        <w:t xml:space="preserve">−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) − atan2(</w:t>
      </w:r>
      <w:r>
        <w:rPr>
          <w:i/>
          <w:iCs/>
        </w:rPr>
        <w:t xml:space="preserve">y</w:t>
      </w:r>
      <w:r>
        <w:rPr>
          <w:vertAlign w:val="superscript"/>
        </w:rPr>
        <w:t xml:space="preserve">3</w:t>
      </w:r>
      <w:r>
        <w:t xml:space="preserve">−</w:t>
      </w:r>
      <w:r>
        <w:rPr>
          <w:i/>
          <w:iCs/>
        </w:rPr>
        <w:t xml:space="preserve">y</w:t>
      </w:r>
      <w:r>
        <w:rPr>
          <w:vertAlign w:val="superscript"/>
        </w:rPr>
        <w:t xml:space="preserve">2</w:t>
      </w:r>
      <w:r>
        <w:t xml:space="preserve">, 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3</w:t>
      </w:r>
      <w:r>
        <w:t xml:space="preserve">−</w:t>
      </w:r>
      <w:r>
        <w:rPr>
          <w:i/>
          <w:iCs/>
        </w:rPr>
        <w:t xml:space="preserve">x</w:t>
      </w:r>
      <w:r>
        <w:rPr>
          <w:vertAlign w:val="superscript"/>
        </w:rPr>
        <w:t xml:space="preserve">2</w:t>
      </w:r>
      <w:r>
        <w:t xml:space="preserve">)</w:t>
      </w:r>
    </w:p>
    <w:p>
      <w:pPr>
        <w:spacing w:after="120" w:line="276"/>
      </w:pPr>
      <w:r>
        <w:rPr>
          <w:b/>
          <w:bCs/>
        </w:rPr>
        <w:t xml:space="preserve">Trunk-to-thigh (hip flexion) angle </w:t>
      </w:r>
      <w:r>
        <w:rPr>
          <w:highlight w:val="yellow"/>
        </w:rPr>
        <w:t xml:space="preserve">from shoulder, hip and knee (requires a trunk reference such as the shoulder keypoint):</w:t>
      </w:r>
    </w:p>
    <w:p>
      <w:pPr>
        <w:spacing w:after="120" w:line="276"/>
        <w:jc w:val="center"/>
      </w:pPr>
      <w:r>
        <w:rPr>
          <w:i/>
          <w:iCs/>
        </w:rPr>
        <w:t>θhip</w:t>
      </w:r>
      <w:r>
        <w:t xml:space="preserve"> = atan2(</w:t>
      </w:r>
      <w:r>
        <w:rPr>
          <w:i/>
          <w:iCs/>
        </w:rPr>
        <w:t xml:space="preserve">y</w:t>
      </w:r>
      <w:r>
        <w:rPr>
          <w:vertAlign w:val="subscript"/>
        </w:rPr>
        <w:t xml:space="preserve">sh</w:t>
      </w:r>
      <w:r>
        <w:t xml:space="preserve">−</w:t>
      </w:r>
      <w:r>
        <w:rPr>
          <w:i/>
          <w:iCs/>
        </w:rPr>
        <w:t xml:space="preserve">y</w:t>
      </w:r>
      <w:r>
        <w:rPr>
          <w:vertAlign w:val="subscript"/>
        </w:rPr>
        <w:t xml:space="preserve">hip</w:t>
      </w:r>
      <w:r>
        <w:t xml:space="preserve">, </w:t>
      </w:r>
      <w:r>
        <w:rPr>
          <w:i/>
          <w:iCs/>
        </w:rPr>
        <w:t xml:space="preserve">x</w:t>
      </w:r>
      <w:r>
        <w:rPr>
          <w:vertAlign w:val="subscript"/>
        </w:rPr>
        <w:t xml:space="preserve">sh</w:t>
      </w:r>
      <w:r>
        <w:t xml:space="preserve">−</w:t>
      </w:r>
      <w:r>
        <w:rPr>
          <w:i/>
          <w:iCs/>
        </w:rPr>
        <w:t xml:space="preserve">x</w:t>
      </w:r>
      <w:r>
        <w:rPr>
          <w:vertAlign w:val="subscript"/>
        </w:rPr>
        <w:t xml:space="preserve">hip</w:t>
      </w:r>
      <w:r>
        <w:t xml:space="preserve">) − atan2(</w:t>
      </w:r>
      <w:r>
        <w:rPr>
          <w:i/>
          <w:iCs/>
        </w:rPr>
        <w:t xml:space="preserve">y</w:t>
      </w:r>
      <w:r>
        <w:rPr>
          <w:vertAlign w:val="subscript"/>
        </w:rPr>
        <w:t xml:space="preserve">knee</w:t>
      </w:r>
      <w:r>
        <w:t xml:space="preserve">−</w:t>
      </w:r>
      <w:r>
        <w:rPr>
          <w:i/>
          <w:iCs/>
        </w:rPr>
        <w:t xml:space="preserve">y</w:t>
      </w:r>
      <w:r>
        <w:rPr>
          <w:vertAlign w:val="subscript"/>
        </w:rPr>
        <w:t xml:space="preserve">hip</w:t>
      </w:r>
      <w:r>
        <w:t xml:space="preserve">, </w:t>
      </w:r>
      <w:r>
        <w:rPr>
          <w:i/>
          <w:iCs/>
        </w:rPr>
        <w:t xml:space="preserve">x</w:t>
      </w:r>
      <w:r>
        <w:rPr>
          <w:vertAlign w:val="subscript"/>
        </w:rPr>
        <w:t xml:space="preserve">knee</w:t>
      </w:r>
      <w:r>
        <w:t xml:space="preserve">−</w:t>
      </w:r>
      <w:r>
        <w:rPr>
          <w:i/>
          <w:iCs/>
        </w:rPr>
        <w:t xml:space="preserve">x</w:t>
      </w:r>
      <w:r>
        <w:rPr>
          <w:vertAlign w:val="subscript"/>
        </w:rPr>
        <w:t xml:space="preserve">hip</w:t>
      </w:r>
      <w:r>
        <w:t xml:space="preserve">)</w:t>
      </w:r>
    </w:p>
    <w:p>
      <w:pPr>
        <w:spacing w:after="120" w:line="276"/>
      </w:pPr>
      <w:r>
        <w:rPr>
          <w:highlight w:val="yellow"/>
        </w:rPr>
        <w:t xml:space="preserve">Note the corrected two-argument atan2. </w:t>
      </w:r>
      <w:r>
        <w:t xml:space="preserve">Per-frame angles are temporally smoothed (Savitzky–Golay, window 11, order 3). Raw-signal σ (and CV, RMSSD) quantify jitter on the </w:t>
      </w:r>
      <w:r>
        <w:rPr>
          <w:i/>
          <w:iCs/>
        </w:rPr>
        <w:t xml:space="preserve">unsmoothed</w:t>
      </w:r>
      <w:r>
        <w:t xml:space="preserve"> signal.</w:t>
      </w:r>
    </w:p>
    <w:p>
      <w:pPr>
        <w:spacing w:after="120" w:line="276"/>
      </w:pPr>
      <w:r>
        <w:rPr>
          <w:b/>
          <w:bCs/>
        </w:rPr>
        <w:t xml:space="preserve">Conformity. </w:t>
      </w:r>
      <w:r>
        <w:rPr>
          <w:highlight w:val="cyan"/>
        </w:rPr>
        <w:t xml:space="preserve">[Make the clinical window consistent with the chosen angle. For a supine SLR using hip flexion, greater elevation = a SMALLER trunk-to-thigh angle, so a fixed 150–165° “at peak elevation” band is biomechanically inconsistent with “raise as high as possible.” Define the window on hip-flexion magnitude at peak and cite its source.]</w:t>
      </w:r>
    </w:p>
    <w:p>
      <w:pPr>
        <w:spacing w:after="120" w:line="276"/>
      </w:pPr>
      <w:r>
        <w:rPr>
          <w:b/>
          <w:bCs/>
        </w:rPr>
        <w:t xml:space="preserve">Compensation. </w:t>
      </w:r>
      <w:r>
        <w:rPr>
          <w:highlight w:val="yellow"/>
        </w:rPr>
        <w:t xml:space="preserve">Pelvic tilt and hip hiking are three-dimensional quantities; a single 2D RGB view cannot reliably quantify them. </w:t>
      </w:r>
      <w:r>
        <w:rPr>
          <w:highlight w:val="cyan"/>
        </w:rPr>
        <w:t xml:space="preserve">[Either remove these as measured outcomes or validate them explicitly; do not claim detection thresholds (&gt;10°, &gt;2 cm) without a 3D reference.]</w:t>
      </w:r>
    </w:p>
    <w:p>
      <w:pPr>
        <w:pStyle w:val="Heading3"/>
        <w:spacing w:after="80" w:before="160"/>
      </w:pPr>
      <w:r>
        <w:t xml:space="preserve">2.6 Statistical analysis</w:t>
      </w:r>
    </w:p>
    <w:p>
      <w:pPr>
        <w:spacing w:after="120" w:line="276"/>
      </w:pPr>
      <w:r>
        <w:rPr>
          <w:highlight w:val="cyan"/>
        </w:rPr>
        <w:t xml:space="preserve">[With n=3 subjects, a subject random-intercept mixed model cannot reliably estimate the between-subject variance, and bootstrap CIs / “post-hoc power = 99.2%” are not interpretable (observed power is a deterministic function of the p-value; Hoenig &amp; Heisey, 2001). Remove the post-hoc power statement.] </w:t>
      </w:r>
    </w:p>
    <w:p>
      <w:pPr>
        <w:spacing w:after="120" w:line="276"/>
      </w:pPr>
      <w:r>
        <w:rPr>
          <w:highlight w:val="yellow"/>
        </w:rPr>
        <w:t xml:space="preserve">Recommended approach: </w:t>
      </w:r>
      <w:r>
        <w:t xml:space="preserve">use more of the 27 available subjects; treat </w:t>
      </w:r>
      <w:r>
        <w:rPr>
          <w:i/>
          <w:iCs/>
        </w:rPr>
        <w:t xml:space="preserve">session</w:t>
      </w:r>
      <w:r>
        <w:t xml:space="preserve"> (clustered within subject) as the unit of analysis; report agreement with cluster-robust or session-level summaries; and present effect sizes with CIs that respect clustering rather than per-frame counts.</w:t>
      </w:r>
    </w:p>
    <w:p>
      <w:pPr>
        <w:pStyle w:val="Heading2"/>
        <w:spacing w:after="100" w:before="200"/>
      </w:pPr>
      <w:r>
        <w:t xml:space="preserve">3. Results</w:t>
      </w:r>
    </w:p>
    <w:p>
      <w:pPr>
        <w:spacing w:after="120" w:line="276"/>
      </w:pPr>
      <w:r>
        <w:rPr>
          <w:highlight w:val="cyan"/>
        </w:rPr>
        <w:t xml:space="preserve">[Numbers reproduced unchanged; regenerate after fixing the dataset/ground-truth/clustering issues. All “Figure ??” placeholders below were broken cross-references and are renumbered Figure 1–Figure 4.]</w:t>
      </w:r>
    </w:p>
    <w:p>
      <w:pPr>
        <w:pStyle w:val="Heading3"/>
        <w:spacing w:after="80" w:before="160"/>
      </w:pPr>
      <w:r>
        <w:t xml:space="preserve">3.1 Qualitative fidelity</w:t>
      </w:r>
    </w:p>
    <w:p>
      <w:pPr>
        <w:spacing w:after="120" w:line="276"/>
      </w:pPr>
      <w:r>
        <w:t xml:space="preserve">At peak SLR elevation (</w:t>
      </w:r>
      <w:r>
        <w:rPr>
          <w:highlight w:val="yellow"/>
        </w:rPr>
        <w:t xml:space="preserve">Figure 1</w:t>
      </w:r>
      <w:r>
        <w:t xml:space="preserve">), MediaPipe showed hip-landmark drift and an implausible angle (171.4°), whereas YOLO11 Nano (159.0°) and YOLO11 Medium (161.0°) were consistent with expectation.</w:t>
      </w:r>
    </w:p>
    <w:p>
      <w:pPr>
        <w:pStyle w:val="Heading3"/>
        <w:spacing w:after="80" w:before="160"/>
      </w:pPr>
      <w:r>
        <w:t xml:space="preserve">3.2 Agreement (Bland–Altman)</w:t>
      </w:r>
    </w:p>
    <w:p>
      <w:pPr>
        <w:spacing w:after="120" w:line="276"/>
      </w:pPr>
      <w:r>
        <w:rPr>
          <w:highlight w:val="yellow"/>
        </w:rPr>
        <w:t xml:space="preserve">Table 2</w:t>
      </w:r>
      <w:r>
        <w:t xml:space="preserve"> reports agreement with the reference standard (</w:t>
      </w:r>
      <w:r>
        <w:rPr>
          <w:highlight w:val="yellow"/>
        </w:rPr>
        <w:t xml:space="preserve">Figure 2</w:t>
      </w:r>
      <w:r>
        <w:t xml:space="preserve">). YOLO11 Nano had the smallest bias and narrowest limits of agreement among the lightweight options.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700"/>
        <w:gridCol w:w="1100"/>
        <w:gridCol w:w="9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Mean bias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95% LoA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MAPE 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Pearson r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MediaPipe Pose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+8.7°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−2.1° to +19.5°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10.3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0.82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YOLO11 Nano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−1.2°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−4.8° to +2.4°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2.1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0.97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YOLO11 Medium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−0.8°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−3.9° to +2.3°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1.6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0.98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Table 2. Agreement vs. the reference standard. </w:t>
      </w:r>
      <w:r>
        <w:rPr>
          <w:highlight w:val="cyan"/>
        </w:rPr>
        <w:t xml:space="preserve">[Recompute against the dataset's motion-capture ground truth.]</w:t>
      </w:r>
    </w:p>
    <w:p>
      <w:pPr>
        <w:pStyle w:val="Heading3"/>
        <w:spacing w:after="80" w:before="160"/>
      </w:pPr>
      <w:r>
        <w:t xml:space="preserve">3.3 Signal variance / jitter</w:t>
      </w:r>
    </w:p>
    <w:p>
      <w:pPr>
        <w:spacing w:after="120" w:line="276"/>
      </w:pPr>
      <w:r>
        <w:t xml:space="preserve">MediaPipe showed the highest raw-signal variance (σ = 14.2°; CV = 9.1%; RMSSD = 8.7°); YOLO11 Nano was markedly tighter (σ = 3.1°; CV = 2.0%; RMSSD = 1.9°); see </w:t>
      </w:r>
      <w:r>
        <w:rPr>
          <w:highlight w:val="yellow"/>
        </w:rPr>
        <w:t xml:space="preserve">Figure 3</w:t>
      </w:r>
      <w:r>
        <w:t xml:space="preserve">. </w:t>
      </w:r>
      <w:r>
        <w:rPr>
          <w:highlight w:val="cyan"/>
        </w:rPr>
        <w:t xml:space="preserve">[The Nano-vs-Medium non-significance (p=0.72) and F/η² statistics depend on the n=3 model above and should be regenerated under the clustered design.]</w:t>
      </w:r>
    </w:p>
    <w:p>
      <w:pPr>
        <w:pStyle w:val="Heading3"/>
        <w:spacing w:after="80" w:before="160"/>
      </w:pPr>
      <w:r>
        <w:t xml:space="preserve">3.4 Efficiency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900"/>
        <w:gridCol w:w="1900"/>
        <w:gridCol w:w="1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Params (M)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Latency (ms / fps)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Agreement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Raw 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MediaPipe Pose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~6.9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45 / 22.2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lower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14.2°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YOLO11 Nano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highlight w:val="yellow"/>
              </w:rPr>
              <w:t xml:space="preserve">~2.9 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12 / 83.3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3.1°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YOLO11 Medium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~20.1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35 / 28.6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highest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t xml:space="preserve">2.8°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Table 3. Efficiency/accuracy trade-off. </w:t>
      </w:r>
      <w:r>
        <w:rPr>
          <w:highlight w:val="cyan"/>
        </w:rPr>
        <w:t xml:space="preserve">[Confirm Nano-pose params/FLOPs with Ultralytics; the original 2.6M/8.1B is the detection variant.]</w:t>
      </w:r>
    </w:p>
    <w:p>
      <w:pPr>
        <w:pStyle w:val="Heading2"/>
        <w:spacing w:after="100" w:before="200"/>
      </w:pPr>
      <w:r>
        <w:t xml:space="preserve">4. Discussion</w:t>
      </w:r>
    </w:p>
    <w:p>
      <w:pPr>
        <w:spacing w:after="120" w:line="276"/>
      </w:pPr>
      <w:r>
        <w:t xml:space="preserve">YOLO11 Nano combined low bias, low raw-signal variance and sub-15 ms latency, supporting feasibility for on-device SLR monitoring. The non-significant Nano-vs-Medium difference suggests limited benefit from added capacity for this localized task </w:t>
      </w:r>
      <w:r>
        <w:rPr>
          <w:highlight w:val="cyan"/>
        </w:rPr>
        <w:t xml:space="preserve">[pending re-analysis].</w:t>
      </w:r>
    </w:p>
    <w:p>
      <w:pPr>
        <w:pStyle w:val="Heading3"/>
        <w:spacing w:after="80" w:before="160"/>
      </w:pPr>
      <w:r>
        <w:t xml:space="preserve">4.1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Sample. </w:t>
      </w:r>
      <w:r>
        <w:t xml:space="preserve">Healthy subjects and a small sample; </w:t>
      </w:r>
      <w:r>
        <w:rPr>
          <w:highlight w:val="yellow"/>
        </w:rPr>
        <w:t xml:space="preserve">the dataset offers 27 subjects — use more of them. </w:t>
      </w:r>
      <w:r>
        <w:t xml:space="preserve">No post-operative patients, no patient-reported outcomes, no longitudinal follow-up.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Reference standard. </w:t>
      </w:r>
      <w:r>
        <w:rPr>
          <w:highlight w:val="yellow"/>
        </w:rPr>
        <w:t xml:space="preserve">The dataset provides motion-capture ground truth; the earlier claim that motion capture was unavailable is withdrawn. </w:t>
      </w:r>
      <w:r>
        <w:rPr>
          <w:highlight w:val="cyan"/>
        </w:rPr>
        <w:t xml:space="preserve">[Ensure the manuscript no longer lists this as a limitation.]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Pseudoreplication. </w:t>
      </w:r>
      <w:r>
        <w:rPr>
          <w:highlight w:val="yellow"/>
        </w:rPr>
        <w:t xml:space="preserve">Per-frame confidence intervals overstate precision; cluster by session/subject.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Monocular 2D. </w:t>
      </w:r>
      <w:r>
        <w:rPr>
          <w:highlight w:val="yellow"/>
        </w:rPr>
        <w:t xml:space="preserve">Single-view RGB cannot quantify out-of-plane compensations (pelvic tilt, hip hiking) reliably.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Scope. </w:t>
      </w:r>
      <w:r>
        <w:t xml:space="preserve">One exercise, one controlled-lab dataset, frontal view; generalisability to home settings and other exercises is untested.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Leakage. </w:t>
      </w:r>
      <w:r>
        <w:rPr>
          <w:highlight w:val="yellow"/>
        </w:rPr>
        <w:t xml:space="preserve">Confirm subject-level separation between any fine-tuning frames and the test set.</w:t>
      </w:r>
    </w:p>
    <w:p>
      <w:pPr>
        <w:pStyle w:val="Heading2"/>
        <w:spacing w:after="100" w:before="200"/>
      </w:pPr>
      <w:r>
        <w:t xml:space="preserve">5. Conclusion</w:t>
      </w:r>
    </w:p>
    <w:p>
      <w:pPr>
        <w:spacing w:after="120" w:line="276"/>
      </w:pPr>
      <w:r>
        <w:t xml:space="preserve">This pilot suggests YOLO11 Nano is a promising, edge-deployable option for automated SLR assessment, pairing low latency with low signal variance. </w:t>
      </w:r>
      <w:r>
        <w:rPr>
          <w:highlight w:val="yellow"/>
        </w:rPr>
        <w:t xml:space="preserve">Conclusions are proof-of-concept; </w:t>
      </w:r>
      <w:r>
        <w:t xml:space="preserve">prospective trials with post-operative patients, motion-capture cross-validation, multi-exercise coverage, and longitudinal outcomes are required before clinical use.</w:t>
      </w:r>
    </w:p>
    <w:p>
      <w:pPr>
        <w:pStyle w:val="Heading2"/>
        <w:spacing w:after="100" w:before="200"/>
      </w:pPr>
      <w:r>
        <w:t xml:space="preserve">References (key corrections)</w:t>
      </w:r>
    </w:p>
    <w:p>
      <w:pPr>
        <w:spacing w:after="120" w:line="276"/>
      </w:pPr>
      <w:r>
        <w:rPr>
          <w:highlight w:val="yellow"/>
        </w:rPr>
        <w:t xml:space="preserve">Aguilar-Ortega R, Berral-Soler R, Jiménez-Velasco I, Romero-Ramírez FJ, García-Marín M, Zafra-Palma J, Muñoz-Salinas R, Medina-Carnicer R, Marín-Jiménez MJ. UCO Physical Rehabilitation: New Dataset and Study of Human Pose Estimation Methods on Physical Rehabilitation Exercises. Sensors. 2023;23(21):8862. doi:10.3390/s23218862.</w:t>
      </w:r>
      <w:r>
        <w:rPr>
          <w:highlight w:val="cyan"/>
        </w:rPr>
        <w:t xml:space="preserve"> [Replaces the incorrect “Martínez-Bueso et al., IEEE Access 2020” citation and the wrong dataset URL.]</w:t>
      </w:r>
    </w:p>
    <w:p>
      <w:pPr>
        <w:spacing w:after="120" w:line="276"/>
      </w:pPr>
      <w:r>
        <w:t xml:space="preserve">Bazarevsky V, et al. BlazePose: On-device real-time body pose tracking. arXiv:2006.10204. 2020.</w:t>
      </w:r>
    </w:p>
    <w:p>
      <w:pPr>
        <w:spacing w:after="120" w:line="276"/>
      </w:pPr>
      <w:r>
        <w:t xml:space="preserve">Cao Z, et al. OpenPose: Realtime multi-person 2D pose estimation using Part Affinity Fields. IEEE TPAMI. 2021;43(1):172–186.</w:t>
      </w:r>
    </w:p>
    <w:p>
      <w:pPr>
        <w:spacing w:after="120" w:line="276"/>
      </w:pPr>
      <w:r>
        <w:rPr>
          <w:highlight w:val="yellow"/>
        </w:rPr>
        <w:t xml:space="preserve">Hoenig JM, Heisey DM. The abuse of power: the pervasive fallacy of power calculations for data analysis. The American Statistician. 2001;55(1):19–24.</w:t>
      </w:r>
      <w:r>
        <w:rPr>
          <w:highlight w:val="cyan"/>
        </w:rPr>
        <w:t xml:space="preserve"> [Add this to justify removing the post-hoc power claim.]</w:t>
      </w:r>
    </w:p>
    <w:p>
      <w:pPr>
        <w:spacing w:after="120" w:line="276"/>
      </w:pPr>
      <w:r>
        <w:t xml:space="preserve">Topol E. </w:t>
      </w:r>
      <w:r>
        <w:rPr>
          <w:highlight w:val="cyan"/>
        </w:rPr>
        <w:t xml:space="preserve">[Verify: “High-performance medicine: the convergence of human and artificial intelligence” is Nature Medicine 2019;25:44–56 — not Lancet 2020. Correct the entry to the source you actually cite.]</w:t>
      </w:r>
    </w:p>
    <w:p>
      <w:pPr>
        <w:spacing w:after="120" w:line="276"/>
      </w:pPr>
      <w:r>
        <w:t xml:space="preserve">Watson CJ, et al. </w:t>
      </w:r>
      <w:r>
        <w:rPr>
          <w:highlight w:val="cyan"/>
        </w:rPr>
        <w:t xml:space="preserve">[Check journal/volume/year: J Orthop Sports Phys Ther volume 31 corresponds to 2001, not 2021; the LEFS/AKPS reliability source is commonly cited as Watson et al., Phys Ther 2005. Correct accordingly.]</w:t>
      </w:r>
    </w:p>
    <w:p>
      <w:pPr>
        <w:spacing w:after="120" w:line="276"/>
      </w:pPr>
      <w:r>
        <w:rPr>
          <w:highlight w:val="cyan"/>
        </w:rPr>
        <w:t xml:space="preserve">Ganz S, et al. Orthop J Sports Med. 2020 — [complete the truncated article identifier].</w:t>
      </w:r>
    </w:p>
    <w:p>
      <w:pPr>
        <w:pStyle w:val="Heading2"/>
        <w:spacing w:after="100" w:before="200"/>
      </w:pPr>
      <w:r>
        <w:t xml:space="preserve">Data and code availability (corrected)</w:t>
      </w:r>
    </w:p>
    <w:p>
      <w:pPr>
        <w:spacing w:after="120" w:line="276"/>
      </w:pPr>
      <w:r>
        <w:rPr>
          <w:highlight w:val="yellow"/>
        </w:rPr>
        <w:t xml:space="preserve">Dataset: UCO Physical Rehabilitation — access by request to inforeha@uco.es; project page uco.es/investiga/grupos/ava/portfolio/ucophyrehab/; repo github.com/AVAuco/ucophyrehab. </w:t>
      </w:r>
      <w:r>
        <w:rPr>
          <w:highlight w:val="cyan"/>
        </w:rPr>
        <w:t xml:space="preserve">[Replace the previous IEEE link, fill in the real GitHub repository and Zenodo DOI for your analysis code/weights before submission.]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2026-06-13T17:47:34.522Z</dcterms:created>
  <dcterms:modified xsi:type="dcterms:W3CDTF">2026-06-13T17:47:34.522Z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