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26"/>
        </w:rPr>
        <w:t>Supplementary Materials</w:t>
      </w:r>
    </w:p>
    <w:p>
      <w:pPr>
        <w:jc w:val="both"/>
      </w:pPr>
      <w:r>
        <w:rPr>
          <w:b/>
          <w:color w:val="000000"/>
        </w:rPr>
        <w:t>Development of an autonomous artificial intelligence agent for training load monitoring: a closed-loop in silico trial against the acute-to-chronic workload ratio</w:t>
      </w:r>
    </w:p>
    <w:p>
      <w:r>
        <w:drawing>
          <wp:inline xmlns:a="http://schemas.openxmlformats.org/drawingml/2006/main" xmlns:pic="http://schemas.openxmlformats.org/drawingml/2006/picture">
            <wp:extent cx="6120000" cy="2548570"/>
            <wp:docPr id="1" name="Picture 1"/>
            <wp:cNvGraphicFramePr>
              <a:graphicFrameLocks noChangeAspect="1"/>
            </wp:cNvGraphicFramePr>
            <a:graphic>
              <a:graphicData uri="http://schemas.openxmlformats.org/drawingml/2006/picture">
                <pic:pic>
                  <pic:nvPicPr>
                    <pic:cNvPr id="0" name="figS1.png"/>
                    <pic:cNvPicPr/>
                  </pic:nvPicPr>
                  <pic:blipFill>
                    <a:blip r:embed="rId9"/>
                    <a:stretch>
                      <a:fillRect/>
                    </a:stretch>
                  </pic:blipFill>
                  <pic:spPr>
                    <a:xfrm>
                      <a:off x="0" y="0"/>
                      <a:ext cx="6120000" cy="2548570"/>
                    </a:xfrm>
                    <a:prstGeom prst="rect"/>
                  </pic:spPr>
                </pic:pic>
              </a:graphicData>
            </a:graphic>
          </wp:inline>
        </w:drawing>
      </w:r>
    </w:p>
    <w:p>
      <w:r>
        <w:rPr>
          <w:b/>
          <w:sz w:val="20"/>
        </w:rPr>
        <w:t xml:space="preserve">Figure S1. </w:t>
      </w:r>
      <w:r>
        <w:rPr>
          <w:sz w:val="20"/>
        </w:rPr>
        <w:t>Calibration of the data-generating model. Distributions of the five calibration statistics across the 32,768 wave-2 parameter sets (prior predictive) and across the 3276 sets retained with a maximum implausibility below 2. Shaded bands show the target mean plus or minus one standard deviation, and vertical lines the target means. AU: arbitrary units; SD: standard deviation; sRPE: session rating of perceived exertion.</w:t>
      </w:r>
    </w:p>
    <w:p>
      <w:r>
        <w:drawing>
          <wp:inline xmlns:a="http://schemas.openxmlformats.org/drawingml/2006/main" xmlns:pic="http://schemas.openxmlformats.org/drawingml/2006/picture">
            <wp:extent cx="5760000" cy="2839683"/>
            <wp:docPr id="2" name="Picture 2"/>
            <wp:cNvGraphicFramePr>
              <a:graphicFrameLocks noChangeAspect="1"/>
            </wp:cNvGraphicFramePr>
            <a:graphic>
              <a:graphicData uri="http://schemas.openxmlformats.org/drawingml/2006/picture">
                <pic:pic>
                  <pic:nvPicPr>
                    <pic:cNvPr id="0" name="figS2.png"/>
                    <pic:cNvPicPr/>
                  </pic:nvPicPr>
                  <pic:blipFill>
                    <a:blip r:embed="rId10"/>
                    <a:stretch>
                      <a:fillRect/>
                    </a:stretch>
                  </pic:blipFill>
                  <pic:spPr>
                    <a:xfrm>
                      <a:off x="0" y="0"/>
                      <a:ext cx="5760000" cy="2839683"/>
                    </a:xfrm>
                    <a:prstGeom prst="rect"/>
                  </pic:spPr>
                </pic:pic>
              </a:graphicData>
            </a:graphic>
          </wp:inline>
        </w:drawing>
      </w:r>
    </w:p>
    <w:p>
      <w:r>
        <w:rPr>
          <w:b/>
          <w:sz w:val="20"/>
        </w:rPr>
        <w:t xml:space="preserve">Figure S2. </w:t>
      </w:r>
      <w:r>
        <w:rPr>
          <w:sz w:val="20"/>
        </w:rPr>
        <w:t>Net benefit per 1000 athlete-days at default thresholds across threshold probabilities, with 95% CI bands, across 1000 worlds, against alerting on every day and never alerting. Uncoupled ACWR and HBOD without wellness are omitted for legibility. Because default alert rules are not probability thresholds, the threshold probability acts as an exchange rate between true and false alerts. ACWR: acute-to-chronic workload ratio; CI: confidence interval; EWMA: exponentially weighted moving average; HBOD: Hooper-Borg-Oslo-Dergaa.</w:t>
      </w:r>
    </w:p>
    <w:p>
      <w:r>
        <w:drawing>
          <wp:inline xmlns:a="http://schemas.openxmlformats.org/drawingml/2006/main" xmlns:pic="http://schemas.openxmlformats.org/drawingml/2006/picture">
            <wp:extent cx="4320000" cy="3104820"/>
            <wp:docPr id="3" name="Picture 3"/>
            <wp:cNvGraphicFramePr>
              <a:graphicFrameLocks noChangeAspect="1"/>
            </wp:cNvGraphicFramePr>
            <a:graphic>
              <a:graphicData uri="http://schemas.openxmlformats.org/drawingml/2006/picture">
                <pic:pic>
                  <pic:nvPicPr>
                    <pic:cNvPr id="0" name="figS3.png"/>
                    <pic:cNvPicPr/>
                  </pic:nvPicPr>
                  <pic:blipFill>
                    <a:blip r:embed="rId11"/>
                    <a:stretch>
                      <a:fillRect/>
                    </a:stretch>
                  </pic:blipFill>
                  <pic:spPr>
                    <a:xfrm>
                      <a:off x="0" y="0"/>
                      <a:ext cx="4320000" cy="3104820"/>
                    </a:xfrm>
                    <a:prstGeom prst="rect"/>
                  </pic:spPr>
                </pic:pic>
              </a:graphicData>
            </a:graphic>
          </wp:inline>
        </w:drawing>
      </w:r>
    </w:p>
    <w:p>
      <w:r>
        <w:rPr>
          <w:b/>
          <w:sz w:val="20"/>
        </w:rPr>
        <w:t xml:space="preserve">Figure S3. </w:t>
      </w:r>
      <w:r>
        <w:rPr>
          <w:sz w:val="20"/>
        </w:rPr>
        <w:t>Robustness grid. Paired difference in days lost per 100 athlete-days between HBOD and the best ACWR policy in each cell of the five-by-five grid crossing the share of under-reporters with MNAR strength (40 worlds per cell). White dots mark cells whose 95% CI excludes zero. ACWR: acute-to-chronic workload ratio; CI: confidence interval; HBOD: Hooper-Borg-Oslo-Dergaa; MNAR: missing not at random.</w:t>
      </w:r>
    </w:p>
    <w:p>
      <w:pPr>
        <w:jc w:val="both"/>
      </w:pPr>
      <w:r>
        <w:rPr>
          <w:b/>
          <w:color w:val="000000"/>
        </w:rPr>
        <w:t>Table S1. Frozen analysis plan.</w:t>
      </w:r>
    </w:p>
    <w:p>
      <w:pPr>
        <w:jc w:val="both"/>
      </w:pPr>
      <w:r>
        <w:rPr>
          <w:b w:val="0"/>
          <w:color w:val="000000"/>
          <w:sz w:val="20"/>
        </w:rPr>
        <w:t>The plan below was written after development runs on separate seeds and before any evaluation seed was simulated. It is reproduced as frozen, with only typographic changes (numbers in words, mathematical signs and symbols).</w:t>
      </w:r>
    </w:p>
    <w:p>
      <w:pPr>
        <w:jc w:val="both"/>
      </w:pPr>
      <w:r>
        <w:rPr>
          <w:b w:val="0"/>
          <w:color w:val="000000"/>
          <w:sz w:val="20"/>
        </w:rPr>
        <w:t>Engines frozen as in engines.py (v1, ra_coupled, ra_uncoupled, ewma, week_change, tsb, wellness, v2, v2_noW).</w:t>
      </w:r>
    </w:p>
    <w:p>
      <w:pPr>
        <w:jc w:val="both"/>
      </w:pPr>
      <w:r>
        <w:rPr>
          <w:b w:val="0"/>
          <w:color w:val="000000"/>
          <w:sz w:val="20"/>
        </w:rPr>
        <w:t>v2 hyperparameters frozen: kappa 1.0, q_g 0.005, q_h 0.03, q_s 0.30, rho_s 0.80, forgetting 0.99, imputation inflation 4, alert at posterior probability ≥ 0.80.</w:t>
      </w:r>
    </w:p>
    <w:p>
      <w:pPr>
        <w:jc w:val="both"/>
      </w:pPr>
      <w:r>
        <w:rPr>
          <w:b w:val="0"/>
          <w:color w:val="000000"/>
          <w:sz w:val="20"/>
        </w:rPr>
        <w:t>Evaluation worlds: 1000 parameter vectors drawn without replacement from the wave-2 non-implausible pool; simulation seeds 900000 onwards (never used in development or calibration).</w:t>
      </w:r>
    </w:p>
    <w:p>
      <w:pPr>
        <w:jc w:val="both"/>
      </w:pPr>
      <w:r>
        <w:rPr>
          <w:b w:val="0"/>
          <w:color w:val="000000"/>
          <w:sz w:val="20"/>
        </w:rPr>
        <w:t>Primary horizon: any time-loss onset (injury or illness) within the next seven days, healthy athlete-days from day 42.</w:t>
      </w:r>
    </w:p>
    <w:p>
      <w:pPr>
        <w:jc w:val="both"/>
      </w:pPr>
      <w:r>
        <w:rPr>
          <w:b w:val="0"/>
          <w:color w:val="000000"/>
          <w:sz w:val="20"/>
        </w:rPr>
        <w:t>Open-loop estimands (per world, then averaged over worlds; paired differences against v2 with 95% CI from the world-level t distribution; Benjamini-Hochberg across engines):</w:t>
      </w:r>
    </w:p>
    <w:p>
      <w:pPr>
        <w:jc w:val="both"/>
      </w:pPr>
      <w:r>
        <w:rPr>
          <w:b w:val="0"/>
          <w:color w:val="000000"/>
          <w:sz w:val="20"/>
        </w:rPr>
        <w:t>AUROC, average precision, event sensitivity, false alerts per athlete-month and PPV at default thresholds and at a matched 10% alert budget; net benefit across threshold probabilities 0.005 to 0.10; injury-only and illness-only AUROC.</w:t>
      </w:r>
    </w:p>
    <w:p>
      <w:pPr>
        <w:jc w:val="both"/>
      </w:pPr>
      <w:r>
        <w:rPr>
          <w:b w:val="0"/>
          <w:color w:val="000000"/>
          <w:sz w:val="20"/>
        </w:rPr>
        <w:t>Closed-loop estimands (common random numbers, matched 10% alert budget, deload 25% for two days):</w:t>
      </w:r>
    </w:p>
    <w:p>
      <w:pPr>
        <w:jc w:val="both"/>
      </w:pPr>
      <w:r>
        <w:rPr>
          <w:b w:val="0"/>
          <w:color w:val="000000"/>
          <w:sz w:val="20"/>
        </w:rPr>
        <w:t>days lost per 100 athlete-days (primary), injury and illness incidence per 1000 athlete-days, delivered load, season-end Banister performance; paired differences against a random-alert placebo with the same budget.</w:t>
      </w:r>
    </w:p>
    <w:p>
      <w:pPr>
        <w:jc w:val="both"/>
      </w:pPr>
      <w:r>
        <w:rPr>
          <w:b w:val="0"/>
          <w:color w:val="000000"/>
          <w:sz w:val="20"/>
        </w:rPr>
        <w:t>Robustness: five-by-five grid of under-reporter share (0, 0.1, 0.2, 0.3, 0.4) and MNAR strength (0, 0.25, 0.5, 0.75, 1), 40 worlds per cell.</w:t>
      </w:r>
    </w:p>
    <w:p>
      <w:pPr>
        <w:jc w:val="both"/>
      </w:pPr>
      <w:r>
        <w:rPr>
          <w:b w:val="0"/>
          <w:color w:val="000000"/>
          <w:sz w:val="20"/>
        </w:rPr>
        <w:t>Global sensitivity: Saltelli design (base N = 256) over the wave-1 non-implausible box with a dummy parameter; outputs AUROC of v2, AUROC difference v2 minus EWMA ACWR, closed-loop days lost difference v2 minus ACWR policy.</w:t>
      </w:r>
    </w:p>
    <w:p>
      <w:pPr>
        <w:jc w:val="both"/>
      </w:pPr>
      <w:r>
        <w:rPr>
          <w:b w:val="0"/>
          <w:color w:val="000000"/>
          <w:sz w:val="20"/>
        </w:rPr>
        <w:t>Pre-specified replacement rule. A candidate replaces the ACWR component of HBOD if all hold on evaluation seeds:</w:t>
      </w:r>
    </w:p>
    <w:p>
      <w:pPr>
        <w:jc w:val="both"/>
      </w:pPr>
      <w:r>
        <w:rPr>
          <w:b w:val="0"/>
          <w:color w:val="000000"/>
          <w:sz w:val="20"/>
        </w:rPr>
        <w:t>(1) closed-loop days lost lower than under the best ratio-based (ACWR) policy, BH q &lt; 0.05;</w:t>
      </w:r>
    </w:p>
    <w:p>
      <w:pPr>
        <w:jc w:val="both"/>
      </w:pPr>
      <w:r>
        <w:rPr>
          <w:b w:val="0"/>
          <w:color w:val="000000"/>
          <w:sz w:val="20"/>
        </w:rPr>
        <w:t>(2) closed-loop days lost lower than under the random placebo, BH q &lt; 0.05;</w:t>
      </w:r>
    </w:p>
    <w:p>
      <w:pPr>
        <w:jc w:val="both"/>
      </w:pPr>
      <w:r>
        <w:rPr>
          <w:b w:val="0"/>
          <w:color w:val="000000"/>
          <w:sz w:val="20"/>
        </w:rPr>
        <w:t>(3) open-loop AUROC non-inferior to the best ACWR variant, lower 95% limit of the difference above −0.02;</w:t>
      </w:r>
    </w:p>
    <w:p>
      <w:pPr>
        <w:jc w:val="both"/>
      </w:pPr>
      <w:r>
        <w:rPr>
          <w:b w:val="0"/>
          <w:color w:val="000000"/>
          <w:sz w:val="20"/>
        </w:rPr>
        <w:t>(4) the sign of (1) preserved in at least 20 of the 25 robustness cells.</w:t>
      </w:r>
    </w:p>
    <w:p>
      <w:pPr>
        <w:jc w:val="both"/>
      </w:pPr>
      <w:r>
        <w:rPr>
          <w:b w:val="0"/>
          <w:color w:val="000000"/>
          <w:sz w:val="20"/>
        </w:rPr>
        <w:t>If no candidate meets all four, the paper reports that no replacement is supported.</w:t>
      </w:r>
    </w:p>
    <w:p>
      <w:pPr>
        <w:jc w:val="both"/>
      </w:pPr>
      <w:r>
        <w:rPr>
          <w:b w:val="0"/>
          <w:color w:val="000000"/>
          <w:sz w:val="18"/>
        </w:rPr>
        <w:t>ACWR: acute-to-chronic workload ratio; AUROC: area under the receiver operating characteristic curve; BH: Benjamini-Hochberg; CI: confidence interval; EWMA: exponentially weighted moving average; MNAR: missing not at random; HBOD: Hooper-Borg-Oslo-Dergaa; PPV: positive predictive value. The wave-1 non-implausible box coincided with the prior box. The frozen term alert budget corresponds to the alert rate of the main text. In the frozen text, v1 denotes the rule-based prototype, v2 denotes HBOD, v2_noW denotes HBOD without wellness, and engines denotes the monitoring signals. In the frozen rule, HBOD denotes the deployed system, whose rule-based prototype contained the ACWR flag.</w:t>
      </w:r>
    </w:p>
    <w:p>
      <w:pPr>
        <w:jc w:val="both"/>
      </w:pPr>
      <w:r>
        <w:rPr>
          <w:b/>
          <w:color w:val="000000"/>
        </w:rPr>
        <w:t>Table S2. Fixed constants of the data-generating model and settings of HBOD.</w:t>
      </w:r>
    </w:p>
    <w:tbl>
      <w:tblPr>
        <w:tblStyle w:val="TableGrid"/>
        <w:tblW w:type="auto" w:w="0"/>
        <w:tblLayout w:type="fixed"/>
        <w:tblLook w:firstColumn="1" w:firstRow="1" w:lastColumn="0" w:lastRow="0" w:noHBand="0" w:noVBand="1" w:val="04A0"/>
      </w:tblPr>
      <w:tblGrid>
        <w:gridCol w:w="1701"/>
        <w:gridCol w:w="3118"/>
        <w:gridCol w:w="4819"/>
      </w:tblGrid>
      <w:tr>
        <w:tc>
          <w:tcPr>
            <w:tcW w:type="dxa" w:w="1701"/>
          </w:tcPr>
          <w:p>
            <w:r/>
            <w:r>
              <w:rPr>
                <w:b/>
                <w:color w:val="000000"/>
                <w:sz w:val="18"/>
              </w:rPr>
              <w:t>Component</w:t>
            </w:r>
          </w:p>
        </w:tc>
        <w:tc>
          <w:tcPr>
            <w:tcW w:type="dxa" w:w="3118"/>
          </w:tcPr>
          <w:p>
            <w:r/>
            <w:r>
              <w:rPr>
                <w:b/>
                <w:color w:val="000000"/>
                <w:sz w:val="18"/>
              </w:rPr>
              <w:t>Quantity</w:t>
            </w:r>
          </w:p>
        </w:tc>
        <w:tc>
          <w:tcPr>
            <w:tcW w:type="dxa" w:w="4819"/>
          </w:tcPr>
          <w:p>
            <w:r/>
            <w:r>
              <w:rPr>
                <w:b/>
                <w:color w:val="000000"/>
                <w:sz w:val="18"/>
              </w:rPr>
              <w:t>Value</w:t>
            </w:r>
          </w:p>
        </w:tc>
      </w:tr>
      <w:tr>
        <w:tc>
          <w:tcPr>
            <w:tcW w:type="dxa" w:w="1701"/>
          </w:tcPr>
          <w:p>
            <w:r/>
            <w:r>
              <w:rPr>
                <w:b w:val="0"/>
                <w:color w:val="000000"/>
                <w:sz w:val="18"/>
              </w:rPr>
              <w:t>Training plan</w:t>
            </w:r>
          </w:p>
        </w:tc>
        <w:tc>
          <w:tcPr>
            <w:tcW w:type="dxa" w:w="3118"/>
          </w:tcPr>
          <w:p>
            <w:r/>
            <w:r>
              <w:rPr>
                <w:b w:val="0"/>
                <w:color w:val="000000"/>
                <w:sz w:val="18"/>
              </w:rPr>
              <w:t>Weekly template, fraction of W0 and duration (min), days 1 to 7</w:t>
            </w:r>
          </w:p>
        </w:tc>
        <w:tc>
          <w:tcPr>
            <w:tcW w:type="dxa" w:w="4819"/>
          </w:tcPr>
          <w:p>
            <w:r/>
            <w:r>
              <w:rPr>
                <w:b w:val="0"/>
                <w:color w:val="000000"/>
                <w:sz w:val="18"/>
              </w:rPr>
              <w:t>0.08 and 45; rest; 0.22 and 85; 0.20 and 80; 0.15 and 70; 0.08 and 50; match, 0.27 and 95</w:t>
            </w:r>
          </w:p>
        </w:tc>
      </w:tr>
      <w:tr>
        <w:tc>
          <w:tcPr>
            <w:tcW w:type="dxa" w:w="1701"/>
          </w:tcPr>
          <w:p>
            <w:r/>
            <w:r>
              <w:rPr>
                <w:b w:val="0"/>
                <w:color w:val="000000"/>
                <w:sz w:val="18"/>
              </w:rPr>
              <w:t>Training plan</w:t>
            </w:r>
          </w:p>
        </w:tc>
        <w:tc>
          <w:tcPr>
            <w:tcW w:type="dxa" w:w="3118"/>
          </w:tcPr>
          <w:p>
            <w:r/>
            <w:r>
              <w:rPr>
                <w:b w:val="0"/>
                <w:color w:val="000000"/>
                <w:sz w:val="18"/>
              </w:rPr>
              <w:t>Congested weeks (15th to 17th)</w:t>
            </w:r>
          </w:p>
        </w:tc>
        <w:tc>
          <w:tcPr>
            <w:tcW w:type="dxa" w:w="4819"/>
          </w:tcPr>
          <w:p>
            <w:r/>
            <w:r>
              <w:rPr>
                <w:b w:val="0"/>
                <w:color w:val="000000"/>
                <w:sz w:val="18"/>
              </w:rPr>
              <w:t>Second match on day 4 (0.27 of W0, 95 min), then 0.08 of W0 for 45 min</w:t>
            </w:r>
          </w:p>
        </w:tc>
      </w:tr>
      <w:tr>
        <w:tc>
          <w:tcPr>
            <w:tcW w:type="dxa" w:w="1701"/>
          </w:tcPr>
          <w:p>
            <w:r/>
            <w:r>
              <w:rPr>
                <w:b w:val="0"/>
                <w:color w:val="000000"/>
                <w:sz w:val="18"/>
              </w:rPr>
              <w:t>Training plan</w:t>
            </w:r>
          </w:p>
        </w:tc>
        <w:tc>
          <w:tcPr>
            <w:tcW w:type="dxa" w:w="3118"/>
          </w:tcPr>
          <w:p>
            <w:r/>
            <w:r>
              <w:rPr>
                <w:b w:val="0"/>
                <w:color w:val="000000"/>
                <w:sz w:val="18"/>
              </w:rPr>
              <w:t>Camp block (when present)</w:t>
            </w:r>
          </w:p>
        </w:tc>
        <w:tc>
          <w:tcPr>
            <w:tcW w:type="dxa" w:w="4819"/>
          </w:tcPr>
          <w:p>
            <w:r/>
            <w:r>
              <w:rPr>
                <w:b w:val="0"/>
                <w:color w:val="000000"/>
                <w:sz w:val="18"/>
              </w:rPr>
              <w:t>Starts between the 9th and 27th week, lasts one or two weeks, load × 1.3 to 1.5</w:t>
            </w:r>
          </w:p>
        </w:tc>
      </w:tr>
      <w:tr>
        <w:tc>
          <w:tcPr>
            <w:tcW w:type="dxa" w:w="1701"/>
          </w:tcPr>
          <w:p>
            <w:r/>
            <w:r>
              <w:rPr>
                <w:b w:val="0"/>
                <w:color w:val="000000"/>
                <w:sz w:val="18"/>
              </w:rPr>
              <w:t>Training plan</w:t>
            </w:r>
          </w:p>
        </w:tc>
        <w:tc>
          <w:tcPr>
            <w:tcW w:type="dxa" w:w="3118"/>
          </w:tcPr>
          <w:p>
            <w:r/>
            <w:r>
              <w:rPr>
                <w:b w:val="0"/>
                <w:color w:val="000000"/>
                <w:sz w:val="18"/>
              </w:rPr>
              <w:t>Log-normal load noise (SD on the log scale)</w:t>
            </w:r>
          </w:p>
        </w:tc>
        <w:tc>
          <w:tcPr>
            <w:tcW w:type="dxa" w:w="4819"/>
          </w:tcPr>
          <w:p>
            <w:r/>
            <w:r>
              <w:rPr>
                <w:b w:val="0"/>
                <w:color w:val="000000"/>
                <w:sz w:val="18"/>
              </w:rPr>
              <w:t>Squad-week 0.05; squad-day 0.10; athlete multiplier 0.10; athlete-day 0.15</w:t>
            </w:r>
          </w:p>
        </w:tc>
      </w:tr>
      <w:tr>
        <w:tc>
          <w:tcPr>
            <w:tcW w:type="dxa" w:w="1701"/>
          </w:tcPr>
          <w:p>
            <w:r/>
            <w:r>
              <w:rPr>
                <w:b w:val="0"/>
                <w:color w:val="000000"/>
                <w:sz w:val="18"/>
              </w:rPr>
              <w:t>Training plan</w:t>
            </w:r>
          </w:p>
        </w:tc>
        <w:tc>
          <w:tcPr>
            <w:tcW w:type="dxa" w:w="3118"/>
          </w:tcPr>
          <w:p>
            <w:r/>
            <w:r>
              <w:rPr>
                <w:b w:val="0"/>
                <w:color w:val="000000"/>
                <w:sz w:val="18"/>
              </w:rPr>
              <w:t>Starters and non-starters</w:t>
            </w:r>
          </w:p>
        </w:tc>
        <w:tc>
          <w:tcPr>
            <w:tcW w:type="dxa" w:w="4819"/>
          </w:tcPr>
          <w:p>
            <w:r/>
            <w:r>
              <w:rPr>
                <w:b w:val="0"/>
                <w:color w:val="000000"/>
                <w:sz w:val="18"/>
              </w:rPr>
              <w:t>Starter with probability 0.6; non-starters 35% of match load and 12% of W0 the next day</w:t>
            </w:r>
          </w:p>
        </w:tc>
      </w:tr>
      <w:tr>
        <w:tc>
          <w:tcPr>
            <w:tcW w:type="dxa" w:w="1701"/>
          </w:tcPr>
          <w:p>
            <w:r/>
            <w:r>
              <w:rPr>
                <w:b w:val="0"/>
                <w:color w:val="000000"/>
                <w:sz w:val="18"/>
              </w:rPr>
              <w:t>Physiology</w:t>
            </w:r>
          </w:p>
        </w:tc>
        <w:tc>
          <w:tcPr>
            <w:tcW w:type="dxa" w:w="3118"/>
          </w:tcPr>
          <w:p>
            <w:r/>
            <w:r>
              <w:rPr>
                <w:b w:val="0"/>
                <w:color w:val="000000"/>
                <w:sz w:val="18"/>
              </w:rPr>
              <w:t>Fitness gain k1</w:t>
            </w:r>
          </w:p>
        </w:tc>
        <w:tc>
          <w:tcPr>
            <w:tcW w:type="dxa" w:w="4819"/>
          </w:tcPr>
          <w:p>
            <w:r/>
            <w:r>
              <w:rPr>
                <w:b w:val="0"/>
                <w:color w:val="000000"/>
                <w:sz w:val="18"/>
              </w:rPr>
              <w:t>0.001</w:t>
            </w:r>
          </w:p>
        </w:tc>
      </w:tr>
      <w:tr>
        <w:tc>
          <w:tcPr>
            <w:tcW w:type="dxa" w:w="1701"/>
          </w:tcPr>
          <w:p>
            <w:r/>
            <w:r>
              <w:rPr>
                <w:b w:val="0"/>
                <w:color w:val="000000"/>
                <w:sz w:val="18"/>
              </w:rPr>
              <w:t>Physiology</w:t>
            </w:r>
          </w:p>
        </w:tc>
        <w:tc>
          <w:tcPr>
            <w:tcW w:type="dxa" w:w="3118"/>
          </w:tcPr>
          <w:p>
            <w:r/>
            <w:r>
              <w:rPr>
                <w:b w:val="0"/>
                <w:color w:val="000000"/>
                <w:sz w:val="18"/>
              </w:rPr>
              <w:t>Fatigue-gain scale k3</w:t>
            </w:r>
          </w:p>
        </w:tc>
        <w:tc>
          <w:tcPr>
            <w:tcW w:type="dxa" w:w="4819"/>
          </w:tcPr>
          <w:p>
            <w:r/>
            <w:r>
              <w:rPr>
                <w:b w:val="0"/>
                <w:color w:val="000000"/>
                <w:sz w:val="18"/>
              </w:rPr>
              <w:t>Set so that the steady-state fatigue gain equals the drawn gain ratio × k1 at the planned mean daily load W0/7</w:t>
            </w:r>
          </w:p>
        </w:tc>
      </w:tr>
      <w:tr>
        <w:tc>
          <w:tcPr>
            <w:tcW w:type="dxa" w:w="1701"/>
          </w:tcPr>
          <w:p>
            <w:r/>
            <w:r>
              <w:rPr>
                <w:b w:val="0"/>
                <w:color w:val="000000"/>
                <w:sz w:val="18"/>
              </w:rPr>
              <w:t>Physiology</w:t>
            </w:r>
          </w:p>
        </w:tc>
        <w:tc>
          <w:tcPr>
            <w:tcW w:type="dxa" w:w="3118"/>
          </w:tcPr>
          <w:p>
            <w:r/>
            <w:r>
              <w:rPr>
                <w:b w:val="0"/>
                <w:color w:val="000000"/>
                <w:sz w:val="18"/>
              </w:rPr>
              <w:t>Initial states</w:t>
            </w:r>
          </w:p>
        </w:tc>
        <w:tc>
          <w:tcPr>
            <w:tcW w:type="dxa" w:w="4819"/>
          </w:tcPr>
          <w:p>
            <w:r/>
            <w:r>
              <w:rPr>
                <w:b w:val="0"/>
                <w:color w:val="000000"/>
                <w:sz w:val="18"/>
              </w:rPr>
              <w:t>Fitness, fatigue and fatigue gain equal to zero on day 0</w:t>
            </w:r>
          </w:p>
        </w:tc>
      </w:tr>
      <w:tr>
        <w:tc>
          <w:tcPr>
            <w:tcW w:type="dxa" w:w="1701"/>
          </w:tcPr>
          <w:p>
            <w:r/>
            <w:r>
              <w:rPr>
                <w:b w:val="0"/>
                <w:color w:val="000000"/>
                <w:sz w:val="18"/>
              </w:rPr>
              <w:t>Physiology</w:t>
            </w:r>
          </w:p>
        </w:tc>
        <w:tc>
          <w:tcPr>
            <w:tcW w:type="dxa" w:w="3118"/>
          </w:tcPr>
          <w:p>
            <w:r/>
            <w:r>
              <w:rPr>
                <w:b w:val="0"/>
                <w:color w:val="000000"/>
                <w:sz w:val="18"/>
              </w:rPr>
              <w:t>Load spike zS</w:t>
            </w:r>
          </w:p>
        </w:tc>
        <w:tc>
          <w:tcPr>
            <w:tcW w:type="dxa" w:w="4819"/>
          </w:tcPr>
          <w:p>
            <w:r/>
            <w:r>
              <w:rPr>
                <w:b w:val="0"/>
                <w:color w:val="000000"/>
                <w:sz w:val="18"/>
              </w:rPr>
              <w:t>Log of (seven-day mean + 10)/(mean of the preceding 28 days + 10), standardised against the planned season</w:t>
            </w:r>
          </w:p>
        </w:tc>
      </w:tr>
      <w:tr>
        <w:tc>
          <w:tcPr>
            <w:tcW w:type="dxa" w:w="1701"/>
          </w:tcPr>
          <w:p>
            <w:r/>
            <w:r>
              <w:rPr>
                <w:b w:val="0"/>
                <w:color w:val="000000"/>
                <w:sz w:val="18"/>
              </w:rPr>
              <w:t>Events</w:t>
            </w:r>
          </w:p>
        </w:tc>
        <w:tc>
          <w:tcPr>
            <w:tcW w:type="dxa" w:w="3118"/>
          </w:tcPr>
          <w:p>
            <w:r/>
            <w:r>
              <w:rPr>
                <w:b w:val="0"/>
                <w:color w:val="000000"/>
                <w:sz w:val="18"/>
              </w:rPr>
              <w:t>Injury and illness frailties</w:t>
            </w:r>
          </w:p>
        </w:tc>
        <w:tc>
          <w:tcPr>
            <w:tcW w:type="dxa" w:w="4819"/>
          </w:tcPr>
          <w:p>
            <w:r/>
            <w:r>
              <w:rPr>
                <w:b w:val="0"/>
                <w:color w:val="000000"/>
                <w:sz w:val="18"/>
              </w:rPr>
              <w:t>Normal with SD 0.5 on the log-odds scale</w:t>
            </w:r>
          </w:p>
        </w:tc>
      </w:tr>
      <w:tr>
        <w:tc>
          <w:tcPr>
            <w:tcW w:type="dxa" w:w="1701"/>
          </w:tcPr>
          <w:p>
            <w:r/>
            <w:r>
              <w:rPr>
                <w:b w:val="0"/>
                <w:color w:val="000000"/>
                <w:sz w:val="18"/>
              </w:rPr>
              <w:t>Events</w:t>
            </w:r>
          </w:p>
        </w:tc>
        <w:tc>
          <w:tcPr>
            <w:tcW w:type="dxa" w:w="3118"/>
          </w:tcPr>
          <w:p>
            <w:r/>
            <w:r>
              <w:rPr>
                <w:b w:val="0"/>
                <w:color w:val="000000"/>
                <w:sz w:val="18"/>
              </w:rPr>
              <w:t>Life stress ℓ</w:t>
            </w:r>
          </w:p>
        </w:tc>
        <w:tc>
          <w:tcPr>
            <w:tcW w:type="dxa" w:w="4819"/>
          </w:tcPr>
          <w:p>
            <w:r/>
            <w:r>
              <w:rPr>
                <w:b w:val="0"/>
                <w:color w:val="000000"/>
                <w:sz w:val="18"/>
              </w:rPr>
              <w:t>Athlete-level first-order autoregressive process, coefficient 0.9, innovation SD √0.19 (unit variance)</w:t>
            </w:r>
          </w:p>
        </w:tc>
      </w:tr>
      <w:tr>
        <w:tc>
          <w:tcPr>
            <w:tcW w:type="dxa" w:w="1701"/>
          </w:tcPr>
          <w:p>
            <w:r/>
            <w:r>
              <w:rPr>
                <w:b w:val="0"/>
                <w:color w:val="000000"/>
                <w:sz w:val="18"/>
              </w:rPr>
              <w:t>Events</w:t>
            </w:r>
          </w:p>
        </w:tc>
        <w:tc>
          <w:tcPr>
            <w:tcW w:type="dxa" w:w="3118"/>
          </w:tcPr>
          <w:p>
            <w:r/>
            <w:r>
              <w:rPr>
                <w:b w:val="0"/>
                <w:color w:val="000000"/>
                <w:sz w:val="18"/>
              </w:rPr>
              <w:t>Incubation</w:t>
            </w:r>
          </w:p>
        </w:tc>
        <w:tc>
          <w:tcPr>
            <w:tcW w:type="dxa" w:w="4819"/>
          </w:tcPr>
          <w:p>
            <w:r/>
            <w:r>
              <w:rPr>
                <w:b w:val="0"/>
                <w:color w:val="000000"/>
                <w:sz w:val="18"/>
              </w:rPr>
              <w:t>Two to four days, counting the exposure day; onset one to three days after exposure</w:t>
            </w:r>
          </w:p>
        </w:tc>
      </w:tr>
      <w:tr>
        <w:tc>
          <w:tcPr>
            <w:tcW w:type="dxa" w:w="1701"/>
          </w:tcPr>
          <w:p>
            <w:r/>
            <w:r>
              <w:rPr>
                <w:b w:val="0"/>
                <w:color w:val="000000"/>
                <w:sz w:val="18"/>
              </w:rPr>
              <w:t>Events</w:t>
            </w:r>
          </w:p>
        </w:tc>
        <w:tc>
          <w:tcPr>
            <w:tcW w:type="dxa" w:w="3118"/>
          </w:tcPr>
          <w:p>
            <w:r/>
            <w:r>
              <w:rPr>
                <w:b w:val="0"/>
                <w:color w:val="000000"/>
                <w:sz w:val="18"/>
              </w:rPr>
              <w:t>Event duration</w:t>
            </w:r>
          </w:p>
        </w:tc>
        <w:tc>
          <w:tcPr>
            <w:tcW w:type="dxa" w:w="4819"/>
          </w:tcPr>
          <w:p>
            <w:r/>
            <w:r>
              <w:rPr>
                <w:b w:val="0"/>
                <w:color w:val="000000"/>
                <w:sz w:val="18"/>
              </w:rPr>
              <w:t>Log-normal around the drawn median, log-SD 0.9 for injury and 0.6 for illness, minimum one day</w:t>
            </w:r>
          </w:p>
        </w:tc>
      </w:tr>
      <w:tr>
        <w:tc>
          <w:tcPr>
            <w:tcW w:type="dxa" w:w="1701"/>
          </w:tcPr>
          <w:p>
            <w:r/>
            <w:r>
              <w:rPr>
                <w:b w:val="0"/>
                <w:color w:val="000000"/>
                <w:sz w:val="18"/>
              </w:rPr>
              <w:t>Events</w:t>
            </w:r>
          </w:p>
        </w:tc>
        <w:tc>
          <w:tcPr>
            <w:tcW w:type="dxa" w:w="3118"/>
          </w:tcPr>
          <w:p>
            <w:r/>
            <w:r>
              <w:rPr>
                <w:b w:val="0"/>
                <w:color w:val="000000"/>
                <w:sz w:val="18"/>
              </w:rPr>
              <w:t>Return to play</w:t>
            </w:r>
          </w:p>
        </w:tc>
        <w:tc>
          <w:tcPr>
            <w:tcW w:type="dxa" w:w="4819"/>
          </w:tcPr>
          <w:p>
            <w:r/>
            <w:r>
              <w:rPr>
                <w:b w:val="0"/>
                <w:color w:val="000000"/>
                <w:sz w:val="18"/>
              </w:rPr>
              <w:t>Seven days at 60% of the planned load; no new event during this phase</w:t>
            </w:r>
          </w:p>
        </w:tc>
      </w:tr>
      <w:tr>
        <w:tc>
          <w:tcPr>
            <w:tcW w:type="dxa" w:w="1701"/>
          </w:tcPr>
          <w:p>
            <w:r/>
            <w:r>
              <w:rPr>
                <w:b w:val="0"/>
                <w:color w:val="000000"/>
                <w:sz w:val="18"/>
              </w:rPr>
              <w:t>Reporting</w:t>
            </w:r>
          </w:p>
        </w:tc>
        <w:tc>
          <w:tcPr>
            <w:tcW w:type="dxa" w:w="3118"/>
          </w:tcPr>
          <w:p>
            <w:r/>
            <w:r>
              <w:rPr>
                <w:b w:val="0"/>
                <w:color w:val="000000"/>
                <w:sz w:val="18"/>
              </w:rPr>
              <w:t>Hooper item order</w:t>
            </w:r>
          </w:p>
        </w:tc>
        <w:tc>
          <w:tcPr>
            <w:tcW w:type="dxa" w:w="4819"/>
          </w:tcPr>
          <w:p>
            <w:r/>
            <w:r>
              <w:rPr>
                <w:b w:val="0"/>
                <w:color w:val="000000"/>
                <w:sz w:val="18"/>
              </w:rPr>
              <w:t>Sleep, stress, fatigue, soreness; 1 = best, 7 = worst</w:t>
            </w:r>
          </w:p>
        </w:tc>
      </w:tr>
      <w:tr>
        <w:tc>
          <w:tcPr>
            <w:tcW w:type="dxa" w:w="1701"/>
          </w:tcPr>
          <w:p>
            <w:r/>
            <w:r>
              <w:rPr>
                <w:b w:val="0"/>
                <w:color w:val="000000"/>
                <w:sz w:val="18"/>
              </w:rPr>
              <w:t>Reporting</w:t>
            </w:r>
          </w:p>
        </w:tc>
        <w:tc>
          <w:tcPr>
            <w:tcW w:type="dxa" w:w="3118"/>
          </w:tcPr>
          <w:p>
            <w:r/>
            <w:r>
              <w:rPr>
                <w:b w:val="0"/>
                <w:color w:val="000000"/>
                <w:sz w:val="18"/>
              </w:rPr>
              <w:t>Item loadings λj on fatigue</w:t>
            </w:r>
          </w:p>
        </w:tc>
        <w:tc>
          <w:tcPr>
            <w:tcW w:type="dxa" w:w="4819"/>
          </w:tcPr>
          <w:p>
            <w:r/>
            <w:r>
              <w:rPr>
                <w:b w:val="0"/>
                <w:color w:val="000000"/>
                <w:sz w:val="18"/>
              </w:rPr>
              <w:t>0.4, 0.3, 0.8, 0.7</w:t>
            </w:r>
          </w:p>
        </w:tc>
      </w:tr>
      <w:tr>
        <w:tc>
          <w:tcPr>
            <w:tcW w:type="dxa" w:w="1701"/>
          </w:tcPr>
          <w:p>
            <w:r/>
            <w:r>
              <w:rPr>
                <w:b w:val="0"/>
                <w:color w:val="000000"/>
                <w:sz w:val="18"/>
              </w:rPr>
              <w:t>Reporting</w:t>
            </w:r>
          </w:p>
        </w:tc>
        <w:tc>
          <w:tcPr>
            <w:tcW w:type="dxa" w:w="3118"/>
          </w:tcPr>
          <w:p>
            <w:r/>
            <w:r>
              <w:rPr>
                <w:b w:val="0"/>
                <w:color w:val="000000"/>
                <w:sz w:val="18"/>
              </w:rPr>
              <w:t>Item effects ψj of yesterday's deviation from the plan</w:t>
            </w:r>
          </w:p>
        </w:tc>
        <w:tc>
          <w:tcPr>
            <w:tcW w:type="dxa" w:w="4819"/>
          </w:tcPr>
          <w:p>
            <w:r/>
            <w:r>
              <w:rPr>
                <w:b w:val="0"/>
                <w:color w:val="000000"/>
                <w:sz w:val="18"/>
              </w:rPr>
              <w:t>0, 0, 0.3, 0.5</w:t>
            </w:r>
          </w:p>
        </w:tc>
      </w:tr>
      <w:tr>
        <w:tc>
          <w:tcPr>
            <w:tcW w:type="dxa" w:w="1701"/>
          </w:tcPr>
          <w:p>
            <w:r/>
            <w:r>
              <w:rPr>
                <w:b w:val="0"/>
                <w:color w:val="000000"/>
                <w:sz w:val="18"/>
              </w:rPr>
              <w:t>Reporting</w:t>
            </w:r>
          </w:p>
        </w:tc>
        <w:tc>
          <w:tcPr>
            <w:tcW w:type="dxa" w:w="3118"/>
          </w:tcPr>
          <w:p>
            <w:r/>
            <w:r>
              <w:rPr>
                <w:b w:val="0"/>
                <w:color w:val="000000"/>
                <w:sz w:val="18"/>
              </w:rPr>
              <w:t>Item effects γj of life stress</w:t>
            </w:r>
          </w:p>
        </w:tc>
        <w:tc>
          <w:tcPr>
            <w:tcW w:type="dxa" w:w="4819"/>
          </w:tcPr>
          <w:p>
            <w:r/>
            <w:r>
              <w:rPr>
                <w:b w:val="0"/>
                <w:color w:val="000000"/>
                <w:sz w:val="18"/>
              </w:rPr>
              <w:t>0.5, 0.9, 0.3, 0</w:t>
            </w:r>
          </w:p>
        </w:tc>
      </w:tr>
      <w:tr>
        <w:tc>
          <w:tcPr>
            <w:tcW w:type="dxa" w:w="1701"/>
          </w:tcPr>
          <w:p>
            <w:r/>
            <w:r>
              <w:rPr>
                <w:b w:val="0"/>
                <w:color w:val="000000"/>
                <w:sz w:val="18"/>
              </w:rPr>
              <w:t>Reporting</w:t>
            </w:r>
          </w:p>
        </w:tc>
        <w:tc>
          <w:tcPr>
            <w:tcW w:type="dxa" w:w="3118"/>
          </w:tcPr>
          <w:p>
            <w:r/>
            <w:r>
              <w:rPr>
                <w:b w:val="0"/>
                <w:color w:val="000000"/>
                <w:sz w:val="18"/>
              </w:rPr>
              <w:t>Item prodrome loadings δj</w:t>
            </w:r>
          </w:p>
        </w:tc>
        <w:tc>
          <w:tcPr>
            <w:tcW w:type="dxa" w:w="4819"/>
          </w:tcPr>
          <w:p>
            <w:r/>
            <w:r>
              <w:rPr>
                <w:b w:val="0"/>
                <w:color w:val="000000"/>
                <w:sz w:val="18"/>
              </w:rPr>
              <w:t>1.0, 0, 1.0, 0.3</w:t>
            </w:r>
          </w:p>
        </w:tc>
      </w:tr>
      <w:tr>
        <w:tc>
          <w:tcPr>
            <w:tcW w:type="dxa" w:w="1701"/>
          </w:tcPr>
          <w:p>
            <w:r/>
            <w:r>
              <w:rPr>
                <w:b w:val="0"/>
                <w:color w:val="000000"/>
                <w:sz w:val="18"/>
              </w:rPr>
              <w:t>Reporting</w:t>
            </w:r>
          </w:p>
        </w:tc>
        <w:tc>
          <w:tcPr>
            <w:tcW w:type="dxa" w:w="3118"/>
          </w:tcPr>
          <w:p>
            <w:r/>
            <w:r>
              <w:rPr>
                <w:b w:val="0"/>
                <w:color w:val="000000"/>
                <w:sz w:val="18"/>
              </w:rPr>
              <w:t>Item baselines μij and residuals</w:t>
            </w:r>
          </w:p>
        </w:tc>
        <w:tc>
          <w:tcPr>
            <w:tcW w:type="dxa" w:w="4819"/>
          </w:tcPr>
          <w:p>
            <w:r/>
            <w:r>
              <w:rPr>
                <w:b w:val="0"/>
                <w:color w:val="000000"/>
                <w:sz w:val="18"/>
              </w:rPr>
              <w:t>Baselines normal with mean −0.5 and SD 0.5; residuals standard normal</w:t>
            </w:r>
          </w:p>
        </w:tc>
      </w:tr>
      <w:tr>
        <w:tc>
          <w:tcPr>
            <w:tcW w:type="dxa" w:w="1701"/>
          </w:tcPr>
          <w:p>
            <w:r/>
            <w:r>
              <w:rPr>
                <w:b w:val="0"/>
                <w:color w:val="000000"/>
                <w:sz w:val="18"/>
              </w:rPr>
              <w:t>Reporting</w:t>
            </w:r>
          </w:p>
        </w:tc>
        <w:tc>
          <w:tcPr>
            <w:tcW w:type="dxa" w:w="3118"/>
          </w:tcPr>
          <w:p>
            <w:r/>
            <w:r>
              <w:rPr>
                <w:b w:val="0"/>
                <w:color w:val="000000"/>
                <w:sz w:val="18"/>
              </w:rPr>
              <w:t>Ordered-probit cut points ζ</w:t>
            </w:r>
          </w:p>
        </w:tc>
        <w:tc>
          <w:tcPr>
            <w:tcW w:type="dxa" w:w="4819"/>
          </w:tcPr>
          <w:p>
            <w:r/>
            <w:r>
              <w:rPr>
                <w:b w:val="0"/>
                <w:color w:val="000000"/>
                <w:sz w:val="18"/>
              </w:rPr>
              <w:t>−2.0, −1.2, −0.4, 0.4, 1.2, 2.0</w:t>
            </w:r>
          </w:p>
        </w:tc>
      </w:tr>
      <w:tr>
        <w:tc>
          <w:tcPr>
            <w:tcW w:type="dxa" w:w="1701"/>
          </w:tcPr>
          <w:p>
            <w:r/>
            <w:r>
              <w:rPr>
                <w:b w:val="0"/>
                <w:color w:val="000000"/>
                <w:sz w:val="18"/>
              </w:rPr>
              <w:t>Reporting</w:t>
            </w:r>
          </w:p>
        </w:tc>
        <w:tc>
          <w:tcPr>
            <w:tcW w:type="dxa" w:w="3118"/>
          </w:tcPr>
          <w:p>
            <w:r/>
            <w:r>
              <w:rPr>
                <w:b w:val="0"/>
                <w:color w:val="000000"/>
                <w:sz w:val="18"/>
              </w:rPr>
              <w:t>RPE noise</w:t>
            </w:r>
          </w:p>
        </w:tc>
        <w:tc>
          <w:tcPr>
            <w:tcW w:type="dxa" w:w="4819"/>
          </w:tcPr>
          <w:p>
            <w:r/>
            <w:r>
              <w:rPr>
                <w:b w:val="0"/>
                <w:color w:val="000000"/>
                <w:sz w:val="18"/>
              </w:rPr>
              <w:t>Gaussian SD 0.6, rounded to an integer and bounded between 0 and 10</w:t>
            </w:r>
          </w:p>
        </w:tc>
      </w:tr>
      <w:tr>
        <w:tc>
          <w:tcPr>
            <w:tcW w:type="dxa" w:w="1701"/>
          </w:tcPr>
          <w:p>
            <w:r/>
            <w:r>
              <w:rPr>
                <w:b w:val="0"/>
                <w:color w:val="000000"/>
                <w:sz w:val="18"/>
              </w:rPr>
              <w:t>Reporting</w:t>
            </w:r>
          </w:p>
        </w:tc>
        <w:tc>
          <w:tcPr>
            <w:tcW w:type="dxa" w:w="3118"/>
          </w:tcPr>
          <w:p>
            <w:r/>
            <w:r>
              <w:rPr>
                <w:b w:val="0"/>
                <w:color w:val="000000"/>
                <w:sz w:val="18"/>
              </w:rPr>
              <w:t>Reported sRPE during return to play</w:t>
            </w:r>
          </w:p>
        </w:tc>
        <w:tc>
          <w:tcPr>
            <w:tcW w:type="dxa" w:w="4819"/>
          </w:tcPr>
          <w:p>
            <w:r/>
            <w:r>
              <w:rPr>
                <w:b w:val="0"/>
                <w:color w:val="000000"/>
                <w:sz w:val="18"/>
              </w:rPr>
              <w:t>Scaled by 0.6 on top of the reduced true load (about 36% of the plan); used only by the rule-based prototype</w:t>
            </w:r>
          </w:p>
        </w:tc>
      </w:tr>
      <w:tr>
        <w:tc>
          <w:tcPr>
            <w:tcW w:type="dxa" w:w="1701"/>
          </w:tcPr>
          <w:p>
            <w:r/>
            <w:r>
              <w:rPr>
                <w:b w:val="0"/>
                <w:color w:val="000000"/>
                <w:sz w:val="18"/>
              </w:rPr>
              <w:t>Reporting</w:t>
            </w:r>
          </w:p>
        </w:tc>
        <w:tc>
          <w:tcPr>
            <w:tcW w:type="dxa" w:w="3118"/>
          </w:tcPr>
          <w:p>
            <w:r/>
            <w:r>
              <w:rPr>
                <w:b w:val="0"/>
                <w:color w:val="000000"/>
                <w:sz w:val="18"/>
              </w:rPr>
              <w:t>Compressors and careless responders</w:t>
            </w:r>
          </w:p>
        </w:tc>
        <w:tc>
          <w:tcPr>
            <w:tcW w:type="dxa" w:w="4819"/>
          </w:tcPr>
          <w:p>
            <w:r/>
            <w:r>
              <w:rPr>
                <w:b w:val="0"/>
                <w:color w:val="000000"/>
                <w:sz w:val="18"/>
              </w:rPr>
              <w:t>Compressors halve all deviations; careless responders answer uniformly from 1 to 7 on 30% of days</w:t>
            </w:r>
          </w:p>
        </w:tc>
      </w:tr>
      <w:tr>
        <w:tc>
          <w:tcPr>
            <w:tcW w:type="dxa" w:w="1701"/>
          </w:tcPr>
          <w:p>
            <w:r/>
            <w:r>
              <w:rPr>
                <w:b w:val="0"/>
                <w:color w:val="000000"/>
                <w:sz w:val="18"/>
              </w:rPr>
              <w:t>Reporting</w:t>
            </w:r>
          </w:p>
        </w:tc>
        <w:tc>
          <w:tcPr>
            <w:tcW w:type="dxa" w:w="3118"/>
          </w:tcPr>
          <w:p>
            <w:r/>
            <w:r>
              <w:rPr>
                <w:b w:val="0"/>
                <w:color w:val="000000"/>
                <w:sz w:val="18"/>
              </w:rPr>
              <w:t>Athlete missingness</w:t>
            </w:r>
          </w:p>
        </w:tc>
        <w:tc>
          <w:tcPr>
            <w:tcW w:type="dxa" w:w="4819"/>
          </w:tcPr>
          <w:p>
            <w:r/>
            <w:r>
              <w:rPr>
                <w:b w:val="0"/>
                <w:color w:val="000000"/>
                <w:sz w:val="18"/>
              </w:rPr>
              <w:t>logit mi = logit m0 + 0.8 × standard normal</w:t>
            </w:r>
          </w:p>
        </w:tc>
      </w:tr>
      <w:tr>
        <w:tc>
          <w:tcPr>
            <w:tcW w:type="dxa" w:w="1701"/>
          </w:tcPr>
          <w:p>
            <w:r/>
            <w:r>
              <w:rPr>
                <w:b w:val="0"/>
                <w:color w:val="000000"/>
                <w:sz w:val="18"/>
              </w:rPr>
              <w:t>HBOD</w:t>
            </w:r>
          </w:p>
        </w:tc>
        <w:tc>
          <w:tcPr>
            <w:tcW w:type="dxa" w:w="3118"/>
          </w:tcPr>
          <w:p>
            <w:r/>
            <w:r>
              <w:rPr>
                <w:b w:val="0"/>
                <w:color w:val="000000"/>
                <w:sz w:val="18"/>
              </w:rPr>
              <w:t>Transition matrix F</w:t>
            </w:r>
          </w:p>
        </w:tc>
        <w:tc>
          <w:tcPr>
            <w:tcW w:type="dxa" w:w="4819"/>
          </w:tcPr>
          <w:p>
            <w:r/>
            <w:r>
              <w:rPr>
                <w:b w:val="0"/>
                <w:color w:val="000000"/>
                <w:sz w:val="18"/>
              </w:rPr>
              <w:t>diag(e^(−1/42), e^(−1/7), 0.8)</w:t>
            </w:r>
          </w:p>
        </w:tc>
      </w:tr>
      <w:tr>
        <w:tc>
          <w:tcPr>
            <w:tcW w:type="dxa" w:w="1701"/>
          </w:tcPr>
          <w:p>
            <w:r/>
            <w:r>
              <w:rPr>
                <w:b w:val="0"/>
                <w:color w:val="000000"/>
                <w:sz w:val="18"/>
              </w:rPr>
              <w:t>HBOD</w:t>
            </w:r>
          </w:p>
        </w:tc>
        <w:tc>
          <w:tcPr>
            <w:tcW w:type="dxa" w:w="3118"/>
          </w:tcPr>
          <w:p>
            <w:r/>
            <w:r>
              <w:rPr>
                <w:b w:val="0"/>
                <w:color w:val="000000"/>
                <w:sz w:val="18"/>
              </w:rPr>
              <w:t>Process noise Q</w:t>
            </w:r>
          </w:p>
        </w:tc>
        <w:tc>
          <w:tcPr>
            <w:tcW w:type="dxa" w:w="4819"/>
          </w:tcPr>
          <w:p>
            <w:r/>
            <w:r>
              <w:rPr>
                <w:b w:val="0"/>
                <w:color w:val="000000"/>
                <w:sz w:val="18"/>
              </w:rPr>
              <w:t>diag(0.005², 0.03², 0.30²) in kAU², kAU² and item units²; G and H variances × 4 on imputed days</w:t>
            </w:r>
          </w:p>
        </w:tc>
      </w:tr>
      <w:tr>
        <w:tc>
          <w:tcPr>
            <w:tcW w:type="dxa" w:w="1701"/>
          </w:tcPr>
          <w:p>
            <w:r/>
            <w:r>
              <w:rPr>
                <w:b w:val="0"/>
                <w:color w:val="000000"/>
                <w:sz w:val="18"/>
              </w:rPr>
              <w:t>HBOD</w:t>
            </w:r>
          </w:p>
        </w:tc>
        <w:tc>
          <w:tcPr>
            <w:tcW w:type="dxa" w:w="3118"/>
          </w:tcPr>
          <w:p>
            <w:r/>
            <w:r>
              <w:rPr>
                <w:b w:val="0"/>
                <w:color w:val="000000"/>
                <w:sz w:val="18"/>
              </w:rPr>
              <w:t>Initial state and covariance</w:t>
            </w:r>
          </w:p>
        </w:tc>
        <w:tc>
          <w:tcPr>
            <w:tcW w:type="dxa" w:w="4819"/>
          </w:tcPr>
          <w:p>
            <w:r/>
            <w:r>
              <w:rPr>
                <w:b w:val="0"/>
                <w:color w:val="000000"/>
                <w:sz w:val="18"/>
              </w:rPr>
              <w:t>State zero; covariance diag(0.05, 0.05, 0.25)</w:t>
            </w:r>
          </w:p>
        </w:tc>
      </w:tr>
      <w:tr>
        <w:tc>
          <w:tcPr>
            <w:tcW w:type="dxa" w:w="1701"/>
          </w:tcPr>
          <w:p>
            <w:r/>
            <w:r>
              <w:rPr>
                <w:b w:val="0"/>
                <w:color w:val="000000"/>
                <w:sz w:val="18"/>
              </w:rPr>
              <w:t>HBOD</w:t>
            </w:r>
          </w:p>
        </w:tc>
        <w:tc>
          <w:tcPr>
            <w:tcW w:type="dxa" w:w="3118"/>
          </w:tcPr>
          <w:p>
            <w:r/>
            <w:r>
              <w:rPr>
                <w:b w:val="0"/>
                <w:color w:val="000000"/>
                <w:sz w:val="18"/>
              </w:rPr>
              <w:t>Initial observation coefficients (c0, ch, cg)</w:t>
            </w:r>
          </w:p>
        </w:tc>
        <w:tc>
          <w:tcPr>
            <w:tcW w:type="dxa" w:w="4819"/>
          </w:tcPr>
          <w:p>
            <w:r/>
            <w:r>
              <w:rPr>
                <w:b w:val="0"/>
                <w:color w:val="000000"/>
                <w:sz w:val="18"/>
              </w:rPr>
              <w:t>3.5, 1.0, 0.3; RLS covariance diag(1, 4, 4); forgetting factor 0.99</w:t>
            </w:r>
          </w:p>
        </w:tc>
      </w:tr>
      <w:tr>
        <w:tc>
          <w:tcPr>
            <w:tcW w:type="dxa" w:w="1701"/>
          </w:tcPr>
          <w:p>
            <w:r/>
            <w:r>
              <w:rPr>
                <w:b w:val="0"/>
                <w:color w:val="000000"/>
                <w:sz w:val="18"/>
              </w:rPr>
              <w:t>HBOD</w:t>
            </w:r>
          </w:p>
        </w:tc>
        <w:tc>
          <w:tcPr>
            <w:tcW w:type="dxa" w:w="3118"/>
          </w:tcPr>
          <w:p>
            <w:r/>
            <w:r>
              <w:rPr>
                <w:b w:val="0"/>
                <w:color w:val="000000"/>
                <w:sz w:val="18"/>
              </w:rPr>
              <w:t>Coefficient bounds</w:t>
            </w:r>
          </w:p>
        </w:tc>
        <w:tc>
          <w:tcPr>
            <w:tcW w:type="dxa" w:w="4819"/>
          </w:tcPr>
          <w:p>
            <w:r/>
            <w:r>
              <w:rPr>
                <w:b w:val="0"/>
                <w:color w:val="000000"/>
                <w:sz w:val="18"/>
              </w:rPr>
              <w:t>ch between 0.1 and 5; cg between 0 and 5</w:t>
            </w:r>
          </w:p>
        </w:tc>
      </w:tr>
      <w:tr>
        <w:tc>
          <w:tcPr>
            <w:tcW w:type="dxa" w:w="1701"/>
          </w:tcPr>
          <w:p>
            <w:r/>
            <w:r>
              <w:rPr>
                <w:b w:val="0"/>
                <w:color w:val="000000"/>
                <w:sz w:val="18"/>
              </w:rPr>
              <w:t>HBOD</w:t>
            </w:r>
          </w:p>
        </w:tc>
        <w:tc>
          <w:tcPr>
            <w:tcW w:type="dxa" w:w="3118"/>
          </w:tcPr>
          <w:p>
            <w:r/>
            <w:r>
              <w:rPr>
                <w:b w:val="0"/>
                <w:color w:val="000000"/>
                <w:sz w:val="18"/>
              </w:rPr>
              <w:t>Observation variance R</w:t>
            </w:r>
          </w:p>
        </w:tc>
        <w:tc>
          <w:tcPr>
            <w:tcW w:type="dxa" w:w="4819"/>
          </w:tcPr>
          <w:p>
            <w:r/>
            <w:r>
              <w:rPr>
                <w:b w:val="0"/>
                <w:color w:val="000000"/>
                <w:sz w:val="18"/>
              </w:rPr>
              <w:t>Starts at 0.5; R ← max[0.95R + 0.05(e² − cPcᵀ), 0.05] after each measurement update (Equation 11, Section 2.5)</w:t>
            </w:r>
          </w:p>
        </w:tc>
      </w:tr>
      <w:tr>
        <w:tc>
          <w:tcPr>
            <w:tcW w:type="dxa" w:w="1701"/>
          </w:tcPr>
          <w:p>
            <w:r/>
            <w:r>
              <w:rPr>
                <w:b w:val="0"/>
                <w:color w:val="000000"/>
                <w:sz w:val="18"/>
              </w:rPr>
              <w:t>HBOD</w:t>
            </w:r>
          </w:p>
        </w:tc>
        <w:tc>
          <w:tcPr>
            <w:tcW w:type="dxa" w:w="3118"/>
          </w:tcPr>
          <w:p>
            <w:r/>
            <w:r>
              <w:rPr>
                <w:b w:val="0"/>
                <w:color w:val="000000"/>
                <w:sz w:val="18"/>
              </w:rPr>
              <w:t>Measurement update</w:t>
            </w:r>
          </w:p>
        </w:tc>
        <w:tc>
          <w:tcPr>
            <w:tcW w:type="dxa" w:w="4819"/>
          </w:tcPr>
          <w:p>
            <w:r/>
            <w:r>
              <w:rPr>
                <w:b w:val="0"/>
                <w:color w:val="000000"/>
                <w:sz w:val="18"/>
              </w:rPr>
              <w:t>From day 14, only on days with all four Hooper items</w:t>
            </w:r>
          </w:p>
        </w:tc>
      </w:tr>
      <w:tr>
        <w:tc>
          <w:tcPr>
            <w:tcW w:type="dxa" w:w="1701"/>
          </w:tcPr>
          <w:p>
            <w:r/>
            <w:r>
              <w:rPr>
                <w:b w:val="0"/>
                <w:color w:val="000000"/>
                <w:sz w:val="18"/>
              </w:rPr>
              <w:t>HBOD</w:t>
            </w:r>
          </w:p>
        </w:tc>
        <w:tc>
          <w:tcPr>
            <w:tcW w:type="dxa" w:w="3118"/>
          </w:tcPr>
          <w:p>
            <w:r/>
            <w:r>
              <w:rPr>
                <w:b w:val="0"/>
                <w:color w:val="000000"/>
                <w:sz w:val="18"/>
              </w:rPr>
              <w:t>Baselines and alert</w:t>
            </w:r>
          </w:p>
        </w:tc>
        <w:tc>
          <w:tcPr>
            <w:tcW w:type="dxa" w:w="4819"/>
          </w:tcPr>
          <w:p>
            <w:r/>
            <w:r>
              <w:rPr>
                <w:b w:val="0"/>
                <w:color w:val="000000"/>
                <w:sz w:val="18"/>
              </w:rPr>
              <w:t>From day 28, up to 42 previous days; κ = 1 SD; alert at p ≥ 0.80</w:t>
            </w:r>
          </w:p>
        </w:tc>
      </w:tr>
      <w:tr>
        <w:tc>
          <w:tcPr>
            <w:tcW w:type="dxa" w:w="1701"/>
          </w:tcPr>
          <w:p>
            <w:r/>
            <w:r>
              <w:rPr>
                <w:b w:val="0"/>
                <w:color w:val="000000"/>
                <w:sz w:val="18"/>
              </w:rPr>
              <w:t>All load signals</w:t>
            </w:r>
          </w:p>
        </w:tc>
        <w:tc>
          <w:tcPr>
            <w:tcW w:type="dxa" w:w="3118"/>
          </w:tcPr>
          <w:p>
            <w:r/>
            <w:r>
              <w:rPr>
                <w:b w:val="0"/>
                <w:color w:val="000000"/>
                <w:sz w:val="18"/>
              </w:rPr>
              <w:t>Missing and unavailable days</w:t>
            </w:r>
          </w:p>
        </w:tc>
        <w:tc>
          <w:tcPr>
            <w:tcW w:type="dxa" w:w="4819"/>
          </w:tcPr>
          <w:p>
            <w:r/>
            <w:r>
              <w:rPr>
                <w:b w:val="0"/>
                <w:color w:val="000000"/>
                <w:sz w:val="18"/>
              </w:rPr>
              <w:t>Missing sRPE replaced by the squad median of the day; unavailable athletes contribute zero load</w:t>
            </w:r>
          </w:p>
        </w:tc>
      </w:tr>
    </w:tbl>
    <w:p>
      <w:pPr>
        <w:jc w:val="both"/>
      </w:pPr>
      <w:r>
        <w:rPr>
          <w:b w:val="0"/>
          <w:color w:val="000000"/>
          <w:sz w:val="18"/>
        </w:rPr>
        <w:t>HBOD: Hooper-Borg-Oslo-Dergaa; kAU: thousands of arbitrary units; RLS: recursive least squares; RPE: rating of perceived exertion; SD: standard deviation; sRPE: session rating of perceived exertion; W0: planned weekly load.</w:t>
      </w:r>
    </w:p>
    <w:p>
      <w:pPr>
        <w:jc w:val="both"/>
      </w:pPr>
      <w:r>
        <w:rPr>
          <w:b/>
          <w:color w:val="000000"/>
        </w:rPr>
        <w:t>Table S3. Verification checks.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
              <w:rPr>
                <w:b/>
                <w:color w:val="000000"/>
                <w:sz w:val="18"/>
              </w:rPr>
              <w:t>Check</w:t>
            </w:r>
          </w:p>
        </w:tc>
        <w:tc>
          <w:tcPr>
            <w:tcW w:type="dxa" w:w="2409"/>
          </w:tcPr>
          <w:p>
            <w:r/>
            <w:r>
              <w:rPr>
                <w:b/>
                <w:color w:val="000000"/>
                <w:sz w:val="18"/>
              </w:rPr>
              <w:t>Reference</w:t>
            </w:r>
          </w:p>
        </w:tc>
        <w:tc>
          <w:tcPr>
            <w:tcW w:type="dxa" w:w="2409"/>
          </w:tcPr>
          <w:p>
            <w:r/>
            <w:r>
              <w:rPr>
                <w:b/>
                <w:color w:val="000000"/>
                <w:sz w:val="18"/>
              </w:rPr>
              <w:t>Criterion</w:t>
            </w:r>
          </w:p>
        </w:tc>
        <w:tc>
          <w:tcPr>
            <w:tcW w:type="dxa" w:w="2409"/>
          </w:tcPr>
          <w:p>
            <w:r/>
            <w:r>
              <w:rPr>
                <w:b/>
                <w:color w:val="000000"/>
                <w:sz w:val="18"/>
              </w:rPr>
              <w:t>Result</w:t>
            </w:r>
          </w:p>
        </w:tc>
      </w:tr>
      <w:tr>
        <w:tc>
          <w:tcPr>
            <w:tcW w:type="dxa" w:w="2409"/>
          </w:tcPr>
          <w:p>
            <w:r/>
            <w:r>
              <w:rPr>
                <w:b w:val="0"/>
                <w:color w:val="000000"/>
                <w:sz w:val="18"/>
              </w:rPr>
              <w:t>Rule-based prototype, Python against JavaScript</w:t>
            </w:r>
          </w:p>
        </w:tc>
        <w:tc>
          <w:tcPr>
            <w:tcW w:type="dxa" w:w="2409"/>
          </w:tcPr>
          <w:p>
            <w:r/>
            <w:r>
              <w:rPr>
                <w:b w:val="0"/>
                <w:color w:val="000000"/>
                <w:sz w:val="18"/>
              </w:rPr>
              <w:t>Original JavaScript code of the rule-based prototype in the HBOD web application</w:t>
            </w:r>
          </w:p>
        </w:tc>
        <w:tc>
          <w:tcPr>
            <w:tcW w:type="dxa" w:w="2409"/>
          </w:tcPr>
          <w:p>
            <w:r/>
            <w:r>
              <w:rPr>
                <w:b w:val="0"/>
                <w:color w:val="000000"/>
                <w:sz w:val="18"/>
              </w:rPr>
              <w:t>Identical decrease decision on every athlete-day with an entry</w:t>
            </w:r>
          </w:p>
        </w:tc>
        <w:tc>
          <w:tcPr>
            <w:tcW w:type="dxa" w:w="2409"/>
          </w:tcPr>
          <w:p>
            <w:r/>
            <w:r>
              <w:rPr>
                <w:b w:val="0"/>
                <w:color w:val="000000"/>
                <w:sz w:val="18"/>
              </w:rPr>
              <w:t>19,471 of 19,471 athlete-days identical</w:t>
            </w:r>
          </w:p>
        </w:tc>
      </w:tr>
      <w:tr>
        <w:tc>
          <w:tcPr>
            <w:tcW w:type="dxa" w:w="2409"/>
          </w:tcPr>
          <w:p>
            <w:r/>
            <w:r>
              <w:rPr>
                <w:b w:val="0"/>
                <w:color w:val="000000"/>
                <w:sz w:val="18"/>
              </w:rPr>
              <w:t>HBOD filter, vectorised against scalar</w:t>
            </w:r>
          </w:p>
        </w:tc>
        <w:tc>
          <w:tcPr>
            <w:tcW w:type="dxa" w:w="2409"/>
          </w:tcPr>
          <w:p>
            <w:r/>
            <w:r>
              <w:rPr>
                <w:b w:val="0"/>
                <w:color w:val="000000"/>
                <w:sz w:val="18"/>
              </w:rPr>
              <w:t>Independent line-by-line scalar implementation</w:t>
            </w:r>
          </w:p>
        </w:tc>
        <w:tc>
          <w:tcPr>
            <w:tcW w:type="dxa" w:w="2409"/>
          </w:tcPr>
          <w:p>
            <w:r/>
            <w:r>
              <w:rPr>
                <w:b w:val="0"/>
                <w:color w:val="000000"/>
                <w:sz w:val="18"/>
              </w:rPr>
              <w:t>Relative difference of daily scores</w:t>
            </w:r>
          </w:p>
        </w:tc>
        <w:tc>
          <w:tcPr>
            <w:tcW w:type="dxa" w:w="2409"/>
          </w:tcPr>
          <w:p>
            <w:r/>
            <w:r>
              <w:rPr>
                <w:b w:val="0"/>
                <w:color w:val="000000"/>
                <w:sz w:val="18"/>
              </w:rPr>
              <w:t>Maximum 5.9 × 10⁻⁸ (single-precision storage)</w:t>
            </w:r>
          </w:p>
        </w:tc>
      </w:tr>
      <w:tr>
        <w:tc>
          <w:tcPr>
            <w:tcW w:type="dxa" w:w="2409"/>
          </w:tcPr>
          <w:p>
            <w:r/>
            <w:r>
              <w:rPr>
                <w:b w:val="0"/>
                <w:color w:val="000000"/>
                <w:sz w:val="18"/>
              </w:rPr>
              <w:t>HBOD steady state</w:t>
            </w:r>
          </w:p>
        </w:tc>
        <w:tc>
          <w:tcPr>
            <w:tcW w:type="dxa" w:w="2409"/>
          </w:tcPr>
          <w:p>
            <w:r/>
            <w:r>
              <w:rPr>
                <w:b w:val="0"/>
                <w:color w:val="000000"/>
                <w:sz w:val="18"/>
              </w:rPr>
              <w:t>Discrete algebraic Riccati equation under constant inputs</w:t>
            </w:r>
          </w:p>
        </w:tc>
        <w:tc>
          <w:tcPr>
            <w:tcW w:type="dxa" w:w="2409"/>
          </w:tcPr>
          <w:p>
            <w:r/>
            <w:r>
              <w:rPr>
                <w:b w:val="0"/>
                <w:color w:val="000000"/>
                <w:sz w:val="18"/>
              </w:rPr>
              <w:t>Absolute difference of posterior covariance</w:t>
            </w:r>
          </w:p>
        </w:tc>
        <w:tc>
          <w:tcPr>
            <w:tcW w:type="dxa" w:w="2409"/>
          </w:tcPr>
          <w:p>
            <w:r/>
            <w:r>
              <w:rPr>
                <w:b w:val="0"/>
                <w:color w:val="000000"/>
                <w:sz w:val="18"/>
              </w:rPr>
              <w:t>Maximum 3.8 × 10⁻¹⁵</w:t>
            </w:r>
          </w:p>
        </w:tc>
      </w:tr>
      <w:tr>
        <w:tc>
          <w:tcPr>
            <w:tcW w:type="dxa" w:w="2409"/>
          </w:tcPr>
          <w:p>
            <w:r/>
            <w:r>
              <w:rPr>
                <w:b w:val="0"/>
                <w:color w:val="000000"/>
                <w:sz w:val="18"/>
              </w:rPr>
              <w:t>Fitness-fatigue recursions (standalone implementation)</w:t>
            </w:r>
          </w:p>
        </w:tc>
        <w:tc>
          <w:tcPr>
            <w:tcW w:type="dxa" w:w="2409"/>
          </w:tcPr>
          <w:p>
            <w:r/>
            <w:r>
              <w:rPr>
                <w:b w:val="0"/>
                <w:color w:val="000000"/>
                <w:sz w:val="18"/>
              </w:rPr>
              <w:t>Closed-form limits under constant load</w:t>
            </w:r>
          </w:p>
        </w:tc>
        <w:tc>
          <w:tcPr>
            <w:tcW w:type="dxa" w:w="2409"/>
          </w:tcPr>
          <w:p>
            <w:r/>
            <w:r>
              <w:rPr>
                <w:b w:val="0"/>
                <w:color w:val="000000"/>
                <w:sz w:val="18"/>
              </w:rPr>
              <w:t>Agreement of fitness and fatigue</w:t>
            </w:r>
          </w:p>
        </w:tc>
        <w:tc>
          <w:tcPr>
            <w:tcW w:type="dxa" w:w="2409"/>
          </w:tcPr>
          <w:p>
            <w:r/>
            <w:r>
              <w:rPr>
                <w:b w:val="0"/>
                <w:color w:val="000000"/>
                <w:sz w:val="18"/>
              </w:rPr>
              <w:t>At least 12 significant digits</w:t>
            </w:r>
          </w:p>
        </w:tc>
      </w:tr>
    </w:tbl>
    <w:p>
      <w:pPr>
        <w:jc w:val="both"/>
      </w:pPr>
      <w:r>
        <w:rPr>
          <w:b w:val="0"/>
          <w:color w:val="000000"/>
          <w:sz w:val="18"/>
        </w:rPr>
        <w:t>HBOD: Hooper-Borg-Oslo-Dergaa.</w:t>
      </w:r>
    </w:p>
    <w:p>
      <w:pPr>
        <w:sectPr>
          <w:pgSz w:w="11906" w:h="16838"/>
          <w:pgMar w:top="1134" w:right="1134" w:bottom="1134" w:left="1134" w:header="720" w:footer="720" w:gutter="0"/>
          <w:cols w:space="720"/>
          <w:docGrid w:linePitch="360"/>
        </w:sectPr>
      </w:pPr>
    </w:p>
    <w:p>
      <w:pPr>
        <w:jc w:val="both"/>
      </w:pPr>
      <w:r>
        <w:rPr>
          <w:b/>
          <w:color w:val="000000"/>
        </w:rPr>
        <w:t>Table S4. Results by reporting style.</w:t>
      </w:r>
    </w:p>
    <w:tbl>
      <w:tblPr>
        <w:tblStyle w:val="TableGrid"/>
        <w:tblW w:type="auto" w:w="0"/>
        <w:tblLayout w:type="fixed"/>
        <w:tblLook w:firstColumn="1" w:firstRow="1" w:lastColumn="0" w:lastRow="0" w:noHBand="0" w:noVBand="1" w:val="04A0"/>
      </w:tblPr>
      <w:tblGrid>
        <w:gridCol w:w="1814"/>
        <w:gridCol w:w="1587"/>
        <w:gridCol w:w="1474"/>
        <w:gridCol w:w="1474"/>
        <w:gridCol w:w="1474"/>
        <w:gridCol w:w="1474"/>
        <w:gridCol w:w="1474"/>
        <w:gridCol w:w="1474"/>
        <w:gridCol w:w="2211"/>
      </w:tblGrid>
      <w:tr>
        <w:tc>
          <w:tcPr>
            <w:tcW w:type="dxa" w:w="1814"/>
          </w:tcPr>
          <w:p>
            <w:r/>
            <w:r>
              <w:rPr>
                <w:b/>
                <w:color w:val="000000"/>
                <w:sz w:val="18"/>
              </w:rPr>
              <w:t>Reporting style</w:t>
            </w:r>
          </w:p>
        </w:tc>
        <w:tc>
          <w:tcPr>
            <w:tcW w:type="dxa" w:w="1587"/>
          </w:tcPr>
          <w:p>
            <w:r/>
            <w:r>
              <w:rPr>
                <w:b/>
                <w:color w:val="000000"/>
                <w:sz w:val="18"/>
              </w:rPr>
              <w:t>Athlete-seasons (worlds)</w:t>
            </w:r>
          </w:p>
        </w:tc>
        <w:tc>
          <w:tcPr>
            <w:tcW w:type="dxa" w:w="1474"/>
          </w:tcPr>
          <w:p>
            <w:r/>
            <w:r>
              <w:rPr>
                <w:b/>
                <w:color w:val="000000"/>
                <w:sz w:val="18"/>
              </w:rPr>
              <w:t>AUROC, HBOD</w:t>
            </w:r>
          </w:p>
        </w:tc>
        <w:tc>
          <w:tcPr>
            <w:tcW w:type="dxa" w:w="1474"/>
          </w:tcPr>
          <w:p>
            <w:r/>
            <w:r>
              <w:rPr>
                <w:b/>
                <w:color w:val="000000"/>
                <w:sz w:val="18"/>
              </w:rPr>
              <w:t>AUROC, coupled ACWR</w:t>
            </w:r>
          </w:p>
        </w:tc>
        <w:tc>
          <w:tcPr>
            <w:tcW w:type="dxa" w:w="1474"/>
          </w:tcPr>
          <w:p>
            <w:r/>
            <w:r>
              <w:rPr>
                <w:b/>
                <w:color w:val="000000"/>
                <w:sz w:val="18"/>
              </w:rPr>
              <w:t>AUROC, EWMA ACWR</w:t>
            </w:r>
          </w:p>
        </w:tc>
        <w:tc>
          <w:tcPr>
            <w:tcW w:type="dxa" w:w="1474"/>
          </w:tcPr>
          <w:p>
            <w:r/>
            <w:r>
              <w:rPr>
                <w:b/>
                <w:color w:val="000000"/>
                <w:sz w:val="18"/>
              </w:rPr>
              <w:t>Days lost, HBOD</w:t>
            </w:r>
          </w:p>
        </w:tc>
        <w:tc>
          <w:tcPr>
            <w:tcW w:type="dxa" w:w="1474"/>
          </w:tcPr>
          <w:p>
            <w:r/>
            <w:r>
              <w:rPr>
                <w:b/>
                <w:color w:val="000000"/>
                <w:sz w:val="18"/>
              </w:rPr>
              <w:t>Days lost, EWMA ACWR</w:t>
            </w:r>
          </w:p>
        </w:tc>
        <w:tc>
          <w:tcPr>
            <w:tcW w:type="dxa" w:w="1474"/>
          </w:tcPr>
          <w:p>
            <w:r/>
            <w:r>
              <w:rPr>
                <w:b/>
                <w:color w:val="000000"/>
                <w:sz w:val="18"/>
              </w:rPr>
              <w:t>Days lost, random alerts</w:t>
            </w:r>
          </w:p>
        </w:tc>
        <w:tc>
          <w:tcPr>
            <w:tcW w:type="dxa" w:w="2211"/>
          </w:tcPr>
          <w:p>
            <w:r/>
            <w:r>
              <w:rPr>
                <w:b/>
                <w:color w:val="000000"/>
                <w:sz w:val="18"/>
              </w:rPr>
              <w:t>Days lost, HBOD minus EWMA ACWR</w:t>
            </w:r>
          </w:p>
        </w:tc>
      </w:tr>
      <w:tr>
        <w:tc>
          <w:tcPr>
            <w:tcW w:type="dxa" w:w="1814"/>
          </w:tcPr>
          <w:p>
            <w:r/>
            <w:r>
              <w:rPr>
                <w:b w:val="0"/>
                <w:color w:val="000000"/>
                <w:sz w:val="18"/>
              </w:rPr>
              <w:t>Honest</w:t>
            </w:r>
          </w:p>
        </w:tc>
        <w:tc>
          <w:tcPr>
            <w:tcW w:type="dxa" w:w="1587"/>
          </w:tcPr>
          <w:p>
            <w:r/>
            <w:r>
              <w:rPr>
                <w:b w:val="0"/>
                <w:color w:val="000000"/>
                <w:sz w:val="18"/>
              </w:rPr>
              <w:t>16,262 (1000)</w:t>
            </w:r>
          </w:p>
        </w:tc>
        <w:tc>
          <w:tcPr>
            <w:tcW w:type="dxa" w:w="1474"/>
          </w:tcPr>
          <w:p>
            <w:r/>
            <w:r>
              <w:rPr>
                <w:b w:val="0"/>
                <w:color w:val="000000"/>
                <w:sz w:val="18"/>
              </w:rPr>
              <w:t>0.552 (0.549 to 0.556)</w:t>
            </w:r>
          </w:p>
        </w:tc>
        <w:tc>
          <w:tcPr>
            <w:tcW w:type="dxa" w:w="1474"/>
          </w:tcPr>
          <w:p>
            <w:r/>
            <w:r>
              <w:rPr>
                <w:b w:val="0"/>
                <w:color w:val="000000"/>
                <w:sz w:val="18"/>
              </w:rPr>
              <w:t>0.559 (0.554 to 0.563)</w:t>
            </w:r>
          </w:p>
        </w:tc>
        <w:tc>
          <w:tcPr>
            <w:tcW w:type="dxa" w:w="1474"/>
          </w:tcPr>
          <w:p>
            <w:r/>
            <w:r>
              <w:rPr>
                <w:b w:val="0"/>
                <w:color w:val="000000"/>
                <w:sz w:val="18"/>
              </w:rPr>
              <w:t>0.548 (0.543 to 0.552)</w:t>
            </w:r>
          </w:p>
        </w:tc>
        <w:tc>
          <w:tcPr>
            <w:tcW w:type="dxa" w:w="1474"/>
          </w:tcPr>
          <w:p>
            <w:r/>
            <w:r>
              <w:rPr>
                <w:b w:val="0"/>
                <w:color w:val="000000"/>
                <w:sz w:val="18"/>
              </w:rPr>
              <w:t>13.13 (12.79 to 13.47)</w:t>
            </w:r>
          </w:p>
        </w:tc>
        <w:tc>
          <w:tcPr>
            <w:tcW w:type="dxa" w:w="1474"/>
          </w:tcPr>
          <w:p>
            <w:r/>
            <w:r>
              <w:rPr>
                <w:b w:val="0"/>
                <w:color w:val="000000"/>
                <w:sz w:val="18"/>
              </w:rPr>
              <w:t>13.57 (13.23 to 13.91)</w:t>
            </w:r>
          </w:p>
        </w:tc>
        <w:tc>
          <w:tcPr>
            <w:tcW w:type="dxa" w:w="1474"/>
          </w:tcPr>
          <w:p>
            <w:r/>
            <w:r>
              <w:rPr>
                <w:b w:val="0"/>
                <w:color w:val="000000"/>
                <w:sz w:val="18"/>
              </w:rPr>
              <w:t>12.69 (12.34 to 13.04)</w:t>
            </w:r>
          </w:p>
        </w:tc>
        <w:tc>
          <w:tcPr>
            <w:tcW w:type="dxa" w:w="2211"/>
          </w:tcPr>
          <w:p>
            <w:r/>
            <w:r>
              <w:rPr>
                <w:b w:val="0"/>
                <w:color w:val="000000"/>
                <w:sz w:val="18"/>
              </w:rPr>
              <w:t>−0.44 (−0.57 to −0.32); q &lt; 0.001</w:t>
            </w:r>
          </w:p>
        </w:tc>
      </w:tr>
      <w:tr>
        <w:tc>
          <w:tcPr>
            <w:tcW w:type="dxa" w:w="1814"/>
          </w:tcPr>
          <w:p>
            <w:r/>
            <w:r>
              <w:rPr>
                <w:b w:val="0"/>
                <w:color w:val="000000"/>
                <w:sz w:val="18"/>
              </w:rPr>
              <w:t>Under-reporter</w:t>
            </w:r>
          </w:p>
        </w:tc>
        <w:tc>
          <w:tcPr>
            <w:tcW w:type="dxa" w:w="1587"/>
          </w:tcPr>
          <w:p>
            <w:r/>
            <w:r>
              <w:rPr>
                <w:b w:val="0"/>
                <w:color w:val="000000"/>
                <w:sz w:val="18"/>
              </w:rPr>
              <w:t>4917 (896)</w:t>
            </w:r>
          </w:p>
        </w:tc>
        <w:tc>
          <w:tcPr>
            <w:tcW w:type="dxa" w:w="1474"/>
          </w:tcPr>
          <w:p>
            <w:r/>
            <w:r>
              <w:rPr>
                <w:b w:val="0"/>
                <w:color w:val="000000"/>
                <w:sz w:val="18"/>
              </w:rPr>
              <w:t>0.552 (0.545 to 0.560)</w:t>
            </w:r>
          </w:p>
        </w:tc>
        <w:tc>
          <w:tcPr>
            <w:tcW w:type="dxa" w:w="1474"/>
          </w:tcPr>
          <w:p>
            <w:r/>
            <w:r>
              <w:rPr>
                <w:b w:val="0"/>
                <w:color w:val="000000"/>
                <w:sz w:val="18"/>
              </w:rPr>
              <w:t>0.546 (0.537 to 0.554)</w:t>
            </w:r>
          </w:p>
        </w:tc>
        <w:tc>
          <w:tcPr>
            <w:tcW w:type="dxa" w:w="1474"/>
          </w:tcPr>
          <w:p>
            <w:r/>
            <w:r>
              <w:rPr>
                <w:b w:val="0"/>
                <w:color w:val="000000"/>
                <w:sz w:val="18"/>
              </w:rPr>
              <w:t>0.531 (0.524 to 0.538)</w:t>
            </w:r>
          </w:p>
        </w:tc>
        <w:tc>
          <w:tcPr>
            <w:tcW w:type="dxa" w:w="1474"/>
          </w:tcPr>
          <w:p>
            <w:r/>
            <w:r>
              <w:rPr>
                <w:b w:val="0"/>
                <w:color w:val="000000"/>
                <w:sz w:val="18"/>
              </w:rPr>
              <w:t>12.96 (12.40 to 13.51)</w:t>
            </w:r>
          </w:p>
        </w:tc>
        <w:tc>
          <w:tcPr>
            <w:tcW w:type="dxa" w:w="1474"/>
          </w:tcPr>
          <w:p>
            <w:r/>
            <w:r>
              <w:rPr>
                <w:b w:val="0"/>
                <w:color w:val="000000"/>
                <w:sz w:val="18"/>
              </w:rPr>
              <w:t>13.73 (13.16 to 14.31)</w:t>
            </w:r>
          </w:p>
        </w:tc>
        <w:tc>
          <w:tcPr>
            <w:tcW w:type="dxa" w:w="1474"/>
          </w:tcPr>
          <w:p>
            <w:r/>
            <w:r>
              <w:rPr>
                <w:b w:val="0"/>
                <w:color w:val="000000"/>
                <w:sz w:val="18"/>
              </w:rPr>
              <w:t>12.54 (11.97 to 13.11)</w:t>
            </w:r>
          </w:p>
        </w:tc>
        <w:tc>
          <w:tcPr>
            <w:tcW w:type="dxa" w:w="2211"/>
          </w:tcPr>
          <w:p>
            <w:r/>
            <w:r>
              <w:rPr>
                <w:b w:val="0"/>
                <w:color w:val="000000"/>
                <w:sz w:val="18"/>
              </w:rPr>
              <w:t>−0.78 (−1.04 to −0.51); q &lt; 0.001</w:t>
            </w:r>
          </w:p>
        </w:tc>
      </w:tr>
      <w:tr>
        <w:tc>
          <w:tcPr>
            <w:tcW w:type="dxa" w:w="1814"/>
          </w:tcPr>
          <w:p>
            <w:r/>
            <w:r>
              <w:rPr>
                <w:b w:val="0"/>
                <w:color w:val="000000"/>
                <w:sz w:val="18"/>
              </w:rPr>
              <w:t>Compressor</w:t>
            </w:r>
          </w:p>
        </w:tc>
        <w:tc>
          <w:tcPr>
            <w:tcW w:type="dxa" w:w="1587"/>
          </w:tcPr>
          <w:p>
            <w:r/>
            <w:r>
              <w:rPr>
                <w:b w:val="0"/>
                <w:color w:val="000000"/>
                <w:sz w:val="18"/>
              </w:rPr>
              <w:t>2550 (825)</w:t>
            </w:r>
          </w:p>
        </w:tc>
        <w:tc>
          <w:tcPr>
            <w:tcW w:type="dxa" w:w="1474"/>
          </w:tcPr>
          <w:p>
            <w:r/>
            <w:r>
              <w:rPr>
                <w:b w:val="0"/>
                <w:color w:val="000000"/>
                <w:sz w:val="18"/>
              </w:rPr>
              <w:t>0.555 (0.545 to 0.564)</w:t>
            </w:r>
          </w:p>
        </w:tc>
        <w:tc>
          <w:tcPr>
            <w:tcW w:type="dxa" w:w="1474"/>
          </w:tcPr>
          <w:p>
            <w:r/>
            <w:r>
              <w:rPr>
                <w:b w:val="0"/>
                <w:color w:val="000000"/>
                <w:sz w:val="18"/>
              </w:rPr>
              <w:t>0.548 (0.538 to 0.558)</w:t>
            </w:r>
          </w:p>
        </w:tc>
        <w:tc>
          <w:tcPr>
            <w:tcW w:type="dxa" w:w="1474"/>
          </w:tcPr>
          <w:p>
            <w:r/>
            <w:r>
              <w:rPr>
                <w:b w:val="0"/>
                <w:color w:val="000000"/>
                <w:sz w:val="18"/>
              </w:rPr>
              <w:t>0.530 (0.522 to 0.539)</w:t>
            </w:r>
          </w:p>
        </w:tc>
        <w:tc>
          <w:tcPr>
            <w:tcW w:type="dxa" w:w="1474"/>
          </w:tcPr>
          <w:p>
            <w:r/>
            <w:r>
              <w:rPr>
                <w:b w:val="0"/>
                <w:color w:val="000000"/>
                <w:sz w:val="18"/>
              </w:rPr>
              <w:t>13.09 (12.39 to 13.79)</w:t>
            </w:r>
          </w:p>
        </w:tc>
        <w:tc>
          <w:tcPr>
            <w:tcW w:type="dxa" w:w="1474"/>
          </w:tcPr>
          <w:p>
            <w:r/>
            <w:r>
              <w:rPr>
                <w:b w:val="0"/>
                <w:color w:val="000000"/>
                <w:sz w:val="18"/>
              </w:rPr>
              <w:t>13.91 (13.21 to 14.60)</w:t>
            </w:r>
          </w:p>
        </w:tc>
        <w:tc>
          <w:tcPr>
            <w:tcW w:type="dxa" w:w="1474"/>
          </w:tcPr>
          <w:p>
            <w:r/>
            <w:r>
              <w:rPr>
                <w:b w:val="0"/>
                <w:color w:val="000000"/>
                <w:sz w:val="18"/>
              </w:rPr>
              <w:t>13.15 (12.41 to 13.89)</w:t>
            </w:r>
          </w:p>
        </w:tc>
        <w:tc>
          <w:tcPr>
            <w:tcW w:type="dxa" w:w="2211"/>
          </w:tcPr>
          <w:p>
            <w:r/>
            <w:r>
              <w:rPr>
                <w:b w:val="0"/>
                <w:color w:val="000000"/>
                <w:sz w:val="18"/>
              </w:rPr>
              <w:t>−0.81 (−1.12 to −0.50); q &lt; 0.001</w:t>
            </w:r>
          </w:p>
        </w:tc>
      </w:tr>
      <w:tr>
        <w:tc>
          <w:tcPr>
            <w:tcW w:type="dxa" w:w="1814"/>
          </w:tcPr>
          <w:p>
            <w:r/>
            <w:r>
              <w:rPr>
                <w:b w:val="0"/>
                <w:color w:val="000000"/>
                <w:sz w:val="18"/>
              </w:rPr>
              <w:t>Careless responder</w:t>
            </w:r>
          </w:p>
        </w:tc>
        <w:tc>
          <w:tcPr>
            <w:tcW w:type="dxa" w:w="1587"/>
          </w:tcPr>
          <w:p>
            <w:r/>
            <w:r>
              <w:rPr>
                <w:b w:val="0"/>
                <w:color w:val="000000"/>
                <w:sz w:val="18"/>
              </w:rPr>
              <w:t>1271 (644)</w:t>
            </w:r>
          </w:p>
        </w:tc>
        <w:tc>
          <w:tcPr>
            <w:tcW w:type="dxa" w:w="1474"/>
          </w:tcPr>
          <w:p>
            <w:r/>
            <w:r>
              <w:rPr>
                <w:b w:val="0"/>
                <w:color w:val="000000"/>
                <w:sz w:val="18"/>
              </w:rPr>
              <w:t>0.566 (0.553 to 0.579)</w:t>
            </w:r>
          </w:p>
        </w:tc>
        <w:tc>
          <w:tcPr>
            <w:tcW w:type="dxa" w:w="1474"/>
          </w:tcPr>
          <w:p>
            <w:r/>
            <w:r>
              <w:rPr>
                <w:b w:val="0"/>
                <w:color w:val="000000"/>
                <w:sz w:val="18"/>
              </w:rPr>
              <w:t>0.539 (0.526 to 0.553)</w:t>
            </w:r>
          </w:p>
        </w:tc>
        <w:tc>
          <w:tcPr>
            <w:tcW w:type="dxa" w:w="1474"/>
          </w:tcPr>
          <w:p>
            <w:r/>
            <w:r>
              <w:rPr>
                <w:b w:val="0"/>
                <w:color w:val="000000"/>
                <w:sz w:val="18"/>
              </w:rPr>
              <w:t>0.522 (0.511 to 0.533)</w:t>
            </w:r>
          </w:p>
        </w:tc>
        <w:tc>
          <w:tcPr>
            <w:tcW w:type="dxa" w:w="1474"/>
          </w:tcPr>
          <w:p>
            <w:r/>
            <w:r>
              <w:rPr>
                <w:b w:val="0"/>
                <w:color w:val="000000"/>
                <w:sz w:val="18"/>
              </w:rPr>
              <w:t>13.83 (12.91 to 14.75)</w:t>
            </w:r>
          </w:p>
        </w:tc>
        <w:tc>
          <w:tcPr>
            <w:tcW w:type="dxa" w:w="1474"/>
          </w:tcPr>
          <w:p>
            <w:r/>
            <w:r>
              <w:rPr>
                <w:b w:val="0"/>
                <w:color w:val="000000"/>
                <w:sz w:val="18"/>
              </w:rPr>
              <w:t>13.48 (12.63 to 14.33)</w:t>
            </w:r>
          </w:p>
        </w:tc>
        <w:tc>
          <w:tcPr>
            <w:tcW w:type="dxa" w:w="1474"/>
          </w:tcPr>
          <w:p>
            <w:r/>
            <w:r>
              <w:rPr>
                <w:b w:val="0"/>
                <w:color w:val="000000"/>
                <w:sz w:val="18"/>
              </w:rPr>
              <w:t>12.59 (11.62 to 13.56)</w:t>
            </w:r>
          </w:p>
        </w:tc>
        <w:tc>
          <w:tcPr>
            <w:tcW w:type="dxa" w:w="2211"/>
          </w:tcPr>
          <w:p>
            <w:r/>
            <w:r>
              <w:rPr>
                <w:b w:val="0"/>
                <w:color w:val="000000"/>
                <w:sz w:val="18"/>
              </w:rPr>
              <w:t>0.35 (−0.07 to 0.77); q = 0.101</w:t>
            </w:r>
          </w:p>
        </w:tc>
      </w:tr>
    </w:tbl>
    <w:p>
      <w:pPr>
        <w:jc w:val="both"/>
      </w:pPr>
      <w:r>
        <w:rPr>
          <w:b w:val="0"/>
          <w:color w:val="000000"/>
          <w:sz w:val="18"/>
        </w:rPr>
        <w:t>Post-hoc analysis of the 1000 evaluation worlds replayed under their original seeds. Values are means (95% CI) over the worlds that contained at least one athlete of each style; athlete-seasons count each athlete in each world once. Days lost are per 100 athlete-days in the closed loop at the 10% alert rate. Compare signals within a row only, because the worlds that contained each style differed in their other parameters. q: Benjamini-Hochberg adjusted probability across the four styles. ACWR: acute-to-chronic workload ratio; AUROC: area under the receiver operating characteristic curve; CI: confidence interval; EWMA: exponentially weighted moving average; HBOD: Hooper-Borg-Oslo-Dergaa.</w:t>
      </w:r>
    </w:p>
    <w:p>
      <w:pPr>
        <w:sectPr>
          <w:pgSz w:w="16838" w:h="11906" w:orient="landscape"/>
          <w:pgMar w:top="1134" w:right="1134" w:bottom="1134" w:left="1134" w:header="720" w:footer="720" w:gutter="0"/>
          <w:cols w:space="720"/>
          <w:docGrid w:linePitch="360"/>
        </w:sectPr>
      </w:pPr>
    </w:p>
    <w:p>
      <w:pPr>
        <w:jc w:val="both"/>
      </w:pPr>
      <w:r>
        <w:rPr>
          <w:b/>
          <w:color w:val="000000"/>
        </w:rPr>
        <w:t>File S1</w:t>
      </w:r>
    </w:p>
    <w:p>
      <w:pPr>
        <w:jc w:val="both"/>
      </w:pPr>
      <w:r>
        <w:rPr>
          <w:b w:val="0"/>
          <w:color w:val="000000"/>
          <w:sz w:val="20"/>
        </w:rPr>
        <w:t>File S1 is a compressed archive with the complete Python code. It holds the data-generating model (hbodsim.py) and the decision algorithms (engines.py), together with the performance measures (metrics.py) and the calibration scripts (calib.py, calib_summ.py). It also holds the experiments (experiments.py, run_main.py, run_robust.py, run_sobol.py, run_dose.py, run_lifeoff.py, run_style.py), the analyses (analyze*.py, including analyze_circ.py, analyze_sobol_cluster.py and analyze_style.py), the verification scripts and the figure scripts. The README file lists the random-number seeds used for development, calibration and evaluation.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Development of an autonomous artificial intelligence agent for training load monitoring: a closed-loop in silico trial against the acute-to-chronic workload ratio</dc:title>
  <dc:subject/>
  <dc:creator>Ismail Dergaa</dc:creator>
  <cp:keywords/>
  <dc:description/>
  <cp:lastModifiedBy>Ismail Dergaa</cp:lastModifiedBy>
  <cp:revision>1</cp:revision>
  <dcterms:created xsi:type="dcterms:W3CDTF">2026-10-21T09:00:00Z</dcterms:created>
  <dcterms:modified xsi:type="dcterms:W3CDTF">2026-10-21T09:00:00Z</dcterms:modified>
  <cp:category/>
</cp:coreProperties>
</file>