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1B365D"/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spacing w:before="80" w:after="40"/>
              <w:jc w:val="center"/>
            </w:pPr>
            <w:r>
              <w:rPr>
                <w:rFonts w:ascii="Calibri" w:hAnsi="Calibri"/>
                <w:b/>
                <w:color w:val="FFFFFF"/>
                <w:sz w:val="40"/>
              </w:rPr>
              <w:t>GUIÓN TÉCNICO Y LOCUCIÓN - VÍDEO DEMOSTRACIÓN TFM</w:t>
            </w:r>
          </w:p>
          <w:p>
            <w:pPr>
              <w:spacing w:before="40" w:after="80"/>
              <w:jc w:val="center"/>
            </w:pPr>
            <w:r>
              <w:rPr>
                <w:rFonts w:ascii="Calibri" w:hAnsi="Calibri"/>
                <w:i/>
                <w:color w:val="C8E1FF"/>
                <w:sz w:val="22"/>
              </w:rPr>
              <w:t>Hiperautomatización Integral de Citas Clínicas | Clínica Dental Neclatrony</w:t>
              <w:br/>
              <w:t>Duración estimada: 3:30 - 4:00 minutos | Formato: Screencast con locución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1B365D"/>
          <w:sz w:val="28"/>
        </w:rPr>
        <w:t>1. Preparación y Disposición de Pantalla (Antes de pulsar REC)</w:t>
      </w:r>
    </w:p>
    <w:p>
      <w:pPr>
        <w:spacing w:before="20" w:after="60" w:line="276" w:lineRule="auto"/>
      </w:pPr>
      <w:r>
        <w:rPr>
          <w:rFonts w:ascii="Calibri" w:hAnsi="Calibri"/>
          <w:b/>
          <w:color w:val="1A202C"/>
          <w:sz w:val="20"/>
        </w:rPr>
        <w:t xml:space="preserve">Estrategia Visual: </w:t>
      </w:r>
      <w:r>
        <w:rPr>
          <w:rFonts w:ascii="Calibri" w:hAnsi="Calibri"/>
          <w:color w:val="1A202C"/>
          <w:sz w:val="20"/>
        </w:rPr>
        <w:t xml:space="preserve"> Para que el evaluador entienda el sistema sin esfuerzo, el vídeo debe evitar tiempos muertos y mostrar la sincronización en vivo. Graba a resolución 1080p (Full HD) a 30 o 60 fps con OBS Studio o similar.</w:t>
      </w:r>
    </w:p>
    <w:p>
      <w:pPr>
        <w:keepNext/>
        <w:spacing w:before="160" w:after="40"/>
      </w:pPr>
      <w:r>
        <w:rPr>
          <w:rFonts w:ascii="Calibri" w:hAnsi="Calibri"/>
          <w:b/>
          <w:color w:val="2B6CB0"/>
          <w:sz w:val="23"/>
        </w:rPr>
        <w:t>Checklist de Ventanas y Pestañas Abiertas:</w:t>
      </w:r>
    </w:p>
    <w:p>
      <w:pPr>
        <w:pStyle w:val="ListBullet"/>
        <w:spacing w:after="40"/>
      </w:pPr>
      <w:r>
        <w:rPr>
          <w:b/>
        </w:rPr>
        <w:t xml:space="preserve">Lado Izquierdo (50% pantalla): </w:t>
      </w:r>
      <w:r>
        <w:t>Telegram Desktop con el chat de Sofía (@NeclatronyDentalBot) listo. Opcional: tener visible o anclado el grupo 'Recepción Clínica Neclatrony' (-5137407308).</w:t>
      </w:r>
    </w:p>
    <w:p>
      <w:pPr>
        <w:pStyle w:val="ListBullet"/>
        <w:spacing w:after="40"/>
      </w:pPr>
      <w:r>
        <w:rPr>
          <w:b/>
        </w:rPr>
        <w:t xml:space="preserve">Lado Derecho (50% pantalla): </w:t>
      </w:r>
      <w:r>
        <w:t>Navegador web con el Mock ERP en la pestaña 'Agenda' (http://72.61.24.118:8080/). Ten seleccionada la semana actual para ver el impacto de los turnos.</w:t>
      </w:r>
    </w:p>
    <w:p>
      <w:pPr>
        <w:pStyle w:val="ListBullet"/>
        <w:spacing w:after="40"/>
      </w:pPr>
      <w:r>
        <w:rPr>
          <w:b/>
        </w:rPr>
        <w:t xml:space="preserve">Pestañas secundarias listas para alternar (Alt+Tab): </w:t>
      </w:r>
      <w:r>
        <w:t>1) n8n Workflow 'Clinica Dental Neclatrony - Agente Sofia' abierto y activo; 2) Supabase Dashboard en la tabla 'clinica_citas' y 'clinica_pacientes'.</w:t>
      </w:r>
    </w:p>
    <w:p>
      <w:pPr>
        <w:keepNext/>
        <w:spacing w:before="280" w:after="80"/>
      </w:pPr>
      <w:r>
        <w:rPr>
          <w:rFonts w:ascii="Calibri" w:hAnsi="Calibri"/>
          <w:b/>
          <w:color w:val="1B365D"/>
          <w:sz w:val="28"/>
        </w:rPr>
        <w:t>2. Guión Detallado Paso a Paso (Los 8 Casos Obligatorios)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728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Minuto y Caso</w:t>
            </w:r>
          </w:p>
        </w:tc>
        <w:tc>
          <w:tcPr>
            <w:tcW w:type="dxa" w:w="3168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Pantalla / Acción</w:t>
            </w:r>
          </w:p>
        </w:tc>
        <w:tc>
          <w:tcPr>
            <w:tcW w:type="dxa" w:w="3312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Locución Exacta (Qué decir)</w:t>
            </w:r>
          </w:p>
        </w:tc>
        <w:tc>
          <w:tcPr>
            <w:tcW w:type="dxa" w:w="1584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Validación Visual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0:00 - 0:25</w:t>
              <w:br/>
              <w:br/>
              <w:t>Introducción y Arquitectura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Pantalla dividida:</w:t>
              <w:br/>
              <w:t>• Izq: Telegram bot.</w:t>
              <w:br/>
              <w:t>• Der: Mock ERP Agenda con citas cargadas (80% capacidad).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i/>
                <w:color w:val="1A202C"/>
                <w:sz w:val="17"/>
              </w:rPr>
              <w:t>«Buenos días. Presento la solución de hiperautomatización de Clínica Neclatrony. A la izquierda vemos al paciente interactuando con la agente inteligente Sofía vía Telegram, y a la derecha nuestro ERP clínico legado, sincronizado bidireccionalmente mediante n8n, Supabase y UiPath.»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Vista global del ERP y Telegram sin demoras.</w:t>
            </w:r>
          </w:p>
        </w:tc>
      </w:tr>
      <w:tr>
        <w:tc>
          <w:tcPr>
            <w:tcW w:type="dxa" w:w="1728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0:25 - 0:50</w:t>
              <w:br/>
              <w:br/>
              <w:t>Caso 7:</w:t>
              <w:br/>
              <w:t>Consultas RAG (Precios y Mutuas)</w:t>
            </w:r>
          </w:p>
        </w:tc>
        <w:tc>
          <w:tcPr>
            <w:tcW w:type="dxa" w:w="3168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En Telegram escribes:</w:t>
              <w:br/>
              <w:t>«Hola Sofía, ¿cuánto cuesta un implante dental y tienen convenio con Sanitas?»</w:t>
            </w:r>
          </w:p>
        </w:tc>
        <w:tc>
          <w:tcPr>
            <w:tcW w:type="dxa" w:w="3312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i/>
                <w:color w:val="1A202C"/>
                <w:sz w:val="17"/>
              </w:rPr>
              <w:t>«Comenzamos evaluando el motor de RAG y base de conocimiento. Sofía consulta los protocolos clínicos y tarifarios vectorizados, respondiendo en segundos el precio exacto del implante y confirmando la cobertura con Sanitas Dental sin invenciones.»</w:t>
            </w:r>
          </w:p>
        </w:tc>
        <w:tc>
          <w:tcPr>
            <w:tcW w:type="dxa" w:w="1584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Sofía responde con el precio exacto (ej. 850€) y condiciones de Sanitas.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0:50 - 1:25</w:t>
              <w:br/>
              <w:br/>
              <w:t>Casos 1 y 2:</w:t>
              <w:br/>
              <w:t>Alta Paciente + Pedir Turno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En Telegram escribes:</w:t>
              <w:br/>
              <w:t>«Quiero agendar una cita de Odontología General para mañana a las 10:00. Mi nombre es Carlos Méndez y DNI 78912345K.»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i/>
                <w:color w:val="1A202C"/>
                <w:sz w:val="17"/>
              </w:rPr>
              <w:t>«El paciente solicita turno. Sofía valida que no existe en el registro, lo da de alta automáticamente en la base de datos Supabase, reserva el slot en el calendario y emite el ID de cita. Inmediatamente vemos cómo a la derecha el ERP actualiza la celda a color ocupado con el nombre de Carlos.»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• Telegram entrega cita NEC-XXXX.</w:t>
              <w:br/>
              <w:t>• ERP actualiza el slot a ocupado.</w:t>
            </w:r>
          </w:p>
        </w:tc>
      </w:tr>
      <w:tr>
        <w:tc>
          <w:tcPr>
            <w:tcW w:type="dxa" w:w="1728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1:25 - 1:55</w:t>
              <w:br/>
              <w:br/>
              <w:t>Caso 3:</w:t>
              <w:br/>
              <w:t>Conflicto de Cita (Mismo turno)</w:t>
            </w:r>
          </w:p>
        </w:tc>
        <w:tc>
          <w:tcPr>
            <w:tcW w:type="dxa" w:w="3168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En Telegram (simulando otro paciente o mensaje):</w:t>
              <w:br/>
              <w:t>«Hola, quiero turno de Odontología General mañana a las 10:00. Soy Lucía Gómez.»</w:t>
            </w:r>
          </w:p>
        </w:tc>
        <w:tc>
          <w:tcPr>
            <w:tcW w:type="dxa" w:w="3312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i/>
                <w:color w:val="1A202C"/>
                <w:sz w:val="17"/>
              </w:rPr>
              <w:t>«Para comprobar la consistencia ante concurrencia, otra paciente intenta solicitar exactamente el mismo horario. Sofía detecta de inmediato el conflicto de disponibilidad, le notifica que las 10:00 ya están ocupadas y le ofrece proactivamente alternativas libres a las 10:30 o 11:00.»</w:t>
            </w:r>
          </w:p>
        </w:tc>
        <w:tc>
          <w:tcPr>
            <w:tcW w:type="dxa" w:w="1584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Sofía rechaza el slot ocupado y sugiere horarios contiguos disponibles.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1:55 - 2:30</w:t>
              <w:br/>
              <w:br/>
              <w:t>Caso 6:</w:t>
              <w:br/>
              <w:t>Recordatorio y Confirmación RPA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Muestras el mensaje de recordatorio con botones interactivos y pulsas:</w:t>
              <w:br/>
              <w:t>[✅ Confirmar Asistencia]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i/>
                <w:color w:val="1A202C"/>
                <w:sz w:val="17"/>
              </w:rPr>
              <w:t>«El sistema incluye campañas de recordatorio preventivas. El paciente recibe el aviso con botones dinámicos. Al pulsar 'Confirmar Asistencia', n8n intercepta la orden, actualiza Supabase y dispara un proceso desatendido en UiPath Orchestrator, el cual navega al ERP legacy y marca la cita como confirmada.»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• Badge en Telegram: 'Cita confirmada'.</w:t>
              <w:br/>
              <w:t>• ERP actualiza estado a 'Confirmada'.</w:t>
            </w:r>
          </w:p>
        </w:tc>
      </w:tr>
      <w:tr>
        <w:tc>
          <w:tcPr>
            <w:tcW w:type="dxa" w:w="1728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2:30 - 3:00</w:t>
              <w:br/>
              <w:br/>
              <w:t>Casos 4 y 5:</w:t>
              <w:br/>
              <w:t>Cambio y Cancelación de Turno</w:t>
            </w:r>
          </w:p>
        </w:tc>
        <w:tc>
          <w:tcPr>
            <w:tcW w:type="dxa" w:w="3168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En Telegram escribes:</w:t>
              <w:br/>
              <w:t>«Sofía, finalmente no podré ir, por favor cancela mi cita.»</w:t>
            </w:r>
          </w:p>
        </w:tc>
        <w:tc>
          <w:tcPr>
            <w:tcW w:type="dxa" w:w="3312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i/>
                <w:color w:val="1A202C"/>
                <w:sz w:val="17"/>
              </w:rPr>
              <w:t>«Si el paciente no puede acudir, solicita la cancelación o cambio por lenguaje natural. Sofía libera el turno en Supabase e instruye a UiPath para reflejar la cancelación en el ERP legacy. Vemos cómo el slot de las 10:00 vuelve a quedar disponible de inmediato para otros pacientes.»</w:t>
            </w:r>
          </w:p>
        </w:tc>
        <w:tc>
          <w:tcPr>
            <w:tcW w:type="dxa" w:w="1584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• Sofía confirma cancelación.</w:t>
              <w:br/>
              <w:t>• Slot en ERP se libera en tiempo real.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3:00 - 3:35</w:t>
              <w:br/>
              <w:br/>
              <w:t>Caso 8 y Manejo de Errores:</w:t>
              <w:br/>
              <w:t>Urgencia (Human-in-the-Loop)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En Telegram escribes:</w:t>
              <w:br/>
              <w:t>«¡Por favor ayuda! Mi hijo se golpeó la boca, sangra mucho y se le partió un diente.»</w:t>
              <w:br/>
              <w:br/>
              <w:t>Luego cambias al grupo 'Recepción Clínica Neclatrony'.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i/>
                <w:color w:val="1A202C"/>
                <w:sz w:val="17"/>
              </w:rPr>
              <w:t>«Un aspecto crítico es el triaje clínico y manejo de excepciones. Ante síntomas de alarma o dolor agudo, Sofía clasifica el caso como Código Rojo de Urgencia. En lugar de procesar una cita ordinaria, activa el protocolo Human-in-the-Loop: detiene la respuesta automática y envía una alerta prioritaria instantánea al grupo de recepción con los datos del paciente para contacto telefónico urgente.»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• Alerta roja inmediata en el grupo de recepción (-5137407308) con teléfono y motivo.</w:t>
            </w:r>
          </w:p>
        </w:tc>
      </w:tr>
      <w:tr>
        <w:tc>
          <w:tcPr>
            <w:tcW w:type="dxa" w:w="1728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3:35 - 4:00</w:t>
              <w:br/>
              <w:br/>
              <w:t>Cierre Técnico:</w:t>
              <w:br/>
              <w:t>n8n y Supabase</w:t>
            </w:r>
          </w:p>
        </w:tc>
        <w:tc>
          <w:tcPr>
            <w:tcW w:type="dxa" w:w="3168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Cambias pestaña a:</w:t>
              <w:br/>
              <w:t>1. Flujo n8n (zoom a nodos AI Agent, Tools y Error Trigger).</w:t>
              <w:br/>
              <w:t>2. Supabase (tabla clinica_citas).</w:t>
            </w:r>
          </w:p>
        </w:tc>
        <w:tc>
          <w:tcPr>
            <w:tcW w:type="dxa" w:w="3312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i/>
                <w:color w:val="1A202C"/>
                <w:sz w:val="17"/>
              </w:rPr>
              <w:t>«En la trastienda técnica, vemos el workflow en n8n orquestando los LLMs con OpenAI y vector store para RAG, mientras Supabase garantiza la integridad referencial y UiPath asegura interoperabilidad con el software histórico de la clínica. En conclusión, una solución robusta, segura y medible. Muchas gracias.»</w:t>
            </w:r>
          </w:p>
        </w:tc>
        <w:tc>
          <w:tcPr>
            <w:tcW w:type="dxa" w:w="1584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Paneo rápido por n8n y Supabase demostrando arquitectura real en producción.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B365D"/>
          <w:sz w:val="28"/>
        </w:rPr>
        <w:t>3. Protocolo de Errores y Excepciones para la Evaluación</w:t>
      </w:r>
    </w:p>
    <w:p>
      <w:pPr>
        <w:spacing w:before="20" w:after="60" w:line="276" w:lineRule="auto"/>
      </w:pPr>
      <w:r>
        <w:rPr>
          <w:rFonts w:ascii="Calibri" w:hAnsi="Calibri"/>
          <w:b/>
          <w:color w:val="1A202C"/>
          <w:sz w:val="20"/>
        </w:rPr>
        <w:t xml:space="preserve">Mención Clave: </w:t>
      </w:r>
      <w:r>
        <w:rPr>
          <w:rFonts w:ascii="Calibri" w:hAnsi="Calibri"/>
          <w:color w:val="1A202C"/>
          <w:sz w:val="20"/>
        </w:rPr>
        <w:t>El tribunal de evaluación valora especialmente que el sistema demuestre qué ocurre cuando algo falla. En la presentación o preguntas del tribunal, resalta los tres niveles implementados:</w:t>
      </w:r>
    </w:p>
    <w:p>
      <w:pPr>
        <w:pStyle w:val="ListBullet"/>
        <w:spacing w:after="40"/>
      </w:pPr>
      <w:r>
        <w:rPr>
          <w:b/>
        </w:rPr>
        <w:t xml:space="preserve">1. Excepción de Negocio (Slots ocupados / Doble cita): </w:t>
      </w:r>
      <w:r>
        <w:t>El n8n Tool captura el código 409 de Supabase o la falta de disponibilidad y Sofía sugiere alternativas sin arrojar un error técnico.</w:t>
      </w:r>
    </w:p>
    <w:p>
      <w:pPr>
        <w:pStyle w:val="ListBullet"/>
        <w:spacing w:after="40"/>
      </w:pPr>
      <w:r>
        <w:rPr>
          <w:b/>
        </w:rPr>
        <w:t xml:space="preserve">2. Excepción Médica / Código Rojo (Human-in-the-Loop): </w:t>
      </w:r>
      <w:r>
        <w:t>Triaje semántico con priorización. Se cancela la interacción automática y se envía tarjeta de urgencia al canal de Telegram de Recepción (-5137407308).</w:t>
      </w:r>
    </w:p>
    <w:p>
      <w:pPr>
        <w:pStyle w:val="ListBullet"/>
        <w:spacing w:after="40"/>
      </w:pPr>
      <w:r>
        <w:rPr>
          <w:b/>
        </w:rPr>
        <w:t xml:space="preserve">3. Excepción de Sistema / Fallo UiPath / Timeout: </w:t>
      </w:r>
      <w:r>
        <w:t>Si el robot RPA no encuentra el selector o el ERP no responde, el nodo 'Error Trigger' de n8n dispara una alerta a recepción indicando 'Intervención Manual Requerida' con los datos de la cita para que secretaría no pierda el turno.</w:t>
      </w:r>
    </w:p>
    <w:p>
      <w:pPr>
        <w:keepNext/>
        <w:spacing w:before="280" w:after="80"/>
      </w:pPr>
      <w:r>
        <w:rPr>
          <w:rFonts w:ascii="Calibri" w:hAnsi="Calibri"/>
          <w:b/>
          <w:color w:val="1B365D"/>
          <w:sz w:val="28"/>
        </w:rPr>
        <w:t>4. Consejos Prácticos de Grabación</w:t>
      </w:r>
    </w:p>
    <w:p>
      <w:pPr>
        <w:pStyle w:val="ListBullet"/>
        <w:spacing w:after="40"/>
      </w:pPr>
      <w:r>
        <w:t>• Ten la ventana de Telegram con un zoom cómodo (Ctrl + rueda del ratón) para que las respuestas del bot se lean claramente en el vídeo.</w:t>
      </w:r>
    </w:p>
    <w:p>
      <w:pPr>
        <w:pStyle w:val="ListBullet"/>
        <w:spacing w:after="40"/>
      </w:pPr>
      <w:r>
        <w:t>• No escribas todo en directo si no quieres perder segundos: puedes tener los textos de prueba copiados en un bloc de notas y pegarlos con Ctrl+V.</w:t>
      </w:r>
    </w:p>
    <w:p>
      <w:pPr>
        <w:pStyle w:val="ListBullet"/>
        <w:spacing w:after="40"/>
      </w:pPr>
      <w:r>
        <w:t>• Habla con tono pausado, claro y seguro. Cada bloque del guión dura entre 25 y 35 segundos, sumando exactamente 3:45 minutos.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