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CE777" w14:textId="590B5A63" w:rsidR="00854963" w:rsidRDefault="0031549B" w:rsidP="008841D7">
      <w:pPr>
        <w:pStyle w:val="Heading1"/>
        <w:spacing w:before="0" w:after="0" w:line="276" w:lineRule="auto"/>
        <w:jc w:val="center"/>
      </w:pPr>
      <w:r>
        <w:t xml:space="preserve">A </w:t>
      </w:r>
      <w:r w:rsidR="00E114E2" w:rsidRPr="001A2589">
        <w:t>Model Context Protocol</w:t>
      </w:r>
      <w:r w:rsidR="00501092">
        <w:t xml:space="preserve"> (MCP)</w:t>
      </w:r>
      <w:r>
        <w:t xml:space="preserve"> Server for Uniform Guidance</w:t>
      </w:r>
    </w:p>
    <w:p w14:paraId="7DC1196C" w14:textId="756E7BCE" w:rsidR="0031549B" w:rsidRDefault="0031549B" w:rsidP="008841D7">
      <w:pPr>
        <w:spacing w:after="0" w:line="276" w:lineRule="auto"/>
        <w:jc w:val="center"/>
      </w:pPr>
      <w:r>
        <w:t>Sabrina Woo</w:t>
      </w:r>
    </w:p>
    <w:p w14:paraId="06FF0373" w14:textId="3E2086B5" w:rsidR="0031549B" w:rsidRPr="0031549B" w:rsidRDefault="0031549B" w:rsidP="008841D7">
      <w:pPr>
        <w:spacing w:after="0" w:line="276" w:lineRule="auto"/>
        <w:jc w:val="center"/>
      </w:pPr>
      <w:r>
        <w:t>May 8</w:t>
      </w:r>
      <w:r w:rsidRPr="0031549B">
        <w:rPr>
          <w:vertAlign w:val="superscript"/>
        </w:rPr>
        <w:t>th</w:t>
      </w:r>
      <w:r>
        <w:t>, 2026</w:t>
      </w:r>
    </w:p>
    <w:p w14:paraId="2B11BEBF" w14:textId="62BD99B9" w:rsidR="003C7746" w:rsidRPr="003C7746" w:rsidRDefault="003C7746" w:rsidP="008841D7">
      <w:pPr>
        <w:pStyle w:val="Heading3"/>
        <w:spacing w:before="0" w:after="0" w:line="276" w:lineRule="auto"/>
      </w:pPr>
      <w:r>
        <w:t>Background</w:t>
      </w:r>
    </w:p>
    <w:p w14:paraId="34C57789" w14:textId="220A0CAD" w:rsidR="00804C9A" w:rsidRDefault="007F2487" w:rsidP="006E377E">
      <w:pPr>
        <w:spacing w:after="0" w:line="276" w:lineRule="auto"/>
        <w:ind w:firstLine="720"/>
      </w:pPr>
      <w:r w:rsidRPr="1816F69B">
        <w:rPr>
          <w:color w:val="000000" w:themeColor="text1"/>
        </w:rPr>
        <w:t xml:space="preserve">Developed by Anthropic in late 2024, the Model Context Protocol (MCP) is an open, standardized interface that allows Large Language Models (LLMs) to interact with external </w:t>
      </w:r>
      <w:r w:rsidR="00AA27F8">
        <w:rPr>
          <w:color w:val="000000" w:themeColor="text1"/>
        </w:rPr>
        <w:t>tools</w:t>
      </w:r>
      <w:r w:rsidRPr="1816F69B">
        <w:rPr>
          <w:color w:val="000000" w:themeColor="text1"/>
        </w:rPr>
        <w:t>.</w:t>
      </w:r>
      <w:r w:rsidR="006E377E">
        <w:rPr>
          <w:color w:val="000000" w:themeColor="text1"/>
        </w:rPr>
        <w:t xml:space="preserve"> </w:t>
      </w:r>
      <w:r w:rsidRPr="00471106">
        <w:rPr>
          <w:u w:val="single"/>
        </w:rPr>
        <w:t xml:space="preserve">This </w:t>
      </w:r>
      <w:r w:rsidR="00E50B42">
        <w:rPr>
          <w:u w:val="single"/>
        </w:rPr>
        <w:t xml:space="preserve">pilot </w:t>
      </w:r>
      <w:r w:rsidR="00BF2464">
        <w:rPr>
          <w:u w:val="single"/>
        </w:rPr>
        <w:t>project</w:t>
      </w:r>
      <w:r w:rsidRPr="00471106">
        <w:rPr>
          <w:u w:val="single"/>
        </w:rPr>
        <w:t xml:space="preserve"> </w:t>
      </w:r>
      <w:r>
        <w:rPr>
          <w:u w:val="single"/>
        </w:rPr>
        <w:t>creates</w:t>
      </w:r>
      <w:r w:rsidRPr="00471106">
        <w:rPr>
          <w:u w:val="single"/>
        </w:rPr>
        <w:t xml:space="preserve"> a</w:t>
      </w:r>
      <w:r>
        <w:rPr>
          <w:u w:val="single"/>
        </w:rPr>
        <w:t xml:space="preserve"> local</w:t>
      </w:r>
      <w:r w:rsidRPr="00471106">
        <w:rPr>
          <w:u w:val="single"/>
        </w:rPr>
        <w:t xml:space="preserve"> MCP server designed to provide structured access to policies within Uniform Guidance (2 CFR 200) via the Electronic Code of Federal Regulations (eCFR) application programming interface (API).</w:t>
      </w:r>
      <w:r w:rsidRPr="00EB426B">
        <w:t xml:space="preserve"> The eCFR</w:t>
      </w:r>
      <w:r>
        <w:t xml:space="preserve"> </w:t>
      </w:r>
      <w:r w:rsidRPr="00EB426B">
        <w:t>API</w:t>
      </w:r>
      <w:r>
        <w:t xml:space="preserve"> is </w:t>
      </w:r>
      <w:r w:rsidRPr="00EB426B">
        <w:t>maintained by the National Archives and the Office of the Federal Register</w:t>
      </w:r>
      <w:r>
        <w:t xml:space="preserve"> and</w:t>
      </w:r>
      <w:r w:rsidRPr="00EB426B">
        <w:t xml:space="preserve"> provides a </w:t>
      </w:r>
      <w:r>
        <w:t xml:space="preserve">data </w:t>
      </w:r>
      <w:r w:rsidRPr="00EB426B">
        <w:t>feed of</w:t>
      </w:r>
      <w:r>
        <w:t xml:space="preserve"> tracked and updated</w:t>
      </w:r>
      <w:r w:rsidRPr="00EB426B">
        <w:t xml:space="preserve"> federal regulations</w:t>
      </w:r>
      <w:r>
        <w:t>.</w:t>
      </w:r>
      <w:r w:rsidRPr="00EB426B">
        <w:t xml:space="preserve"> </w:t>
      </w:r>
      <w:r>
        <w:t>T</w:t>
      </w:r>
      <w:r w:rsidRPr="00EB426B">
        <w:t xml:space="preserve">he eCFR API </w:t>
      </w:r>
      <w:r>
        <w:t xml:space="preserve">can </w:t>
      </w:r>
      <w:r w:rsidRPr="00EB426B">
        <w:t>retrieve specific section</w:t>
      </w:r>
      <w:r>
        <w:t xml:space="preserve">s of regulatory text </w:t>
      </w:r>
      <w:r w:rsidRPr="00EB426B">
        <w:t>without manual searching or downloading static documents.</w:t>
      </w:r>
      <w:r w:rsidRPr="00471106">
        <w:t xml:space="preserve"> </w:t>
      </w:r>
      <w:r w:rsidRPr="00EB426B">
        <w:t xml:space="preserve">When combined with MCP, the eCFR API becomes a </w:t>
      </w:r>
      <w:r>
        <w:t xml:space="preserve">source of up-to-date compliance information </w:t>
      </w:r>
      <w:r w:rsidRPr="00EB426B">
        <w:t>for AI-driven systems.</w:t>
      </w:r>
      <w:r>
        <w:t xml:space="preserve"> </w:t>
      </w:r>
    </w:p>
    <w:p w14:paraId="44B0E4E1" w14:textId="77777777" w:rsidR="008841D7" w:rsidRDefault="008841D7" w:rsidP="008841D7">
      <w:pPr>
        <w:spacing w:after="0" w:line="276" w:lineRule="auto"/>
        <w:ind w:firstLine="720"/>
      </w:pPr>
    </w:p>
    <w:p w14:paraId="54048888" w14:textId="2FB458F5" w:rsidR="00E114E2" w:rsidRPr="001A2589" w:rsidRDefault="00E114E2" w:rsidP="008841D7">
      <w:pPr>
        <w:pStyle w:val="Heading3"/>
        <w:spacing w:before="0" w:after="0" w:line="276" w:lineRule="auto"/>
      </w:pPr>
      <w:r w:rsidRPr="001A2589">
        <w:t>How MCP Works</w:t>
      </w:r>
    </w:p>
    <w:p w14:paraId="1A9AFF89" w14:textId="45E9D76D" w:rsidR="00142887" w:rsidRPr="00142887" w:rsidRDefault="00142887" w:rsidP="00142887">
      <w:pPr>
        <w:spacing w:after="0" w:line="276" w:lineRule="auto"/>
        <w:ind w:firstLine="720"/>
      </w:pPr>
      <w:r w:rsidRPr="00E16F3C">
        <w:rPr>
          <w:b/>
          <w:bCs/>
          <w:noProof/>
          <w:szCs w:val="22"/>
        </w:rPr>
        <w:drawing>
          <wp:anchor distT="0" distB="0" distL="114300" distR="114300" simplePos="0" relativeHeight="251659264" behindDoc="0" locked="0" layoutInCell="1" allowOverlap="1" wp14:anchorId="223E44A6" wp14:editId="11E98216">
            <wp:simplePos x="0" y="0"/>
            <wp:positionH relativeFrom="margin">
              <wp:align>left</wp:align>
            </wp:positionH>
            <wp:positionV relativeFrom="paragraph">
              <wp:posOffset>1072076</wp:posOffset>
            </wp:positionV>
            <wp:extent cx="6030595" cy="2364740"/>
            <wp:effectExtent l="0" t="0" r="8255" b="0"/>
            <wp:wrapSquare wrapText="bothSides"/>
            <wp:docPr id="156745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56692" name=""/>
                    <pic:cNvPicPr/>
                  </pic:nvPicPr>
                  <pic:blipFill>
                    <a:blip r:embed="rId10">
                      <a:extLst>
                        <a:ext uri="{28A0092B-C50C-407E-A947-70E740481C1C}">
                          <a14:useLocalDpi xmlns:a14="http://schemas.microsoft.com/office/drawing/2010/main" val="0"/>
                        </a:ext>
                      </a:extLst>
                    </a:blip>
                    <a:stretch>
                      <a:fillRect/>
                    </a:stretch>
                  </pic:blipFill>
                  <pic:spPr>
                    <a:xfrm>
                      <a:off x="0" y="0"/>
                      <a:ext cx="6040711" cy="2369055"/>
                    </a:xfrm>
                    <a:prstGeom prst="rect">
                      <a:avLst/>
                    </a:prstGeom>
                  </pic:spPr>
                </pic:pic>
              </a:graphicData>
            </a:graphic>
            <wp14:sizeRelH relativeFrom="margin">
              <wp14:pctWidth>0</wp14:pctWidth>
            </wp14:sizeRelH>
            <wp14:sizeRelV relativeFrom="margin">
              <wp14:pctHeight>0</wp14:pctHeight>
            </wp14:sizeRelV>
          </wp:anchor>
        </w:drawing>
      </w:r>
      <w:r w:rsidR="00E114E2" w:rsidRPr="00E16F3C">
        <w:rPr>
          <w:b/>
          <w:bCs/>
          <w:szCs w:val="22"/>
        </w:rPr>
        <w:t xml:space="preserve">Model Context Protocol </w:t>
      </w:r>
      <w:r w:rsidR="00AA27F8" w:rsidRPr="00E16F3C">
        <w:rPr>
          <w:b/>
          <w:bCs/>
          <w:szCs w:val="22"/>
        </w:rPr>
        <w:t>acts as</w:t>
      </w:r>
      <w:r w:rsidR="00E114E2" w:rsidRPr="00E16F3C">
        <w:rPr>
          <w:b/>
          <w:bCs/>
          <w:szCs w:val="22"/>
        </w:rPr>
        <w:t xml:space="preserve"> a bridge</w:t>
      </w:r>
      <w:r w:rsidR="00E114E2" w:rsidRPr="00F174BF">
        <w:rPr>
          <w:szCs w:val="22"/>
        </w:rPr>
        <w:t xml:space="preserve"> that connects AI to external tools or data</w:t>
      </w:r>
      <w:r w:rsidR="00F174BF" w:rsidRPr="00F174BF">
        <w:rPr>
          <w:szCs w:val="22"/>
        </w:rPr>
        <w:t>.</w:t>
      </w:r>
      <w:r w:rsidR="00AA27F8" w:rsidRPr="00AA27F8">
        <w:t xml:space="preserve"> </w:t>
      </w:r>
      <w:r w:rsidR="00AA27F8" w:rsidRPr="00AA27F8">
        <w:rPr>
          <w:szCs w:val="22"/>
        </w:rPr>
        <w:t>The AI client issues structured requests to</w:t>
      </w:r>
      <w:r w:rsidR="00AA27F8">
        <w:rPr>
          <w:szCs w:val="22"/>
        </w:rPr>
        <w:t xml:space="preserve"> </w:t>
      </w:r>
      <w:r w:rsidR="00AA27F8" w:rsidRPr="00AA27F8">
        <w:rPr>
          <w:szCs w:val="22"/>
        </w:rPr>
        <w:t xml:space="preserve">purpose-built MCP servers, which </w:t>
      </w:r>
      <w:r w:rsidR="006E377E">
        <w:rPr>
          <w:szCs w:val="22"/>
        </w:rPr>
        <w:t>communicate</w:t>
      </w:r>
      <w:r w:rsidR="00AA27F8" w:rsidRPr="00AA27F8">
        <w:rPr>
          <w:szCs w:val="22"/>
        </w:rPr>
        <w:t xml:space="preserve"> with external services such as databases, APIs, or file systems. Results are returned to the model in a consistent format, allowing it to reason over live, external data without requiring direct integration logic.</w:t>
      </w:r>
      <w:r w:rsidR="006E377E" w:rsidRPr="006E377E">
        <w:rPr>
          <w:color w:val="000000" w:themeColor="text1"/>
        </w:rPr>
        <w:t xml:space="preserve"> </w:t>
      </w:r>
      <w:r w:rsidR="006E377E" w:rsidRPr="1816F69B">
        <w:rPr>
          <w:color w:val="000000" w:themeColor="text1"/>
        </w:rPr>
        <w:t xml:space="preserve">The design of this </w:t>
      </w:r>
      <w:r w:rsidR="006E377E">
        <w:rPr>
          <w:color w:val="000000" w:themeColor="text1"/>
        </w:rPr>
        <w:t>protocol</w:t>
      </w:r>
      <w:r w:rsidR="006E377E" w:rsidRPr="1816F69B">
        <w:rPr>
          <w:color w:val="000000" w:themeColor="text1"/>
        </w:rPr>
        <w:t xml:space="preserve"> allows it to be </w:t>
      </w:r>
      <w:r w:rsidR="006E377E">
        <w:t xml:space="preserve">model agnostic, so </w:t>
      </w:r>
      <w:r w:rsidR="006E377E" w:rsidRPr="00CF707B">
        <w:rPr>
          <w:b/>
          <w:bCs/>
        </w:rPr>
        <w:t>any LLM agent can use i</w:t>
      </w:r>
      <w:r w:rsidRPr="00CF707B">
        <w:rPr>
          <w:b/>
          <w:bCs/>
        </w:rPr>
        <w:t>t</w:t>
      </w:r>
      <w:r w:rsidR="006E377E">
        <w:t>.</w:t>
      </w:r>
    </w:p>
    <w:p w14:paraId="1C32E707" w14:textId="24CE8CDE" w:rsidR="00E114E2" w:rsidRPr="001A2589" w:rsidRDefault="00E114E2" w:rsidP="008841D7">
      <w:pPr>
        <w:spacing w:after="0" w:line="276" w:lineRule="auto"/>
        <w:jc w:val="center"/>
        <w:rPr>
          <w:szCs w:val="22"/>
        </w:rPr>
      </w:pPr>
    </w:p>
    <w:p w14:paraId="2A0D28F7" w14:textId="2999926A" w:rsidR="00E114E2" w:rsidRPr="001A2589" w:rsidRDefault="00E114E2" w:rsidP="008841D7">
      <w:pPr>
        <w:pStyle w:val="Heading3"/>
        <w:spacing w:before="0" w:after="0" w:line="276" w:lineRule="auto"/>
      </w:pPr>
      <w:r w:rsidRPr="001A2589">
        <w:t xml:space="preserve">Why We Chose </w:t>
      </w:r>
      <w:r w:rsidR="008A224F" w:rsidRPr="001A2589">
        <w:t>an MCP</w:t>
      </w:r>
      <w:r w:rsidR="00F02033" w:rsidRPr="001A2589">
        <w:t xml:space="preserve"> Framework</w:t>
      </w:r>
    </w:p>
    <w:p w14:paraId="77E20965" w14:textId="0399CFA4" w:rsidR="004C7966" w:rsidRPr="004C7966" w:rsidRDefault="00536AF7" w:rsidP="008841D7">
      <w:pPr>
        <w:spacing w:after="0" w:line="276" w:lineRule="auto"/>
        <w:ind w:firstLine="720"/>
        <w:rPr>
          <w:szCs w:val="22"/>
        </w:rPr>
      </w:pPr>
      <w:r w:rsidRPr="00536AF7">
        <w:rPr>
          <w:szCs w:val="22"/>
        </w:rPr>
        <w:t xml:space="preserve">MCP servers extend AI capabilities by enabling more agentic, trustworthy workflows, including </w:t>
      </w:r>
      <w:r w:rsidRPr="002168DF">
        <w:rPr>
          <w:b/>
          <w:bCs/>
          <w:szCs w:val="22"/>
        </w:rPr>
        <w:t>integrations with custom clients such as Vandalizer</w:t>
      </w:r>
      <w:r w:rsidRPr="00536AF7">
        <w:rPr>
          <w:szCs w:val="22"/>
        </w:rPr>
        <w:t xml:space="preserve">. In </w:t>
      </w:r>
      <w:r w:rsidR="00DE6B79" w:rsidRPr="00536AF7">
        <w:rPr>
          <w:szCs w:val="22"/>
        </w:rPr>
        <w:t>this</w:t>
      </w:r>
      <w:r w:rsidRPr="00536AF7">
        <w:rPr>
          <w:szCs w:val="22"/>
        </w:rPr>
        <w:t xml:space="preserve"> </w:t>
      </w:r>
      <w:r w:rsidR="00B23644">
        <w:rPr>
          <w:szCs w:val="22"/>
        </w:rPr>
        <w:t xml:space="preserve">pilot </w:t>
      </w:r>
      <w:r w:rsidR="000477E6">
        <w:rPr>
          <w:szCs w:val="22"/>
        </w:rPr>
        <w:t>project</w:t>
      </w:r>
      <w:r w:rsidRPr="00536AF7">
        <w:rPr>
          <w:szCs w:val="22"/>
        </w:rPr>
        <w:t xml:space="preserve">, MCP grounds AI responses in traceable federal policy text, supports direct citations, and gives agents the context needed to identify relevant CFR sections more effectively than users who may not know where to search. It also reduces technical complexity by </w:t>
      </w:r>
      <w:r w:rsidRPr="00544EBF">
        <w:rPr>
          <w:b/>
          <w:bCs/>
          <w:szCs w:val="22"/>
        </w:rPr>
        <w:t>abstracting direct interaction with the eCFR API</w:t>
      </w:r>
      <w:r w:rsidRPr="00536AF7">
        <w:rPr>
          <w:szCs w:val="22"/>
        </w:rPr>
        <w:t xml:space="preserve">, which can return JSON or XML outputs that are difficult for non-technical users to work with. Additionally, MCP </w:t>
      </w:r>
      <w:r w:rsidRPr="00E44F03">
        <w:rPr>
          <w:b/>
          <w:bCs/>
          <w:szCs w:val="22"/>
        </w:rPr>
        <w:t>eliminates the need for separate database infrastructure</w:t>
      </w:r>
      <w:r w:rsidRPr="00536AF7">
        <w:rPr>
          <w:szCs w:val="22"/>
        </w:rPr>
        <w:t xml:space="preserve"> and provides a scalable way to access continuously updated federal policy text from the authoritative source.</w:t>
      </w:r>
    </w:p>
    <w:p w14:paraId="0F511418" w14:textId="719CB352" w:rsidR="00E114E2" w:rsidRPr="001A2589" w:rsidRDefault="00702505" w:rsidP="008841D7">
      <w:pPr>
        <w:pStyle w:val="Heading3"/>
        <w:spacing w:before="0" w:after="0" w:line="276" w:lineRule="auto"/>
      </w:pPr>
      <w:r w:rsidRPr="001A2589">
        <w:lastRenderedPageBreak/>
        <w:t xml:space="preserve">Current MCP </w:t>
      </w:r>
      <w:r w:rsidR="006B1767">
        <w:t>Framework</w:t>
      </w:r>
    </w:p>
    <w:p w14:paraId="5D014A91" w14:textId="00768D02" w:rsidR="00CA2AB5" w:rsidRPr="00443A1B" w:rsidRDefault="00F36AB3" w:rsidP="008841D7">
      <w:pPr>
        <w:spacing w:after="0" w:line="276" w:lineRule="auto"/>
        <w:jc w:val="center"/>
        <w:rPr>
          <w:b/>
          <w:bCs/>
          <w:szCs w:val="22"/>
        </w:rPr>
      </w:pPr>
      <w:r w:rsidRPr="001A2589">
        <w:rPr>
          <w:b/>
          <w:bCs/>
          <w:noProof/>
          <w:szCs w:val="22"/>
        </w:rPr>
        <w:drawing>
          <wp:inline distT="0" distB="0" distL="0" distR="0" wp14:anchorId="519DB70B" wp14:editId="5AF305A3">
            <wp:extent cx="5812134" cy="2667000"/>
            <wp:effectExtent l="0" t="0" r="0" b="0"/>
            <wp:docPr id="6544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11593" name=""/>
                    <pic:cNvPicPr/>
                  </pic:nvPicPr>
                  <pic:blipFill>
                    <a:blip r:embed="rId11"/>
                    <a:stretch>
                      <a:fillRect/>
                    </a:stretch>
                  </pic:blipFill>
                  <pic:spPr>
                    <a:xfrm>
                      <a:off x="0" y="0"/>
                      <a:ext cx="5903130" cy="2708755"/>
                    </a:xfrm>
                    <a:prstGeom prst="rect">
                      <a:avLst/>
                    </a:prstGeom>
                  </pic:spPr>
                </pic:pic>
              </a:graphicData>
            </a:graphic>
          </wp:inline>
        </w:drawing>
      </w:r>
    </w:p>
    <w:p w14:paraId="3D21AEAE" w14:textId="1EE8432D" w:rsidR="00145FC3" w:rsidRPr="0075586B" w:rsidRDefault="006B7945" w:rsidP="008841D7">
      <w:pPr>
        <w:spacing w:after="0" w:line="276" w:lineRule="auto"/>
        <w:ind w:firstLine="720"/>
        <w:rPr>
          <w:rFonts w:eastAsiaTheme="majorEastAsia" w:cstheme="majorBidi"/>
          <w:color w:val="000000" w:themeColor="text1"/>
          <w:szCs w:val="28"/>
        </w:rPr>
      </w:pPr>
      <w:r w:rsidRPr="006B7945">
        <w:rPr>
          <w:rFonts w:eastAsiaTheme="majorEastAsia" w:cstheme="majorBidi"/>
          <w:color w:val="000000" w:themeColor="text1"/>
          <w:szCs w:val="28"/>
        </w:rPr>
        <w:t xml:space="preserve">This framework uses a local MCP server as a controlled </w:t>
      </w:r>
      <w:r w:rsidR="008618D1">
        <w:rPr>
          <w:rFonts w:eastAsiaTheme="majorEastAsia" w:cstheme="majorBidi"/>
          <w:color w:val="000000" w:themeColor="text1"/>
          <w:szCs w:val="28"/>
        </w:rPr>
        <w:t>connection</w:t>
      </w:r>
      <w:r w:rsidRPr="006B7945">
        <w:rPr>
          <w:rFonts w:eastAsiaTheme="majorEastAsia" w:cstheme="majorBidi"/>
          <w:color w:val="000000" w:themeColor="text1"/>
          <w:szCs w:val="28"/>
        </w:rPr>
        <w:t xml:space="preserve"> between </w:t>
      </w:r>
      <w:r w:rsidR="00145FC3">
        <w:rPr>
          <w:rFonts w:eastAsiaTheme="majorEastAsia" w:cstheme="majorBidi"/>
          <w:color w:val="000000" w:themeColor="text1"/>
          <w:szCs w:val="28"/>
        </w:rPr>
        <w:t>Anthropic’s Claude Desktop (Sonnet 4.6)</w:t>
      </w:r>
      <w:r w:rsidRPr="006B7945">
        <w:rPr>
          <w:rFonts w:eastAsiaTheme="majorEastAsia" w:cstheme="majorBidi"/>
          <w:color w:val="000000" w:themeColor="text1"/>
          <w:szCs w:val="28"/>
        </w:rPr>
        <w:t xml:space="preserve"> and the eCFR API. The MCP server exposes a focused set of tools for </w:t>
      </w:r>
      <w:r w:rsidRPr="006E377E">
        <w:rPr>
          <w:rFonts w:eastAsiaTheme="majorEastAsia" w:cstheme="majorBidi"/>
          <w:b/>
          <w:bCs/>
          <w:color w:val="000000" w:themeColor="text1"/>
          <w:szCs w:val="28"/>
        </w:rPr>
        <w:t>searching, retrieving, comparing, and navigating CFR content</w:t>
      </w:r>
      <w:r w:rsidRPr="006B7945">
        <w:rPr>
          <w:rFonts w:eastAsiaTheme="majorEastAsia" w:cstheme="majorBidi"/>
          <w:color w:val="000000" w:themeColor="text1"/>
          <w:szCs w:val="28"/>
        </w:rPr>
        <w:t xml:space="preserve"> in compact responses. For open-ended questions, the </w:t>
      </w:r>
      <w:r w:rsidR="009F43B0">
        <w:rPr>
          <w:rFonts w:eastAsiaTheme="majorEastAsia" w:cstheme="majorBidi"/>
          <w:color w:val="000000" w:themeColor="text1"/>
          <w:szCs w:val="28"/>
        </w:rPr>
        <w:t xml:space="preserve">AI </w:t>
      </w:r>
      <w:r w:rsidRPr="006B7945">
        <w:rPr>
          <w:rFonts w:eastAsiaTheme="majorEastAsia" w:cstheme="majorBidi"/>
          <w:color w:val="000000" w:themeColor="text1"/>
          <w:szCs w:val="28"/>
        </w:rPr>
        <w:t xml:space="preserve">agent should begin with ecfr_search to identify relevant sections. For specific regulatory lookups, </w:t>
      </w:r>
      <w:r w:rsidR="00DE3161">
        <w:rPr>
          <w:rFonts w:eastAsiaTheme="majorEastAsia" w:cstheme="majorBidi"/>
          <w:color w:val="000000" w:themeColor="text1"/>
          <w:szCs w:val="28"/>
        </w:rPr>
        <w:t xml:space="preserve">the agent </w:t>
      </w:r>
      <w:r w:rsidRPr="006B7945">
        <w:rPr>
          <w:rFonts w:eastAsiaTheme="majorEastAsia" w:cstheme="majorBidi"/>
          <w:color w:val="000000" w:themeColor="text1"/>
          <w:szCs w:val="28"/>
        </w:rPr>
        <w:t xml:space="preserve">should first call ecfr_get_title_versions to obtain a valid amendment date, then pass that date into ecfr_get_regulation. </w:t>
      </w:r>
      <w:r w:rsidRPr="006E377E">
        <w:rPr>
          <w:rFonts w:eastAsiaTheme="majorEastAsia" w:cstheme="majorBidi"/>
          <w:color w:val="000000" w:themeColor="text1"/>
          <w:szCs w:val="28"/>
        </w:rPr>
        <w:t>This</w:t>
      </w:r>
      <w:r w:rsidR="0072322A" w:rsidRPr="006E377E">
        <w:rPr>
          <w:rFonts w:eastAsiaTheme="majorEastAsia" w:cstheme="majorBidi"/>
          <w:b/>
          <w:bCs/>
          <w:color w:val="000000" w:themeColor="text1"/>
          <w:szCs w:val="28"/>
        </w:rPr>
        <w:t xml:space="preserve"> tool</w:t>
      </w:r>
      <w:r w:rsidRPr="006E377E">
        <w:rPr>
          <w:rFonts w:eastAsiaTheme="majorEastAsia" w:cstheme="majorBidi"/>
          <w:b/>
          <w:bCs/>
          <w:color w:val="000000" w:themeColor="text1"/>
          <w:szCs w:val="28"/>
        </w:rPr>
        <w:t xml:space="preserve"> sequencing is essential</w:t>
      </w:r>
      <w:r w:rsidRPr="006B7945">
        <w:rPr>
          <w:rFonts w:eastAsiaTheme="majorEastAsia" w:cstheme="majorBidi"/>
          <w:color w:val="000000" w:themeColor="text1"/>
          <w:szCs w:val="28"/>
        </w:rPr>
        <w:t xml:space="preserve"> because CFR part numbers are not globally unique across titles, and reliable lookups require valid version dates.</w:t>
      </w:r>
      <w:r w:rsidR="00750AD7">
        <w:rPr>
          <w:rFonts w:eastAsiaTheme="majorEastAsia" w:cstheme="majorBidi"/>
          <w:color w:val="000000" w:themeColor="text1"/>
          <w:szCs w:val="28"/>
        </w:rPr>
        <w:t xml:space="preserve"> The other tools are executed </w:t>
      </w:r>
      <w:r w:rsidR="00060856">
        <w:rPr>
          <w:rFonts w:eastAsiaTheme="majorEastAsia" w:cstheme="majorBidi"/>
          <w:color w:val="000000" w:themeColor="text1"/>
          <w:szCs w:val="28"/>
        </w:rPr>
        <w:t>based on the question and the agent’s reasoning.</w:t>
      </w:r>
    </w:p>
    <w:p w14:paraId="24B99A72" w14:textId="77777777" w:rsidR="00653A50" w:rsidRDefault="00653A50" w:rsidP="008841D7">
      <w:pPr>
        <w:pStyle w:val="Heading3"/>
        <w:spacing w:before="0" w:after="0" w:line="276" w:lineRule="auto"/>
      </w:pPr>
    </w:p>
    <w:p w14:paraId="60073A3D" w14:textId="346F165C" w:rsidR="00875D98" w:rsidRPr="001A2589" w:rsidRDefault="00875D98" w:rsidP="008841D7">
      <w:pPr>
        <w:pStyle w:val="Heading3"/>
        <w:spacing w:before="0" w:after="0" w:line="276" w:lineRule="auto"/>
      </w:pPr>
      <w:r w:rsidRPr="001A2589">
        <w:t>Pros and Cons of MCP</w:t>
      </w:r>
    </w:p>
    <w:p w14:paraId="2B67C3DC" w14:textId="382C2B50" w:rsidR="00DC65F3" w:rsidRDefault="00DC65F3" w:rsidP="008841D7">
      <w:pPr>
        <w:spacing w:after="0" w:line="276" w:lineRule="auto"/>
        <w:ind w:firstLine="720"/>
        <w:rPr>
          <w:szCs w:val="22"/>
        </w:rPr>
      </w:pPr>
      <w:r w:rsidRPr="00DC65F3">
        <w:rPr>
          <w:szCs w:val="22"/>
        </w:rPr>
        <w:t xml:space="preserve">MCP offers several advantages for AI-enabled workflows. In this implementation, it supports </w:t>
      </w:r>
      <w:r w:rsidRPr="00083237">
        <w:rPr>
          <w:b/>
          <w:bCs/>
          <w:szCs w:val="22"/>
        </w:rPr>
        <w:t>exact citation text</w:t>
      </w:r>
      <w:r w:rsidRPr="00DC65F3">
        <w:rPr>
          <w:szCs w:val="22"/>
        </w:rPr>
        <w:t xml:space="preserve">, </w:t>
      </w:r>
      <w:r w:rsidRPr="00083237">
        <w:rPr>
          <w:b/>
          <w:bCs/>
          <w:szCs w:val="22"/>
        </w:rPr>
        <w:t>stronger traceability</w:t>
      </w:r>
      <w:r w:rsidRPr="00DC65F3">
        <w:rPr>
          <w:szCs w:val="22"/>
        </w:rPr>
        <w:t xml:space="preserve">, </w:t>
      </w:r>
      <w:r w:rsidRPr="00083237">
        <w:rPr>
          <w:b/>
          <w:bCs/>
          <w:szCs w:val="22"/>
        </w:rPr>
        <w:t>clearer provenance</w:t>
      </w:r>
      <w:r w:rsidRPr="00DC65F3">
        <w:rPr>
          <w:szCs w:val="22"/>
        </w:rPr>
        <w:t>, and access to current federal policy language. It also helps produce</w:t>
      </w:r>
      <w:r>
        <w:rPr>
          <w:szCs w:val="22"/>
        </w:rPr>
        <w:t xml:space="preserve"> more </w:t>
      </w:r>
      <w:r w:rsidRPr="00083237">
        <w:rPr>
          <w:b/>
          <w:bCs/>
          <w:szCs w:val="22"/>
        </w:rPr>
        <w:t>consistent responses</w:t>
      </w:r>
      <w:r>
        <w:rPr>
          <w:szCs w:val="22"/>
        </w:rPr>
        <w:t>, decreasing the uncertainty of AI outputs</w:t>
      </w:r>
      <w:r w:rsidRPr="00DC65F3">
        <w:rPr>
          <w:szCs w:val="22"/>
        </w:rPr>
        <w:t xml:space="preserve">. MCP is relatively </w:t>
      </w:r>
      <w:r w:rsidRPr="00C07138">
        <w:rPr>
          <w:b/>
          <w:bCs/>
          <w:szCs w:val="22"/>
        </w:rPr>
        <w:t>easy to set up and use</w:t>
      </w:r>
      <w:r w:rsidRPr="00DC65F3">
        <w:rPr>
          <w:szCs w:val="22"/>
        </w:rPr>
        <w:t>, can be customized for different use cases, and can be extended with additional tools or scaled over time through enterprise cloud hosting.</w:t>
      </w:r>
    </w:p>
    <w:p w14:paraId="23DA509C" w14:textId="1109AD2E" w:rsidR="005A7550" w:rsidRDefault="008A609F" w:rsidP="008841D7">
      <w:pPr>
        <w:spacing w:after="0" w:line="276" w:lineRule="auto"/>
        <w:ind w:firstLine="720"/>
        <w:rPr>
          <w:szCs w:val="22"/>
        </w:rPr>
      </w:pPr>
      <w:r>
        <w:rPr>
          <w:szCs w:val="22"/>
        </w:rPr>
        <w:t>However, t</w:t>
      </w:r>
      <w:r w:rsidR="005E2111" w:rsidRPr="005E2111">
        <w:rPr>
          <w:szCs w:val="22"/>
        </w:rPr>
        <w:t xml:space="preserve">here are limitations to consider. MCP-based responses may not always provide broader contextual </w:t>
      </w:r>
      <w:r w:rsidR="007A2D17" w:rsidRPr="005E2111">
        <w:rPr>
          <w:szCs w:val="22"/>
        </w:rPr>
        <w:t>information and</w:t>
      </w:r>
      <w:r w:rsidR="007A2D17">
        <w:rPr>
          <w:szCs w:val="22"/>
        </w:rPr>
        <w:t xml:space="preserve"> </w:t>
      </w:r>
      <w:r w:rsidR="007A2D17" w:rsidRPr="005E2111">
        <w:rPr>
          <w:szCs w:val="22"/>
        </w:rPr>
        <w:t xml:space="preserve">may fail to incorporate external sponsor guidelines. </w:t>
      </w:r>
      <w:r w:rsidR="007A2D17">
        <w:rPr>
          <w:szCs w:val="22"/>
        </w:rPr>
        <w:t>R</w:t>
      </w:r>
      <w:r w:rsidR="005E2111" w:rsidRPr="005E2111">
        <w:rPr>
          <w:szCs w:val="22"/>
        </w:rPr>
        <w:t>esponse times can be longer than standard model interactions</w:t>
      </w:r>
      <w:r w:rsidR="00AE4A12">
        <w:rPr>
          <w:szCs w:val="22"/>
        </w:rPr>
        <w:t xml:space="preserve"> </w:t>
      </w:r>
      <w:r w:rsidR="00FA6F1B">
        <w:rPr>
          <w:szCs w:val="22"/>
        </w:rPr>
        <w:t>which</w:t>
      </w:r>
      <w:r w:rsidR="00AE4A12">
        <w:rPr>
          <w:szCs w:val="22"/>
        </w:rPr>
        <w:t xml:space="preserve"> </w:t>
      </w:r>
      <w:r w:rsidR="00B4126B">
        <w:rPr>
          <w:szCs w:val="22"/>
        </w:rPr>
        <w:t>may</w:t>
      </w:r>
      <w:r w:rsidR="00AE4A12">
        <w:rPr>
          <w:szCs w:val="22"/>
        </w:rPr>
        <w:t xml:space="preserve"> lead to </w:t>
      </w:r>
      <w:r w:rsidR="005E2111" w:rsidRPr="005E2111">
        <w:rPr>
          <w:szCs w:val="22"/>
        </w:rPr>
        <w:t>higher crash rates</w:t>
      </w:r>
      <w:r w:rsidR="00AE4A12">
        <w:rPr>
          <w:szCs w:val="22"/>
        </w:rPr>
        <w:t>.</w:t>
      </w:r>
      <w:r w:rsidR="005E2111" w:rsidRPr="005E2111">
        <w:rPr>
          <w:szCs w:val="22"/>
        </w:rPr>
        <w:t xml:space="preserve"> </w:t>
      </w:r>
      <w:r w:rsidR="009A5D64">
        <w:rPr>
          <w:szCs w:val="22"/>
        </w:rPr>
        <w:t>In addition, s</w:t>
      </w:r>
      <w:r w:rsidR="005E2111" w:rsidRPr="005E2111">
        <w:rPr>
          <w:szCs w:val="22"/>
        </w:rPr>
        <w:t xml:space="preserve">maller or older models </w:t>
      </w:r>
      <w:r w:rsidR="00383E06">
        <w:rPr>
          <w:szCs w:val="22"/>
        </w:rPr>
        <w:t>(</w:t>
      </w:r>
      <w:r w:rsidR="002D4AC9">
        <w:rPr>
          <w:szCs w:val="22"/>
        </w:rPr>
        <w:t xml:space="preserve">e.g. </w:t>
      </w:r>
      <w:r w:rsidR="00383E06">
        <w:rPr>
          <w:szCs w:val="22"/>
        </w:rPr>
        <w:t xml:space="preserve">Haiku) </w:t>
      </w:r>
      <w:r w:rsidR="005E2111" w:rsidRPr="005E2111">
        <w:rPr>
          <w:szCs w:val="22"/>
        </w:rPr>
        <w:t>may struggle to use MCP effectively. Context window limits and tool response maximums can constrain output quality, especially for complex requests</w:t>
      </w:r>
      <w:r w:rsidR="00BE662A">
        <w:rPr>
          <w:szCs w:val="22"/>
        </w:rPr>
        <w:t>.</w:t>
      </w:r>
      <w:r w:rsidR="000E02F3">
        <w:rPr>
          <w:szCs w:val="22"/>
        </w:rPr>
        <w:t xml:space="preserve">  </w:t>
      </w:r>
    </w:p>
    <w:p w14:paraId="621AAD16" w14:textId="77777777" w:rsidR="00653A50" w:rsidRPr="001A2589" w:rsidRDefault="00653A50" w:rsidP="008841D7">
      <w:pPr>
        <w:spacing w:after="0" w:line="276" w:lineRule="auto"/>
        <w:ind w:firstLine="720"/>
        <w:rPr>
          <w:szCs w:val="22"/>
        </w:rPr>
      </w:pPr>
    </w:p>
    <w:p w14:paraId="217F07E9" w14:textId="77777777" w:rsidR="00875D98" w:rsidRPr="001A2589" w:rsidRDefault="00875D98" w:rsidP="008841D7">
      <w:pPr>
        <w:pStyle w:val="Heading3"/>
        <w:spacing w:before="0" w:after="0" w:line="276" w:lineRule="auto"/>
      </w:pPr>
      <w:r w:rsidRPr="001A2589">
        <w:t>Evaluation Insights</w:t>
      </w:r>
    </w:p>
    <w:p w14:paraId="215F41A0" w14:textId="20F43E0A" w:rsidR="00875D98" w:rsidRPr="001A2589" w:rsidRDefault="0095180E" w:rsidP="008841D7">
      <w:pPr>
        <w:pStyle w:val="ListParagraph"/>
        <w:numPr>
          <w:ilvl w:val="0"/>
          <w:numId w:val="5"/>
        </w:numPr>
        <w:spacing w:after="0" w:line="276" w:lineRule="auto"/>
        <w:rPr>
          <w:szCs w:val="22"/>
        </w:rPr>
      </w:pPr>
      <w:r w:rsidRPr="00D02E77">
        <w:rPr>
          <w:b/>
          <w:bCs/>
          <w:szCs w:val="22"/>
        </w:rPr>
        <w:t>AI responses</w:t>
      </w:r>
      <w:r>
        <w:rPr>
          <w:szCs w:val="22"/>
        </w:rPr>
        <w:t xml:space="preserve"> </w:t>
      </w:r>
      <w:r w:rsidRPr="0095180E">
        <w:rPr>
          <w:b/>
          <w:bCs/>
          <w:szCs w:val="22"/>
        </w:rPr>
        <w:t xml:space="preserve">without MCP performed </w:t>
      </w:r>
      <w:r w:rsidR="00875D98" w:rsidRPr="0095180E">
        <w:rPr>
          <w:b/>
          <w:bCs/>
          <w:szCs w:val="22"/>
        </w:rPr>
        <w:t>worse</w:t>
      </w:r>
      <w:r w:rsidR="00875D98" w:rsidRPr="001A2589">
        <w:rPr>
          <w:szCs w:val="22"/>
        </w:rPr>
        <w:t xml:space="preserve"> in factuality and relevancy metrics.</w:t>
      </w:r>
    </w:p>
    <w:p w14:paraId="5E6551A4" w14:textId="77777777" w:rsidR="00875D98" w:rsidRPr="001A2589" w:rsidRDefault="00875D98" w:rsidP="008841D7">
      <w:pPr>
        <w:pStyle w:val="ListParagraph"/>
        <w:numPr>
          <w:ilvl w:val="0"/>
          <w:numId w:val="5"/>
        </w:numPr>
        <w:spacing w:after="0" w:line="276" w:lineRule="auto"/>
        <w:rPr>
          <w:szCs w:val="22"/>
        </w:rPr>
      </w:pPr>
      <w:r w:rsidRPr="001A2589">
        <w:rPr>
          <w:szCs w:val="22"/>
        </w:rPr>
        <w:t xml:space="preserve">Both Human and AI Evaluation gave </w:t>
      </w:r>
      <w:r w:rsidRPr="001A2589">
        <w:rPr>
          <w:b/>
          <w:bCs/>
          <w:szCs w:val="22"/>
        </w:rPr>
        <w:t xml:space="preserve">better accuracy scores to MCP </w:t>
      </w:r>
      <w:r w:rsidRPr="001A2589">
        <w:rPr>
          <w:szCs w:val="22"/>
        </w:rPr>
        <w:t>generated responses.</w:t>
      </w:r>
    </w:p>
    <w:p w14:paraId="2AD9E6CF" w14:textId="77777777" w:rsidR="0034058D" w:rsidRDefault="0034058D" w:rsidP="008841D7">
      <w:pPr>
        <w:pStyle w:val="ListParagraph"/>
        <w:numPr>
          <w:ilvl w:val="0"/>
          <w:numId w:val="5"/>
        </w:numPr>
        <w:spacing w:after="0" w:line="276" w:lineRule="auto"/>
        <w:rPr>
          <w:szCs w:val="22"/>
        </w:rPr>
      </w:pPr>
      <w:r w:rsidRPr="0034058D">
        <w:rPr>
          <w:szCs w:val="22"/>
        </w:rPr>
        <w:t>LLM-judged responses showed a positive correlation between comprehensiveness and accuracy, while human-judged responses gauged the two metrics independently.</w:t>
      </w:r>
    </w:p>
    <w:p w14:paraId="1B0D2988" w14:textId="77777777" w:rsidR="0034058D" w:rsidRDefault="0034058D" w:rsidP="008841D7">
      <w:pPr>
        <w:pStyle w:val="ListParagraph"/>
        <w:numPr>
          <w:ilvl w:val="0"/>
          <w:numId w:val="5"/>
        </w:numPr>
        <w:spacing w:after="0" w:line="276" w:lineRule="auto"/>
        <w:rPr>
          <w:szCs w:val="22"/>
        </w:rPr>
      </w:pPr>
      <w:r w:rsidRPr="0034058D">
        <w:rPr>
          <w:szCs w:val="22"/>
        </w:rPr>
        <w:t xml:space="preserve">MCP tool </w:t>
      </w:r>
      <w:r w:rsidRPr="00012618">
        <w:rPr>
          <w:b/>
          <w:bCs/>
          <w:szCs w:val="22"/>
        </w:rPr>
        <w:t>efficiency varies by question type</w:t>
      </w:r>
      <w:r w:rsidRPr="0034058D">
        <w:rPr>
          <w:szCs w:val="22"/>
        </w:rPr>
        <w:t>, with specific questions yielding better results and hypothetical "what-if" questions performing worse.</w:t>
      </w:r>
    </w:p>
    <w:p w14:paraId="009AA059" w14:textId="77777777" w:rsidR="0034058D" w:rsidRDefault="0034058D" w:rsidP="0034058D">
      <w:pPr>
        <w:spacing w:after="0" w:line="276" w:lineRule="auto"/>
        <w:rPr>
          <w:szCs w:val="22"/>
        </w:rPr>
      </w:pPr>
    </w:p>
    <w:p w14:paraId="7D190D96" w14:textId="68342605" w:rsidR="005E65E2" w:rsidRPr="001A2589" w:rsidRDefault="005E65E2" w:rsidP="008841D7">
      <w:pPr>
        <w:pStyle w:val="Heading3"/>
        <w:spacing w:before="0" w:after="0" w:line="276" w:lineRule="auto"/>
        <w:rPr>
          <w:szCs w:val="22"/>
        </w:rPr>
      </w:pPr>
      <w:r w:rsidRPr="001A2589">
        <w:rPr>
          <w:szCs w:val="22"/>
        </w:rPr>
        <w:lastRenderedPageBreak/>
        <w:t>Resources</w:t>
      </w:r>
    </w:p>
    <w:p w14:paraId="07467664" w14:textId="511C5621" w:rsidR="008841D7" w:rsidRDefault="008841D7" w:rsidP="008841D7">
      <w:pPr>
        <w:spacing w:after="0" w:line="276" w:lineRule="auto"/>
        <w:rPr>
          <w:szCs w:val="22"/>
        </w:rPr>
      </w:pPr>
      <w:r w:rsidRPr="00012618">
        <w:rPr>
          <w:szCs w:val="22"/>
        </w:rPr>
        <w:t>This project was funded by National Science Foundation grant 2427549 and presented at the 2026 Research Evaluation and Analytics Community Hub Summit.</w:t>
      </w:r>
    </w:p>
    <w:p w14:paraId="7BA6A61A" w14:textId="77777777" w:rsidR="007F0247" w:rsidRDefault="007F0247" w:rsidP="008841D7">
      <w:pPr>
        <w:spacing w:after="0" w:line="276" w:lineRule="auto"/>
        <w:rPr>
          <w:szCs w:val="22"/>
        </w:rPr>
      </w:pPr>
    </w:p>
    <w:p w14:paraId="452B272E" w14:textId="2DEE0767" w:rsidR="005E65E2" w:rsidRPr="001A2589" w:rsidRDefault="00436026" w:rsidP="008841D7">
      <w:pPr>
        <w:spacing w:after="0" w:line="276" w:lineRule="auto"/>
        <w:rPr>
          <w:szCs w:val="22"/>
        </w:rPr>
      </w:pPr>
      <w:hyperlink r:id="rId12" w:history="1">
        <w:r w:rsidRPr="00A12E9B">
          <w:rPr>
            <w:rStyle w:val="Hyperlink"/>
            <w:szCs w:val="22"/>
          </w:rPr>
          <w:t xml:space="preserve">eCFR </w:t>
        </w:r>
        <w:r w:rsidR="005E65E2" w:rsidRPr="00A12E9B">
          <w:rPr>
            <w:rStyle w:val="Hyperlink"/>
            <w:szCs w:val="22"/>
          </w:rPr>
          <w:t>API Documentation</w:t>
        </w:r>
      </w:hyperlink>
    </w:p>
    <w:p w14:paraId="238AFAEF" w14:textId="58B66A03" w:rsidR="005E65E2" w:rsidRPr="001A2589" w:rsidRDefault="00A12E9B" w:rsidP="008841D7">
      <w:pPr>
        <w:spacing w:after="0" w:line="276" w:lineRule="auto"/>
        <w:rPr>
          <w:szCs w:val="22"/>
        </w:rPr>
      </w:pPr>
      <w:hyperlink r:id="rId13" w:history="1">
        <w:r w:rsidRPr="00A12E9B">
          <w:rPr>
            <w:rStyle w:val="Hyperlink"/>
            <w:szCs w:val="22"/>
          </w:rPr>
          <w:t xml:space="preserve">AI4RA </w:t>
        </w:r>
        <w:r w:rsidR="005E65E2" w:rsidRPr="00A12E9B">
          <w:rPr>
            <w:rStyle w:val="Hyperlink"/>
            <w:szCs w:val="22"/>
          </w:rPr>
          <w:t>Github Repo</w:t>
        </w:r>
      </w:hyperlink>
    </w:p>
    <w:p w14:paraId="25C979E5" w14:textId="10DDBB7B" w:rsidR="005E65E2" w:rsidRPr="00A12E9B" w:rsidRDefault="00A12E9B" w:rsidP="008841D7">
      <w:pPr>
        <w:spacing w:after="0" w:line="276" w:lineRule="auto"/>
        <w:rPr>
          <w:rStyle w:val="Hyperlink"/>
          <w:szCs w:val="22"/>
        </w:rPr>
      </w:pPr>
      <w:r>
        <w:rPr>
          <w:szCs w:val="22"/>
        </w:rPr>
        <w:fldChar w:fldCharType="begin"/>
      </w:r>
      <w:r>
        <w:rPr>
          <w:szCs w:val="22"/>
        </w:rPr>
        <w:instrText>HYPERLINK "https://www.anthropic.com/news/model-context-protocol"</w:instrText>
      </w:r>
      <w:r>
        <w:rPr>
          <w:szCs w:val="22"/>
        </w:rPr>
      </w:r>
      <w:r>
        <w:rPr>
          <w:szCs w:val="22"/>
        </w:rPr>
        <w:fldChar w:fldCharType="separate"/>
      </w:r>
      <w:r w:rsidRPr="00A12E9B">
        <w:rPr>
          <w:rStyle w:val="Hyperlink"/>
          <w:szCs w:val="22"/>
        </w:rPr>
        <w:t xml:space="preserve">Anthropic </w:t>
      </w:r>
      <w:r w:rsidR="005E65E2" w:rsidRPr="00A12E9B">
        <w:rPr>
          <w:rStyle w:val="Hyperlink"/>
          <w:szCs w:val="22"/>
        </w:rPr>
        <w:t>Model Context Protocol</w:t>
      </w:r>
    </w:p>
    <w:p w14:paraId="3D55FC37" w14:textId="7D3F5665" w:rsidR="005E65E2" w:rsidRPr="001A2589" w:rsidRDefault="00A12E9B" w:rsidP="008841D7">
      <w:pPr>
        <w:spacing w:after="0" w:line="276" w:lineRule="auto"/>
        <w:rPr>
          <w:szCs w:val="22"/>
        </w:rPr>
      </w:pPr>
      <w:r>
        <w:rPr>
          <w:szCs w:val="22"/>
        </w:rPr>
        <w:fldChar w:fldCharType="end"/>
      </w:r>
    </w:p>
    <w:p w14:paraId="267B240F" w14:textId="5ECFE728" w:rsidR="00911A87" w:rsidRDefault="00911A87" w:rsidP="008841D7">
      <w:pPr>
        <w:spacing w:after="0" w:line="276" w:lineRule="auto"/>
        <w:rPr>
          <w:b/>
          <w:bCs/>
          <w:szCs w:val="22"/>
        </w:rPr>
      </w:pPr>
    </w:p>
    <w:sectPr w:rsidR="00911A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32406" w14:textId="77777777" w:rsidR="008007FA" w:rsidRDefault="008007FA" w:rsidP="00804C9A">
      <w:pPr>
        <w:spacing w:after="0" w:line="240" w:lineRule="auto"/>
      </w:pPr>
      <w:r>
        <w:separator/>
      </w:r>
    </w:p>
  </w:endnote>
  <w:endnote w:type="continuationSeparator" w:id="0">
    <w:p w14:paraId="024EBBB7" w14:textId="77777777" w:rsidR="008007FA" w:rsidRDefault="008007FA" w:rsidP="00804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C61E" w14:textId="77777777" w:rsidR="008007FA" w:rsidRDefault="008007FA" w:rsidP="00804C9A">
      <w:pPr>
        <w:spacing w:after="0" w:line="240" w:lineRule="auto"/>
      </w:pPr>
      <w:r>
        <w:separator/>
      </w:r>
    </w:p>
  </w:footnote>
  <w:footnote w:type="continuationSeparator" w:id="0">
    <w:p w14:paraId="462611C2" w14:textId="77777777" w:rsidR="008007FA" w:rsidRDefault="008007FA" w:rsidP="00804C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16C76"/>
    <w:multiLevelType w:val="hybridMultilevel"/>
    <w:tmpl w:val="5E404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803DD3"/>
    <w:multiLevelType w:val="hybridMultilevel"/>
    <w:tmpl w:val="FB48AE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B80CF3"/>
    <w:multiLevelType w:val="hybridMultilevel"/>
    <w:tmpl w:val="14126422"/>
    <w:lvl w:ilvl="0" w:tplc="FA147288">
      <w:start w:val="1"/>
      <w:numFmt w:val="bullet"/>
      <w:lvlText w:val="•"/>
      <w:lvlJc w:val="left"/>
      <w:pPr>
        <w:tabs>
          <w:tab w:val="num" w:pos="720"/>
        </w:tabs>
        <w:ind w:left="720" w:hanging="360"/>
      </w:pPr>
      <w:rPr>
        <w:rFonts w:ascii="Arial" w:hAnsi="Arial" w:hint="default"/>
      </w:rPr>
    </w:lvl>
    <w:lvl w:ilvl="1" w:tplc="2CC01782" w:tentative="1">
      <w:start w:val="1"/>
      <w:numFmt w:val="bullet"/>
      <w:lvlText w:val="•"/>
      <w:lvlJc w:val="left"/>
      <w:pPr>
        <w:tabs>
          <w:tab w:val="num" w:pos="1440"/>
        </w:tabs>
        <w:ind w:left="1440" w:hanging="360"/>
      </w:pPr>
      <w:rPr>
        <w:rFonts w:ascii="Arial" w:hAnsi="Arial" w:hint="default"/>
      </w:rPr>
    </w:lvl>
    <w:lvl w:ilvl="2" w:tplc="20C80BBA" w:tentative="1">
      <w:start w:val="1"/>
      <w:numFmt w:val="bullet"/>
      <w:lvlText w:val="•"/>
      <w:lvlJc w:val="left"/>
      <w:pPr>
        <w:tabs>
          <w:tab w:val="num" w:pos="2160"/>
        </w:tabs>
        <w:ind w:left="2160" w:hanging="360"/>
      </w:pPr>
      <w:rPr>
        <w:rFonts w:ascii="Arial" w:hAnsi="Arial" w:hint="default"/>
      </w:rPr>
    </w:lvl>
    <w:lvl w:ilvl="3" w:tplc="1B3C49B0" w:tentative="1">
      <w:start w:val="1"/>
      <w:numFmt w:val="bullet"/>
      <w:lvlText w:val="•"/>
      <w:lvlJc w:val="left"/>
      <w:pPr>
        <w:tabs>
          <w:tab w:val="num" w:pos="2880"/>
        </w:tabs>
        <w:ind w:left="2880" w:hanging="360"/>
      </w:pPr>
      <w:rPr>
        <w:rFonts w:ascii="Arial" w:hAnsi="Arial" w:hint="default"/>
      </w:rPr>
    </w:lvl>
    <w:lvl w:ilvl="4" w:tplc="3C5CF178" w:tentative="1">
      <w:start w:val="1"/>
      <w:numFmt w:val="bullet"/>
      <w:lvlText w:val="•"/>
      <w:lvlJc w:val="left"/>
      <w:pPr>
        <w:tabs>
          <w:tab w:val="num" w:pos="3600"/>
        </w:tabs>
        <w:ind w:left="3600" w:hanging="360"/>
      </w:pPr>
      <w:rPr>
        <w:rFonts w:ascii="Arial" w:hAnsi="Arial" w:hint="default"/>
      </w:rPr>
    </w:lvl>
    <w:lvl w:ilvl="5" w:tplc="29448010" w:tentative="1">
      <w:start w:val="1"/>
      <w:numFmt w:val="bullet"/>
      <w:lvlText w:val="•"/>
      <w:lvlJc w:val="left"/>
      <w:pPr>
        <w:tabs>
          <w:tab w:val="num" w:pos="4320"/>
        </w:tabs>
        <w:ind w:left="4320" w:hanging="360"/>
      </w:pPr>
      <w:rPr>
        <w:rFonts w:ascii="Arial" w:hAnsi="Arial" w:hint="default"/>
      </w:rPr>
    </w:lvl>
    <w:lvl w:ilvl="6" w:tplc="5FD6233C" w:tentative="1">
      <w:start w:val="1"/>
      <w:numFmt w:val="bullet"/>
      <w:lvlText w:val="•"/>
      <w:lvlJc w:val="left"/>
      <w:pPr>
        <w:tabs>
          <w:tab w:val="num" w:pos="5040"/>
        </w:tabs>
        <w:ind w:left="5040" w:hanging="360"/>
      </w:pPr>
      <w:rPr>
        <w:rFonts w:ascii="Arial" w:hAnsi="Arial" w:hint="default"/>
      </w:rPr>
    </w:lvl>
    <w:lvl w:ilvl="7" w:tplc="204EACD2" w:tentative="1">
      <w:start w:val="1"/>
      <w:numFmt w:val="bullet"/>
      <w:lvlText w:val="•"/>
      <w:lvlJc w:val="left"/>
      <w:pPr>
        <w:tabs>
          <w:tab w:val="num" w:pos="5760"/>
        </w:tabs>
        <w:ind w:left="5760" w:hanging="360"/>
      </w:pPr>
      <w:rPr>
        <w:rFonts w:ascii="Arial" w:hAnsi="Arial" w:hint="default"/>
      </w:rPr>
    </w:lvl>
    <w:lvl w:ilvl="8" w:tplc="9B3004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4B7F8E"/>
    <w:multiLevelType w:val="hybridMultilevel"/>
    <w:tmpl w:val="886ABB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5764EA"/>
    <w:multiLevelType w:val="multilevel"/>
    <w:tmpl w:val="4A24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9E6917"/>
    <w:multiLevelType w:val="hybridMultilevel"/>
    <w:tmpl w:val="E2F0CFAC"/>
    <w:lvl w:ilvl="0" w:tplc="B21C4A06">
      <w:start w:val="1"/>
      <w:numFmt w:val="bullet"/>
      <w:lvlText w:val="•"/>
      <w:lvlJc w:val="left"/>
      <w:pPr>
        <w:tabs>
          <w:tab w:val="num" w:pos="720"/>
        </w:tabs>
        <w:ind w:left="720" w:hanging="360"/>
      </w:pPr>
      <w:rPr>
        <w:rFonts w:ascii="Arial" w:hAnsi="Arial" w:hint="default"/>
      </w:rPr>
    </w:lvl>
    <w:lvl w:ilvl="1" w:tplc="1D58426A" w:tentative="1">
      <w:start w:val="1"/>
      <w:numFmt w:val="bullet"/>
      <w:lvlText w:val="•"/>
      <w:lvlJc w:val="left"/>
      <w:pPr>
        <w:tabs>
          <w:tab w:val="num" w:pos="1440"/>
        </w:tabs>
        <w:ind w:left="1440" w:hanging="360"/>
      </w:pPr>
      <w:rPr>
        <w:rFonts w:ascii="Arial" w:hAnsi="Arial" w:hint="default"/>
      </w:rPr>
    </w:lvl>
    <w:lvl w:ilvl="2" w:tplc="6D2CC978" w:tentative="1">
      <w:start w:val="1"/>
      <w:numFmt w:val="bullet"/>
      <w:lvlText w:val="•"/>
      <w:lvlJc w:val="left"/>
      <w:pPr>
        <w:tabs>
          <w:tab w:val="num" w:pos="2160"/>
        </w:tabs>
        <w:ind w:left="2160" w:hanging="360"/>
      </w:pPr>
      <w:rPr>
        <w:rFonts w:ascii="Arial" w:hAnsi="Arial" w:hint="default"/>
      </w:rPr>
    </w:lvl>
    <w:lvl w:ilvl="3" w:tplc="A3020D9E" w:tentative="1">
      <w:start w:val="1"/>
      <w:numFmt w:val="bullet"/>
      <w:lvlText w:val="•"/>
      <w:lvlJc w:val="left"/>
      <w:pPr>
        <w:tabs>
          <w:tab w:val="num" w:pos="2880"/>
        </w:tabs>
        <w:ind w:left="2880" w:hanging="360"/>
      </w:pPr>
      <w:rPr>
        <w:rFonts w:ascii="Arial" w:hAnsi="Arial" w:hint="default"/>
      </w:rPr>
    </w:lvl>
    <w:lvl w:ilvl="4" w:tplc="EB6C43E2" w:tentative="1">
      <w:start w:val="1"/>
      <w:numFmt w:val="bullet"/>
      <w:lvlText w:val="•"/>
      <w:lvlJc w:val="left"/>
      <w:pPr>
        <w:tabs>
          <w:tab w:val="num" w:pos="3600"/>
        </w:tabs>
        <w:ind w:left="3600" w:hanging="360"/>
      </w:pPr>
      <w:rPr>
        <w:rFonts w:ascii="Arial" w:hAnsi="Arial" w:hint="default"/>
      </w:rPr>
    </w:lvl>
    <w:lvl w:ilvl="5" w:tplc="B7107192" w:tentative="1">
      <w:start w:val="1"/>
      <w:numFmt w:val="bullet"/>
      <w:lvlText w:val="•"/>
      <w:lvlJc w:val="left"/>
      <w:pPr>
        <w:tabs>
          <w:tab w:val="num" w:pos="4320"/>
        </w:tabs>
        <w:ind w:left="4320" w:hanging="360"/>
      </w:pPr>
      <w:rPr>
        <w:rFonts w:ascii="Arial" w:hAnsi="Arial" w:hint="default"/>
      </w:rPr>
    </w:lvl>
    <w:lvl w:ilvl="6" w:tplc="7D0CA7EC" w:tentative="1">
      <w:start w:val="1"/>
      <w:numFmt w:val="bullet"/>
      <w:lvlText w:val="•"/>
      <w:lvlJc w:val="left"/>
      <w:pPr>
        <w:tabs>
          <w:tab w:val="num" w:pos="5040"/>
        </w:tabs>
        <w:ind w:left="5040" w:hanging="360"/>
      </w:pPr>
      <w:rPr>
        <w:rFonts w:ascii="Arial" w:hAnsi="Arial" w:hint="default"/>
      </w:rPr>
    </w:lvl>
    <w:lvl w:ilvl="7" w:tplc="990C090E" w:tentative="1">
      <w:start w:val="1"/>
      <w:numFmt w:val="bullet"/>
      <w:lvlText w:val="•"/>
      <w:lvlJc w:val="left"/>
      <w:pPr>
        <w:tabs>
          <w:tab w:val="num" w:pos="5760"/>
        </w:tabs>
        <w:ind w:left="5760" w:hanging="360"/>
      </w:pPr>
      <w:rPr>
        <w:rFonts w:ascii="Arial" w:hAnsi="Arial" w:hint="default"/>
      </w:rPr>
    </w:lvl>
    <w:lvl w:ilvl="8" w:tplc="B9BE2AC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77DE41BB"/>
    <w:multiLevelType w:val="hybridMultilevel"/>
    <w:tmpl w:val="B1242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3551427">
    <w:abstractNumId w:val="3"/>
  </w:num>
  <w:num w:numId="2" w16cid:durableId="1089885267">
    <w:abstractNumId w:val="1"/>
  </w:num>
  <w:num w:numId="3" w16cid:durableId="1845628137">
    <w:abstractNumId w:val="2"/>
  </w:num>
  <w:num w:numId="4" w16cid:durableId="1855724977">
    <w:abstractNumId w:val="5"/>
  </w:num>
  <w:num w:numId="5" w16cid:durableId="1732344313">
    <w:abstractNumId w:val="0"/>
  </w:num>
  <w:num w:numId="6" w16cid:durableId="179048114">
    <w:abstractNumId w:val="6"/>
  </w:num>
  <w:num w:numId="7" w16cid:durableId="18491006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4E2"/>
    <w:rsid w:val="00012618"/>
    <w:rsid w:val="00014481"/>
    <w:rsid w:val="000477E6"/>
    <w:rsid w:val="00060856"/>
    <w:rsid w:val="00066E08"/>
    <w:rsid w:val="00083237"/>
    <w:rsid w:val="00083A8E"/>
    <w:rsid w:val="000A0A81"/>
    <w:rsid w:val="000D48E0"/>
    <w:rsid w:val="000E02F3"/>
    <w:rsid w:val="00142887"/>
    <w:rsid w:val="00143780"/>
    <w:rsid w:val="00145FC3"/>
    <w:rsid w:val="00172048"/>
    <w:rsid w:val="001A2589"/>
    <w:rsid w:val="001A3B45"/>
    <w:rsid w:val="001C67E2"/>
    <w:rsid w:val="00204147"/>
    <w:rsid w:val="00214933"/>
    <w:rsid w:val="002168DF"/>
    <w:rsid w:val="0022575C"/>
    <w:rsid w:val="002352F1"/>
    <w:rsid w:val="002A120C"/>
    <w:rsid w:val="002B5575"/>
    <w:rsid w:val="002C5BB3"/>
    <w:rsid w:val="002D4AC9"/>
    <w:rsid w:val="002D5077"/>
    <w:rsid w:val="002E10F6"/>
    <w:rsid w:val="002E2F52"/>
    <w:rsid w:val="00311828"/>
    <w:rsid w:val="0031549B"/>
    <w:rsid w:val="00331F7A"/>
    <w:rsid w:val="0034058D"/>
    <w:rsid w:val="00343BCA"/>
    <w:rsid w:val="003469E2"/>
    <w:rsid w:val="00354E0A"/>
    <w:rsid w:val="00383033"/>
    <w:rsid w:val="00383E06"/>
    <w:rsid w:val="003A2719"/>
    <w:rsid w:val="003A2BC2"/>
    <w:rsid w:val="003C7746"/>
    <w:rsid w:val="003E2D58"/>
    <w:rsid w:val="003E7EB7"/>
    <w:rsid w:val="00436026"/>
    <w:rsid w:val="00443A1B"/>
    <w:rsid w:val="00464478"/>
    <w:rsid w:val="00467336"/>
    <w:rsid w:val="0049001A"/>
    <w:rsid w:val="004945D0"/>
    <w:rsid w:val="004A5F25"/>
    <w:rsid w:val="004B0B5A"/>
    <w:rsid w:val="004C7966"/>
    <w:rsid w:val="004D553A"/>
    <w:rsid w:val="004F1FFA"/>
    <w:rsid w:val="00501092"/>
    <w:rsid w:val="00536AF7"/>
    <w:rsid w:val="0054059A"/>
    <w:rsid w:val="00540AED"/>
    <w:rsid w:val="00544EBF"/>
    <w:rsid w:val="00555BDD"/>
    <w:rsid w:val="005564D2"/>
    <w:rsid w:val="00562C7F"/>
    <w:rsid w:val="005639A6"/>
    <w:rsid w:val="005A7550"/>
    <w:rsid w:val="005B6F2E"/>
    <w:rsid w:val="005D1806"/>
    <w:rsid w:val="005D4EC4"/>
    <w:rsid w:val="005E2111"/>
    <w:rsid w:val="005E25DC"/>
    <w:rsid w:val="005E65E2"/>
    <w:rsid w:val="00602097"/>
    <w:rsid w:val="00604837"/>
    <w:rsid w:val="0060510F"/>
    <w:rsid w:val="006157FB"/>
    <w:rsid w:val="00615F1B"/>
    <w:rsid w:val="00620AAB"/>
    <w:rsid w:val="00635179"/>
    <w:rsid w:val="00635B32"/>
    <w:rsid w:val="006414E5"/>
    <w:rsid w:val="006431F6"/>
    <w:rsid w:val="00653A50"/>
    <w:rsid w:val="00662D56"/>
    <w:rsid w:val="006652A6"/>
    <w:rsid w:val="00665C6E"/>
    <w:rsid w:val="0066680D"/>
    <w:rsid w:val="006A2464"/>
    <w:rsid w:val="006B1767"/>
    <w:rsid w:val="006B7945"/>
    <w:rsid w:val="006C06D7"/>
    <w:rsid w:val="006C4D3C"/>
    <w:rsid w:val="006C5D92"/>
    <w:rsid w:val="006D1674"/>
    <w:rsid w:val="006E377E"/>
    <w:rsid w:val="00702505"/>
    <w:rsid w:val="00705273"/>
    <w:rsid w:val="0072322A"/>
    <w:rsid w:val="00730D5B"/>
    <w:rsid w:val="00731827"/>
    <w:rsid w:val="0074723E"/>
    <w:rsid w:val="00750AD7"/>
    <w:rsid w:val="0075586B"/>
    <w:rsid w:val="00770734"/>
    <w:rsid w:val="00781A26"/>
    <w:rsid w:val="007859B9"/>
    <w:rsid w:val="007874BC"/>
    <w:rsid w:val="007959C4"/>
    <w:rsid w:val="007A2D17"/>
    <w:rsid w:val="007C5C96"/>
    <w:rsid w:val="007D3298"/>
    <w:rsid w:val="007D38F9"/>
    <w:rsid w:val="007E6657"/>
    <w:rsid w:val="007F0247"/>
    <w:rsid w:val="007F2487"/>
    <w:rsid w:val="008007FA"/>
    <w:rsid w:val="00804C9A"/>
    <w:rsid w:val="00820675"/>
    <w:rsid w:val="00852782"/>
    <w:rsid w:val="008531C5"/>
    <w:rsid w:val="00854963"/>
    <w:rsid w:val="008618D1"/>
    <w:rsid w:val="00873546"/>
    <w:rsid w:val="00875D98"/>
    <w:rsid w:val="008841D7"/>
    <w:rsid w:val="008861CC"/>
    <w:rsid w:val="00886869"/>
    <w:rsid w:val="0088782E"/>
    <w:rsid w:val="008A224F"/>
    <w:rsid w:val="008A609F"/>
    <w:rsid w:val="008C3F4A"/>
    <w:rsid w:val="008D133C"/>
    <w:rsid w:val="008D46CF"/>
    <w:rsid w:val="008E0AEC"/>
    <w:rsid w:val="008F087D"/>
    <w:rsid w:val="00911A87"/>
    <w:rsid w:val="00916DEA"/>
    <w:rsid w:val="0095180E"/>
    <w:rsid w:val="00967036"/>
    <w:rsid w:val="00974065"/>
    <w:rsid w:val="0098035B"/>
    <w:rsid w:val="009915F7"/>
    <w:rsid w:val="009974C4"/>
    <w:rsid w:val="009A5D64"/>
    <w:rsid w:val="009B0BB4"/>
    <w:rsid w:val="009B43EE"/>
    <w:rsid w:val="009C0FCE"/>
    <w:rsid w:val="009E6047"/>
    <w:rsid w:val="009F43B0"/>
    <w:rsid w:val="009F7007"/>
    <w:rsid w:val="00A12E9B"/>
    <w:rsid w:val="00A27EF4"/>
    <w:rsid w:val="00A32E47"/>
    <w:rsid w:val="00A50546"/>
    <w:rsid w:val="00A64462"/>
    <w:rsid w:val="00A661DD"/>
    <w:rsid w:val="00A83F2B"/>
    <w:rsid w:val="00A914BE"/>
    <w:rsid w:val="00A945F8"/>
    <w:rsid w:val="00A9725B"/>
    <w:rsid w:val="00AA27F8"/>
    <w:rsid w:val="00AB14C2"/>
    <w:rsid w:val="00AC707D"/>
    <w:rsid w:val="00AE4786"/>
    <w:rsid w:val="00AE4A12"/>
    <w:rsid w:val="00AE6DCB"/>
    <w:rsid w:val="00B23644"/>
    <w:rsid w:val="00B32810"/>
    <w:rsid w:val="00B4126B"/>
    <w:rsid w:val="00B55A85"/>
    <w:rsid w:val="00B56801"/>
    <w:rsid w:val="00B614EE"/>
    <w:rsid w:val="00B851AD"/>
    <w:rsid w:val="00BA5D82"/>
    <w:rsid w:val="00BB323C"/>
    <w:rsid w:val="00BB7357"/>
    <w:rsid w:val="00BD45FB"/>
    <w:rsid w:val="00BE662A"/>
    <w:rsid w:val="00BF2464"/>
    <w:rsid w:val="00C00B80"/>
    <w:rsid w:val="00C07138"/>
    <w:rsid w:val="00C33932"/>
    <w:rsid w:val="00C360F4"/>
    <w:rsid w:val="00C67B6F"/>
    <w:rsid w:val="00CA2AB5"/>
    <w:rsid w:val="00CA6947"/>
    <w:rsid w:val="00CC2DBA"/>
    <w:rsid w:val="00CE7959"/>
    <w:rsid w:val="00CF707B"/>
    <w:rsid w:val="00D02E77"/>
    <w:rsid w:val="00D12E6E"/>
    <w:rsid w:val="00D471D7"/>
    <w:rsid w:val="00D55E67"/>
    <w:rsid w:val="00D57B72"/>
    <w:rsid w:val="00D6674A"/>
    <w:rsid w:val="00D745C6"/>
    <w:rsid w:val="00DA0741"/>
    <w:rsid w:val="00DA1763"/>
    <w:rsid w:val="00DB1429"/>
    <w:rsid w:val="00DC65F3"/>
    <w:rsid w:val="00DD382E"/>
    <w:rsid w:val="00DE3161"/>
    <w:rsid w:val="00DE6B79"/>
    <w:rsid w:val="00E114E2"/>
    <w:rsid w:val="00E16F3C"/>
    <w:rsid w:val="00E21A53"/>
    <w:rsid w:val="00E2257B"/>
    <w:rsid w:val="00E37A5A"/>
    <w:rsid w:val="00E44F03"/>
    <w:rsid w:val="00E50B42"/>
    <w:rsid w:val="00E7250D"/>
    <w:rsid w:val="00F02033"/>
    <w:rsid w:val="00F105D0"/>
    <w:rsid w:val="00F174BF"/>
    <w:rsid w:val="00F36AB3"/>
    <w:rsid w:val="00F57609"/>
    <w:rsid w:val="00F57D62"/>
    <w:rsid w:val="00F63B22"/>
    <w:rsid w:val="00FA6F1B"/>
    <w:rsid w:val="00FC2CE7"/>
    <w:rsid w:val="00FD3CBA"/>
    <w:rsid w:val="00FE0C90"/>
    <w:rsid w:val="00FF25B9"/>
    <w:rsid w:val="00FF3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9BFD4"/>
  <w15:chartTrackingRefBased/>
  <w15:docId w15:val="{325BE199-43C0-4828-B21C-78206339A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3237"/>
    <w:rPr>
      <w:rFonts w:ascii="Cambria" w:hAnsi="Cambria"/>
      <w:sz w:val="21"/>
    </w:rPr>
  </w:style>
  <w:style w:type="paragraph" w:styleId="Heading1">
    <w:name w:val="heading 1"/>
    <w:basedOn w:val="Normal"/>
    <w:next w:val="Normal"/>
    <w:link w:val="Heading1Char"/>
    <w:uiPriority w:val="9"/>
    <w:qFormat/>
    <w:rsid w:val="001A2589"/>
    <w:pPr>
      <w:keepNext/>
      <w:keepLines/>
      <w:spacing w:before="360" w:after="80"/>
      <w:outlineLvl w:val="0"/>
    </w:pPr>
    <w:rPr>
      <w:rFonts w:eastAsiaTheme="majorEastAsia"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E11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2589"/>
    <w:pPr>
      <w:keepNext/>
      <w:keepLines/>
      <w:spacing w:before="160" w:after="80"/>
      <w:outlineLvl w:val="2"/>
    </w:pPr>
    <w:rPr>
      <w:rFonts w:eastAsiaTheme="majorEastAsia" w:cstheme="majorBidi"/>
      <w:b/>
      <w:i/>
      <w:color w:val="0F4761" w:themeColor="accent1" w:themeShade="BF"/>
      <w:szCs w:val="28"/>
    </w:rPr>
  </w:style>
  <w:style w:type="paragraph" w:styleId="Heading4">
    <w:name w:val="heading 4"/>
    <w:basedOn w:val="Normal"/>
    <w:next w:val="Normal"/>
    <w:link w:val="Heading4Char"/>
    <w:uiPriority w:val="9"/>
    <w:semiHidden/>
    <w:unhideWhenUsed/>
    <w:qFormat/>
    <w:rsid w:val="00E11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1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1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1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1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1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589"/>
    <w:rPr>
      <w:rFonts w:ascii="Cambria" w:eastAsiaTheme="majorEastAsia" w:hAnsi="Cambria" w:cstheme="majorBidi"/>
      <w:b/>
      <w:color w:val="0F4761" w:themeColor="accent1" w:themeShade="BF"/>
      <w:sz w:val="32"/>
      <w:szCs w:val="40"/>
    </w:rPr>
  </w:style>
  <w:style w:type="character" w:customStyle="1" w:styleId="Heading2Char">
    <w:name w:val="Heading 2 Char"/>
    <w:basedOn w:val="DefaultParagraphFont"/>
    <w:link w:val="Heading2"/>
    <w:uiPriority w:val="9"/>
    <w:rsid w:val="00E11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2589"/>
    <w:rPr>
      <w:rFonts w:ascii="Cambria" w:eastAsiaTheme="majorEastAsia" w:hAnsi="Cambria" w:cstheme="majorBidi"/>
      <w:b/>
      <w:i/>
      <w:color w:val="0F4761" w:themeColor="accent1" w:themeShade="BF"/>
      <w:szCs w:val="28"/>
    </w:rPr>
  </w:style>
  <w:style w:type="character" w:customStyle="1" w:styleId="Heading4Char">
    <w:name w:val="Heading 4 Char"/>
    <w:basedOn w:val="DefaultParagraphFont"/>
    <w:link w:val="Heading4"/>
    <w:uiPriority w:val="9"/>
    <w:semiHidden/>
    <w:rsid w:val="00E11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1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1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1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1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14E2"/>
    <w:rPr>
      <w:rFonts w:eastAsiaTheme="majorEastAsia" w:cstheme="majorBidi"/>
      <w:color w:val="272727" w:themeColor="text1" w:themeTint="D8"/>
    </w:rPr>
  </w:style>
  <w:style w:type="paragraph" w:styleId="Title">
    <w:name w:val="Title"/>
    <w:basedOn w:val="Normal"/>
    <w:next w:val="Normal"/>
    <w:link w:val="TitleChar"/>
    <w:uiPriority w:val="10"/>
    <w:qFormat/>
    <w:rsid w:val="00E11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1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1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1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14E2"/>
    <w:pPr>
      <w:spacing w:before="160"/>
      <w:jc w:val="center"/>
    </w:pPr>
    <w:rPr>
      <w:i/>
      <w:iCs/>
      <w:color w:val="404040" w:themeColor="text1" w:themeTint="BF"/>
    </w:rPr>
  </w:style>
  <w:style w:type="character" w:customStyle="1" w:styleId="QuoteChar">
    <w:name w:val="Quote Char"/>
    <w:basedOn w:val="DefaultParagraphFont"/>
    <w:link w:val="Quote"/>
    <w:uiPriority w:val="29"/>
    <w:rsid w:val="00E114E2"/>
    <w:rPr>
      <w:i/>
      <w:iCs/>
      <w:color w:val="404040" w:themeColor="text1" w:themeTint="BF"/>
    </w:rPr>
  </w:style>
  <w:style w:type="paragraph" w:styleId="ListParagraph">
    <w:name w:val="List Paragraph"/>
    <w:basedOn w:val="Normal"/>
    <w:uiPriority w:val="34"/>
    <w:qFormat/>
    <w:rsid w:val="00E114E2"/>
    <w:pPr>
      <w:ind w:left="720"/>
      <w:contextualSpacing/>
    </w:pPr>
  </w:style>
  <w:style w:type="character" w:styleId="IntenseEmphasis">
    <w:name w:val="Intense Emphasis"/>
    <w:basedOn w:val="DefaultParagraphFont"/>
    <w:uiPriority w:val="21"/>
    <w:qFormat/>
    <w:rsid w:val="00E114E2"/>
    <w:rPr>
      <w:i/>
      <w:iCs/>
      <w:color w:val="0F4761" w:themeColor="accent1" w:themeShade="BF"/>
    </w:rPr>
  </w:style>
  <w:style w:type="paragraph" w:styleId="IntenseQuote">
    <w:name w:val="Intense Quote"/>
    <w:basedOn w:val="Normal"/>
    <w:next w:val="Normal"/>
    <w:link w:val="IntenseQuoteChar"/>
    <w:uiPriority w:val="30"/>
    <w:qFormat/>
    <w:rsid w:val="00E11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14E2"/>
    <w:rPr>
      <w:i/>
      <w:iCs/>
      <w:color w:val="0F4761" w:themeColor="accent1" w:themeShade="BF"/>
    </w:rPr>
  </w:style>
  <w:style w:type="character" w:styleId="IntenseReference">
    <w:name w:val="Intense Reference"/>
    <w:basedOn w:val="DefaultParagraphFont"/>
    <w:uiPriority w:val="32"/>
    <w:qFormat/>
    <w:rsid w:val="00E114E2"/>
    <w:rPr>
      <w:b/>
      <w:bCs/>
      <w:smallCaps/>
      <w:color w:val="0F4761" w:themeColor="accent1" w:themeShade="BF"/>
      <w:spacing w:val="5"/>
    </w:rPr>
  </w:style>
  <w:style w:type="paragraph" w:styleId="Header">
    <w:name w:val="header"/>
    <w:basedOn w:val="Normal"/>
    <w:link w:val="HeaderChar"/>
    <w:uiPriority w:val="99"/>
    <w:unhideWhenUsed/>
    <w:rsid w:val="00804C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4C9A"/>
    <w:rPr>
      <w:rFonts w:ascii="Cambria" w:hAnsi="Cambria"/>
      <w:sz w:val="22"/>
    </w:rPr>
  </w:style>
  <w:style w:type="paragraph" w:styleId="Footer">
    <w:name w:val="footer"/>
    <w:basedOn w:val="Normal"/>
    <w:link w:val="FooterChar"/>
    <w:uiPriority w:val="99"/>
    <w:unhideWhenUsed/>
    <w:rsid w:val="00804C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4C9A"/>
    <w:rPr>
      <w:rFonts w:ascii="Cambria" w:hAnsi="Cambria"/>
      <w:sz w:val="22"/>
    </w:rPr>
  </w:style>
  <w:style w:type="character" w:styleId="Hyperlink">
    <w:name w:val="Hyperlink"/>
    <w:basedOn w:val="DefaultParagraphFont"/>
    <w:uiPriority w:val="99"/>
    <w:unhideWhenUsed/>
    <w:rsid w:val="00A12E9B"/>
    <w:rPr>
      <w:color w:val="467886" w:themeColor="hyperlink"/>
      <w:u w:val="single"/>
    </w:rPr>
  </w:style>
  <w:style w:type="character" w:styleId="UnresolvedMention">
    <w:name w:val="Unresolved Mention"/>
    <w:basedOn w:val="DefaultParagraphFont"/>
    <w:uiPriority w:val="99"/>
    <w:semiHidden/>
    <w:unhideWhenUsed/>
    <w:rsid w:val="00A12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github.com/AI4RA/mcp-ecf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ecfr.gov/developers/documentation/api/v1"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E0734887B3B2439F0D2D67135FE2AB" ma:contentTypeVersion="16" ma:contentTypeDescription="Create a new document." ma:contentTypeScope="" ma:versionID="b7c4dc93afc1eec97a2a644ca4d80c9d">
  <xsd:schema xmlns:xsd="http://www.w3.org/2001/XMLSchema" xmlns:xs="http://www.w3.org/2001/XMLSchema" xmlns:p="http://schemas.microsoft.com/office/2006/metadata/properties" xmlns:ns2="004c3409-79ee-4ab4-8556-fd8a78cf455c" xmlns:ns3="0356ad61-84fa-42b9-94d5-8c0c6db37a0b" targetNamespace="http://schemas.microsoft.com/office/2006/metadata/properties" ma:root="true" ma:fieldsID="91711a325a4e7fce05ee1500d28a8643" ns2:_="" ns3:_="">
    <xsd:import namespace="004c3409-79ee-4ab4-8556-fd8a78cf455c"/>
    <xsd:import namespace="0356ad61-84fa-42b9-94d5-8c0c6db37a0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LengthInSeconds" minOccurs="0"/>
                <xsd:element ref="ns2:Pers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4c3409-79ee-4ab4-8556-fd8a78cf45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e20e570-3a27-4eff-9ea0-d3488a33fbf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Person" ma:index="21" nillable="true" ma:displayName="Person" ma:format="Dropdown" ma:list="UserInfo" ma:SharePointGroup="0" ma:internalName="Perso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56ad61-84fa-42b9-94d5-8c0c6db37a0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e1231b-146b-4cf5-9b63-91c752ff122c}" ma:internalName="TaxCatchAll" ma:showField="CatchAllData" ma:web="0356ad61-84fa-42b9-94d5-8c0c6db37a0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04c3409-79ee-4ab4-8556-fd8a78cf455c">
      <Terms xmlns="http://schemas.microsoft.com/office/infopath/2007/PartnerControls"/>
    </lcf76f155ced4ddcb4097134ff3c332f>
    <Person xmlns="004c3409-79ee-4ab4-8556-fd8a78cf455c">
      <UserInfo>
        <DisplayName/>
        <AccountId xsi:nil="true"/>
        <AccountType/>
      </UserInfo>
    </Person>
    <TaxCatchAll xmlns="0356ad61-84fa-42b9-94d5-8c0c6db37a0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563387-DDA2-43C3-950B-78E20B944F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04c3409-79ee-4ab4-8556-fd8a78cf455c"/>
    <ds:schemaRef ds:uri="0356ad61-84fa-42b9-94d5-8c0c6db37a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258FFB-6D15-4E5F-ADDE-420F1844F9CF}">
  <ds:schemaRefs>
    <ds:schemaRef ds:uri="http://schemas.microsoft.com/office/2006/metadata/properties"/>
    <ds:schemaRef ds:uri="http://schemas.microsoft.com/office/infopath/2007/PartnerControls"/>
    <ds:schemaRef ds:uri="004c3409-79ee-4ab4-8556-fd8a78cf455c"/>
    <ds:schemaRef ds:uri="0356ad61-84fa-42b9-94d5-8c0c6db37a0b"/>
  </ds:schemaRefs>
</ds:datastoreItem>
</file>

<file path=customXml/itemProps3.xml><?xml version="1.0" encoding="utf-8"?>
<ds:datastoreItem xmlns:ds="http://schemas.openxmlformats.org/officeDocument/2006/customXml" ds:itemID="{92B9D8E5-93A7-4897-901C-4E025F3128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3</Pages>
  <Words>723</Words>
  <Characters>4123</Characters>
  <Application>Microsoft Office Word</Application>
  <DocSecurity>0</DocSecurity>
  <Lines>34</Lines>
  <Paragraphs>9</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 Sabrina</dc:creator>
  <cp:keywords/>
  <dc:description/>
  <cp:lastModifiedBy>Woo, Sabrina (swoo@uidaho.edu)</cp:lastModifiedBy>
  <cp:revision>250</cp:revision>
  <dcterms:created xsi:type="dcterms:W3CDTF">2026-05-08T14:35:00Z</dcterms:created>
  <dcterms:modified xsi:type="dcterms:W3CDTF">2026-05-12T04:23:00Z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0x01010008E0734887B3B2439F0D2D67135FE2AB</vt:lpwstr>
  </property>
  <property fmtid="{D5CDD505-2E9C-101B-9397-08002B2CF9AE}" pid="3" name="MediaServiceImageTags">
    <vt:lpwstr/>
  </property>
</Properties>
</file>