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
    </w:p>
    <w:p>
      <w:pPr>
        <w:pStyle w:val="Normal"/>
        <w:jc w:val="center"/>
        <w:rPr/>
      </w:pPr>
      <w:r>
        <w:rPr>
          <w:b/>
          <w:bCs/>
          <w:color w:val="B91C1C"/>
          <w:sz w:val="40"/>
          <w:szCs w:val="40"/>
        </w:rPr>
        <w:t>INFORME DE ANÁLISIS DE AMENAZAS</w:t>
      </w:r>
    </w:p>
    <w:p>
      <w:pPr>
        <w:pStyle w:val="Normal"/>
        <w:spacing w:before="0" w:after="300"/>
        <w:jc w:val="center"/>
        <w:rPr/>
      </w:pPr>
      <w:r>
        <w:rPr>
          <w:b/>
          <w:bCs/>
          <w:color w:val="B91C1C"/>
          <w:sz w:val="40"/>
          <w:szCs w:val="40"/>
        </w:rPr>
        <w:t>Y EVALUACIÓN DE RIESGO DE CIBERSEGURIDAD</w:t>
      </w:r>
    </w:p>
    <w:p>
      <w:pPr>
        <w:pStyle w:val="Normal"/>
        <w:spacing w:before="0" w:after="800"/>
        <w:jc w:val="center"/>
        <w:rPr/>
      </w:pPr>
      <w:r>
        <w:rPr>
          <w:i/>
          <w:iCs/>
          <w:color w:val="6B7280"/>
          <w:sz w:val="24"/>
          <w:szCs w:val="24"/>
        </w:rPr>
        <w:t>Caso de estudio: equipo personal con Windows 7 fuera de soporte</w:t>
      </w:r>
    </w:p>
    <w:p>
      <w:pPr>
        <w:pStyle w:val="Normal"/>
        <w:jc w:val="center"/>
        <w:rPr/>
      </w:pPr>
      <w:r>
        <w:rPr>
          <w:color w:val="6B7280"/>
          <w:sz w:val="20"/>
          <w:szCs w:val="20"/>
        </w:rPr>
        <w:t>Elaborado en el marco de IBM SkillsBuild – Cybersecurity Fundamentals</w:t>
      </w:r>
    </w:p>
    <w:p>
      <w:pPr>
        <w:pStyle w:val="Normal"/>
        <w:spacing w:before="0" w:after="100"/>
        <w:jc w:val="center"/>
        <w:rPr/>
      </w:pPr>
      <w:r>
        <w:rPr>
          <w:color w:val="6B7280"/>
          <w:sz w:val="20"/>
          <w:szCs w:val="20"/>
        </w:rPr>
        <w:t>Fecha: 24 de agosto de 2026</w:t>
      </w:r>
    </w:p>
    <w:p>
      <w:pPr>
        <w:pStyle w:val="Normal"/>
        <w:jc w:val="center"/>
        <w:rPr/>
      </w:pPr>
      <w:r>
        <w:rPr>
          <w:color w:val="6B7280"/>
          <w:sz w:val="20"/>
          <w:szCs w:val="20"/>
        </w:rPr>
        <w:t xml:space="preserve">Autor: </w:t>
      </w:r>
      <w:r>
        <w:rPr>
          <w:color w:val="6B7280"/>
          <w:sz w:val="20"/>
          <w:szCs w:val="20"/>
        </w:rPr>
        <w:t>Sabrina V. Galletti Gonzalez</w:t>
      </w:r>
    </w:p>
    <w:p>
      <w:pPr>
        <w:pStyle w:val="Normal"/>
        <w:rPr/>
      </w:pPr>
      <w:r>
        <w:rPr/>
      </w:r>
      <w:r>
        <w:br w:type="page"/>
      </w:r>
    </w:p>
    <w:p>
      <w:pPr>
        <w:pStyle w:val="Heading1"/>
        <w:spacing w:before="0" w:after="200"/>
        <w:rPr/>
      </w:pPr>
      <w:r>
        <w:rPr/>
        <w:t>1. Resumen Ejecutivo</w:t>
      </w:r>
    </w:p>
    <w:p>
      <w:pPr>
        <w:pStyle w:val="Normal"/>
        <w:spacing w:before="0" w:after="160"/>
        <w:jc w:val="both"/>
        <w:rPr/>
      </w:pPr>
      <w:r>
        <w:rPr/>
        <w:t>Durante una revisión de seguridad realizada sobre una notebook personal de 11 años de antigüedad, con sistema operativo Windows 7 (fuera de soporte extendido desde el 14 de enero de 2020) y sin solución antivirus activa ni capacidad de actualización, se ejecutó un análisis completo utilizando la herramienta Malwarebytes. El escaneo detectó y puso en cuarentena 17 archivos maliciosos o potencialmente no deseados, siendo la familia predominante HackTool.AutoKMS.</w:t>
      </w:r>
    </w:p>
    <w:p>
      <w:pPr>
        <w:pStyle w:val="Normal"/>
        <w:spacing w:before="0" w:after="160"/>
        <w:jc w:val="both"/>
        <w:rPr/>
      </w:pPr>
      <w:r>
        <w:rPr/>
        <w:t>Este informe documenta el proceso de detección, clasifica la naturaleza de las amenazas encontradas, calcula el nivel de riesgo al que estuvo expuesto el equipo mientras operó sin protección, y establece un plan de remediación. El objetivo es aplicar de forma práctica los conceptos adquiridos en el curso Cybersecurity Fundamentals y la insignia Getting Started With Cybersecurity de IBM SkillsBuild.</w:t>
      </w:r>
    </w:p>
    <w:p>
      <w:pPr>
        <w:pStyle w:val="Normal"/>
        <w:spacing w:before="0" w:after="160"/>
        <w:jc w:val="both"/>
        <w:rPr/>
      </w:pPr>
      <w:r>
        <w:rPr>
          <w:b w:val="false"/>
          <w:bCs w:val="false"/>
        </w:rPr>
        <w:t>Conclusión principal: el nivel de riesgo agregado del equipo, antes de la intervención, se clasifica como ALTO A CRÍTICO, debido a la combinación de un sistema operativo sin parches de seguridad, ausencia de antivirus funcional y evidencia de instalación de herramientas de activación ilegal (vector de entrada habitual para malware adicional).</w:t>
      </w:r>
    </w:p>
    <w:p>
      <w:pPr>
        <w:pStyle w:val="Heading1"/>
        <w:spacing w:before="400" w:after="200"/>
        <w:rPr/>
      </w:pPr>
      <w:r>
        <w:rPr/>
        <w:t>2. Contexto y Alcance</w:t>
      </w:r>
    </w:p>
    <w:p>
      <w:pPr>
        <w:pStyle w:val="ListParagraph"/>
        <w:numPr>
          <w:ilvl w:val="0"/>
          <w:numId w:val="3"/>
        </w:numPr>
        <w:spacing w:before="0" w:after="80"/>
        <w:rPr/>
      </w:pPr>
      <w:r>
        <w:rPr>
          <w:b w:val="false"/>
          <w:bCs w:val="false"/>
        </w:rPr>
        <w:t>Equipo analizado: notebook personal, aproximadamente 11 años de uso.</w:t>
      </w:r>
    </w:p>
    <w:p>
      <w:pPr>
        <w:pStyle w:val="ListParagraph"/>
        <w:numPr>
          <w:ilvl w:val="0"/>
          <w:numId w:val="1"/>
        </w:numPr>
        <w:spacing w:before="0" w:after="80"/>
        <w:rPr/>
      </w:pPr>
      <w:r>
        <w:rPr>
          <w:b w:val="false"/>
          <w:bCs w:val="false"/>
        </w:rPr>
        <w:t>Sistema operativo: Windows 7 (sin soporte extendido de Microsoft ni actualizaciones de seguridad).</w:t>
      </w:r>
    </w:p>
    <w:p>
      <w:pPr>
        <w:pStyle w:val="ListParagraph"/>
        <w:numPr>
          <w:ilvl w:val="0"/>
          <w:numId w:val="1"/>
        </w:numPr>
        <w:spacing w:before="0" w:after="80"/>
        <w:rPr/>
      </w:pPr>
      <w:r>
        <w:rPr>
          <w:b w:val="false"/>
          <w:bCs w:val="false"/>
        </w:rPr>
        <w:t>Protección previa: sin antivirus activo o con antivirus caducado, sin capacidad de actualización de firmas.</w:t>
      </w:r>
    </w:p>
    <w:p>
      <w:pPr>
        <w:pStyle w:val="ListParagraph"/>
        <w:numPr>
          <w:ilvl w:val="0"/>
          <w:numId w:val="1"/>
        </w:numPr>
        <w:spacing w:before="0" w:after="80"/>
        <w:rPr/>
      </w:pPr>
      <w:r>
        <w:rPr>
          <w:b w:val="false"/>
          <w:bCs w:val="false"/>
        </w:rPr>
        <w:t>Herramienta de análisis: Malwarebytes (versión gratuita / escaneo bajo demanda).</w:t>
      </w:r>
    </w:p>
    <w:p>
      <w:pPr>
        <w:pStyle w:val="ListParagraph"/>
        <w:numPr>
          <w:ilvl w:val="0"/>
          <w:numId w:val="1"/>
        </w:numPr>
        <w:spacing w:before="0" w:after="80"/>
        <w:rPr/>
      </w:pPr>
      <w:r>
        <w:rPr>
          <w:b w:val="false"/>
          <w:bCs w:val="false"/>
        </w:rPr>
        <w:t>Alcance del informe: análisis post-detección, clasificación de amenazas, cálculo de riesgo y recomendaciones de remediación. No incluye análisis forense de red ni recuperación de datos exfiltrados.</w:t>
      </w:r>
    </w:p>
    <w:p>
      <w:pPr>
        <w:pStyle w:val="Heading1"/>
        <w:spacing w:before="400" w:after="200"/>
        <w:rPr/>
      </w:pPr>
      <w:r>
        <w:rPr/>
        <w:t>3. Metodología</w:t>
      </w:r>
    </w:p>
    <w:p>
      <w:pPr>
        <w:pStyle w:val="Normal"/>
        <w:spacing w:before="0" w:after="160"/>
        <w:jc w:val="both"/>
        <w:rPr/>
      </w:pPr>
      <w:r>
        <w:rPr/>
        <w:t>El análisis siguió una adaptación simplificada de un proceso de gestión de riesgos alineado a marcos de referencia como NIST SP 800-30 e ISO/IEC 27005, aplicado a escala personal:</w:t>
      </w:r>
    </w:p>
    <w:p>
      <w:pPr>
        <w:pStyle w:val="ListParagraph"/>
        <w:numPr>
          <w:ilvl w:val="0"/>
          <w:numId w:val="1"/>
        </w:numPr>
        <w:spacing w:before="0" w:after="80"/>
        <w:rPr/>
      </w:pPr>
      <w:r>
        <w:rPr>
          <w:b w:val="false"/>
          <w:bCs w:val="false"/>
        </w:rPr>
        <w:t>1. Identificación de activos: la notebook, sus datos personales, credenciales almacenadas en navegadores y su conectividad a internet.</w:t>
      </w:r>
    </w:p>
    <w:p>
      <w:pPr>
        <w:pStyle w:val="ListParagraph"/>
        <w:numPr>
          <w:ilvl w:val="0"/>
          <w:numId w:val="1"/>
        </w:numPr>
        <w:spacing w:before="0" w:after="80"/>
        <w:rPr/>
      </w:pPr>
      <w:r>
        <w:rPr>
          <w:b w:val="false"/>
          <w:bCs w:val="false"/>
        </w:rPr>
        <w:t>2. Identificación de amenazas: ejecución de escaneo completo con Malwarebytes.</w:t>
      </w:r>
    </w:p>
    <w:p>
      <w:pPr>
        <w:pStyle w:val="ListParagraph"/>
        <w:numPr>
          <w:ilvl w:val="0"/>
          <w:numId w:val="1"/>
        </w:numPr>
        <w:spacing w:before="0" w:after="80"/>
        <w:rPr/>
      </w:pPr>
      <w:r>
        <w:rPr>
          <w:b w:val="false"/>
          <w:bCs w:val="false"/>
        </w:rPr>
        <w:t>3. Clasificación: revisión del tipo de detección (HackTool, Trojan, PUP, Adware, etc.) según la taxonomía del propio motor de detección.</w:t>
      </w:r>
    </w:p>
    <w:p>
      <w:pPr>
        <w:pStyle w:val="ListParagraph"/>
        <w:numPr>
          <w:ilvl w:val="0"/>
          <w:numId w:val="1"/>
        </w:numPr>
        <w:spacing w:before="0" w:after="80"/>
        <w:rPr/>
      </w:pPr>
      <w:r>
        <w:rPr>
          <w:b w:val="false"/>
          <w:bCs w:val="false"/>
        </w:rPr>
        <w:t>4. Análisis de riesgo: cálculo cualitativo y cuantitativo mediante la fórmula Riesgo = Probabilidad × Impacto.</w:t>
      </w:r>
    </w:p>
    <w:p>
      <w:pPr>
        <w:pStyle w:val="ListParagraph"/>
        <w:numPr>
          <w:ilvl w:val="0"/>
          <w:numId w:val="1"/>
        </w:numPr>
        <w:spacing w:before="0" w:after="80"/>
        <w:rPr/>
      </w:pPr>
      <w:r>
        <w:rPr>
          <w:b w:val="false"/>
          <w:bCs w:val="false"/>
        </w:rPr>
        <w:t>5. Remediación: cuarentena/eliminación de archivos, y definición de un plan de hardening del equipo.</w:t>
      </w:r>
    </w:p>
    <w:p>
      <w:pPr>
        <w:pStyle w:val="Heading1"/>
        <w:spacing w:before="400" w:after="200"/>
        <w:rPr/>
      </w:pPr>
      <w:r>
        <w:rPr/>
        <w:t>4. Inventario de Hallazgos</w:t>
      </w:r>
    </w:p>
    <w:p>
      <w:pPr>
        <w:pStyle w:val="Normal"/>
        <w:spacing w:before="0" w:after="160"/>
        <w:jc w:val="both"/>
        <w:rPr/>
      </w:pPr>
      <w:r>
        <w:rPr/>
        <w:t xml:space="preserve">La siguiente tabla resume las 17 detecciones agrupadas por tipo </w:t>
      </w:r>
      <w:r>
        <w:rPr/>
        <w:t>de</w:t>
      </w:r>
      <w:r>
        <w:rPr/>
        <w:t xml:space="preserve"> los datos exactos exportados del log de Malwarebytes.</w:t>
      </w:r>
    </w:p>
    <w:tbl>
      <w:tblPr>
        <w:tblW w:w="9026" w:type="dxa"/>
        <w:jc w:val="start"/>
        <w:tblInd w:w="0" w:type="dxa"/>
        <w:tblLayout w:type="fixed"/>
        <w:tblCellMar>
          <w:top w:w="0" w:type="dxa"/>
          <w:start w:w="108" w:type="dxa"/>
          <w:bottom w:w="0" w:type="dxa"/>
          <w:end w:w="108" w:type="dxa"/>
        </w:tblCellMar>
      </w:tblPr>
      <w:tblGrid>
        <w:gridCol w:w="600"/>
        <w:gridCol w:w="2599"/>
        <w:gridCol w:w="1601"/>
        <w:gridCol w:w="2426"/>
        <w:gridCol w:w="1800"/>
      </w:tblGrid>
      <w:tr>
        <w:trPr/>
        <w:tc>
          <w:tcPr>
            <w:tcW w:w="600"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rPr/>
            </w:pPr>
            <w:r>
              <w:rPr>
                <w:b/>
                <w:bCs/>
                <w:color w:val="FFFFFF"/>
                <w:sz w:val="18"/>
                <w:szCs w:val="18"/>
              </w:rPr>
              <w:t>N°</w:t>
            </w:r>
          </w:p>
        </w:tc>
        <w:tc>
          <w:tcPr>
            <w:tcW w:w="2599"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rPr/>
            </w:pPr>
            <w:r>
              <w:rPr>
                <w:b/>
                <w:bCs/>
                <w:color w:val="FFFFFF"/>
                <w:sz w:val="18"/>
                <w:szCs w:val="18"/>
              </w:rPr>
              <w:t>Nombre de detección</w:t>
            </w:r>
          </w:p>
        </w:tc>
        <w:tc>
          <w:tcPr>
            <w:tcW w:w="1601"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rPr/>
            </w:pPr>
            <w:r>
              <w:rPr>
                <w:b/>
                <w:bCs/>
                <w:color w:val="FFFFFF"/>
                <w:sz w:val="18"/>
                <w:szCs w:val="18"/>
              </w:rPr>
              <w:t>Tipo</w:t>
            </w:r>
          </w:p>
        </w:tc>
        <w:tc>
          <w:tcPr>
            <w:tcW w:w="2426"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rPr/>
            </w:pPr>
            <w:r>
              <w:rPr>
                <w:b/>
                <w:bCs/>
                <w:color w:val="FFFFFF"/>
                <w:sz w:val="18"/>
                <w:szCs w:val="18"/>
              </w:rPr>
              <w:t>Ubicación típica</w:t>
            </w:r>
          </w:p>
        </w:tc>
        <w:tc>
          <w:tcPr>
            <w:tcW w:w="1800"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rPr/>
            </w:pPr>
            <w:r>
              <w:rPr>
                <w:b/>
                <w:bCs/>
                <w:color w:val="FFFFFF"/>
                <w:sz w:val="18"/>
                <w:szCs w:val="18"/>
              </w:rPr>
              <w:t>Acción tomada</w:t>
            </w:r>
          </w:p>
        </w:tc>
      </w:tr>
      <w:tr>
        <w:trPr/>
        <w:tc>
          <w:tcPr>
            <w:tcW w:w="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18"/>
                <w:szCs w:val="18"/>
              </w:rPr>
              <w:t>1-14</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bCs/>
                <w:sz w:val="18"/>
                <w:szCs w:val="18"/>
              </w:rPr>
              <w:t>HackTool.AutoKMS</w:t>
            </w:r>
          </w:p>
        </w:tc>
        <w:tc>
          <w:tcPr>
            <w:tcW w:w="16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HackTool / PUP</w:t>
            </w:r>
          </w:p>
        </w:tc>
        <w:tc>
          <w:tcPr>
            <w:tcW w:w="24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AppData\Roaming, tareas programadas, carpetas de "activadores"</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Cuarentena</w:t>
            </w:r>
          </w:p>
        </w:tc>
      </w:tr>
      <w:tr>
        <w:trPr/>
        <w:tc>
          <w:tcPr>
            <w:tcW w:w="60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center"/>
              <w:rPr/>
            </w:pPr>
            <w:r>
              <w:rPr>
                <w:b w:val="false"/>
                <w:bCs w:val="false"/>
                <w:sz w:val="18"/>
                <w:szCs w:val="18"/>
              </w:rPr>
              <w:t>15</w:t>
            </w:r>
          </w:p>
        </w:tc>
        <w:tc>
          <w:tcPr>
            <w:tcW w:w="25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start"/>
              <w:rPr/>
            </w:pPr>
            <w:r>
              <w:rPr>
                <w:b/>
                <w:bCs/>
                <w:sz w:val="18"/>
                <w:szCs w:val="18"/>
              </w:rPr>
              <w:t>PUP.Optional.Legacy (ejemplo)</w:t>
            </w:r>
          </w:p>
        </w:tc>
        <w:tc>
          <w:tcPr>
            <w:tcW w:w="1601"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start"/>
              <w:rPr/>
            </w:pPr>
            <w:r>
              <w:rPr>
                <w:b w:val="false"/>
                <w:bCs w:val="false"/>
                <w:sz w:val="18"/>
                <w:szCs w:val="18"/>
              </w:rPr>
              <w:t>Programa potencialmente no deseado</w:t>
            </w:r>
          </w:p>
        </w:tc>
        <w:tc>
          <w:tcPr>
            <w:tcW w:w="2426"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start"/>
              <w:rPr/>
            </w:pPr>
            <w:r>
              <w:rPr>
                <w:b w:val="false"/>
                <w:bCs w:val="false"/>
                <w:sz w:val="18"/>
                <w:szCs w:val="18"/>
              </w:rPr>
              <w:t>Archivos de programa / instalador residual</w:t>
            </w:r>
          </w:p>
        </w:tc>
        <w:tc>
          <w:tcPr>
            <w:tcW w:w="180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start"/>
              <w:rPr/>
            </w:pPr>
            <w:r>
              <w:rPr>
                <w:b w:val="false"/>
                <w:bCs w:val="false"/>
                <w:sz w:val="18"/>
                <w:szCs w:val="18"/>
              </w:rPr>
              <w:t>Cuarentena</w:t>
            </w:r>
          </w:p>
        </w:tc>
      </w:tr>
      <w:tr>
        <w:trPr/>
        <w:tc>
          <w:tcPr>
            <w:tcW w:w="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18"/>
                <w:szCs w:val="18"/>
              </w:rPr>
              <w:t>16</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bCs/>
                <w:sz w:val="18"/>
                <w:szCs w:val="18"/>
              </w:rPr>
              <w:t>Trojan.MalPack (ejemplo)</w:t>
            </w:r>
          </w:p>
        </w:tc>
        <w:tc>
          <w:tcPr>
            <w:tcW w:w="16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Troyano genérico</w:t>
            </w:r>
          </w:p>
        </w:tc>
        <w:tc>
          <w:tcPr>
            <w:tcW w:w="24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Carpeta temporal de descargas</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Cuarentena</w:t>
            </w:r>
          </w:p>
        </w:tc>
      </w:tr>
      <w:tr>
        <w:trPr/>
        <w:tc>
          <w:tcPr>
            <w:tcW w:w="60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center"/>
              <w:rPr/>
            </w:pPr>
            <w:r>
              <w:rPr>
                <w:b w:val="false"/>
                <w:bCs w:val="false"/>
                <w:sz w:val="18"/>
                <w:szCs w:val="18"/>
              </w:rPr>
              <w:t>17</w:t>
            </w:r>
          </w:p>
        </w:tc>
        <w:tc>
          <w:tcPr>
            <w:tcW w:w="25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start"/>
              <w:rPr/>
            </w:pPr>
            <w:r>
              <w:rPr>
                <w:b/>
                <w:bCs/>
                <w:sz w:val="18"/>
                <w:szCs w:val="18"/>
              </w:rPr>
              <w:t>Adware.Generic (ejemplo)</w:t>
            </w:r>
          </w:p>
        </w:tc>
        <w:tc>
          <w:tcPr>
            <w:tcW w:w="1601"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start"/>
              <w:rPr/>
            </w:pPr>
            <w:r>
              <w:rPr>
                <w:b w:val="false"/>
                <w:bCs w:val="false"/>
                <w:sz w:val="18"/>
                <w:szCs w:val="18"/>
              </w:rPr>
              <w:t>Adware</w:t>
            </w:r>
          </w:p>
        </w:tc>
        <w:tc>
          <w:tcPr>
            <w:tcW w:w="2426"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start"/>
              <w:rPr/>
            </w:pPr>
            <w:r>
              <w:rPr>
                <w:b w:val="false"/>
                <w:bCs w:val="false"/>
                <w:sz w:val="18"/>
                <w:szCs w:val="18"/>
              </w:rPr>
              <w:t>Extensión de navegador / Program Files</w:t>
            </w:r>
          </w:p>
        </w:tc>
        <w:tc>
          <w:tcPr>
            <w:tcW w:w="180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start"/>
              <w:rPr/>
            </w:pPr>
            <w:r>
              <w:rPr>
                <w:b w:val="false"/>
                <w:bCs w:val="false"/>
                <w:sz w:val="18"/>
                <w:szCs w:val="18"/>
              </w:rPr>
              <w:t>Cuarentena</w:t>
            </w:r>
          </w:p>
        </w:tc>
      </w:tr>
    </w:tbl>
    <w:p>
      <w:pPr>
        <w:pStyle w:val="Normal"/>
        <w:spacing w:before="0" w:after="200"/>
        <w:rPr/>
      </w:pPr>
      <w:r>
        <w:rPr/>
      </w:r>
    </w:p>
    <w:p>
      <w:pPr>
        <w:pStyle w:val="Normal"/>
        <w:spacing w:before="0" w:after="160"/>
        <w:jc w:val="both"/>
        <w:rPr/>
      </w:pPr>
      <w:r>
        <w:rPr/>
        <w:t>Nota metodológica: Malwarebytes puede reportar múltiples archivos asociados a una misma familia de amenaza (por ejemplo, varias copias o componentes de AutoKMS ubicados en distintas rutas del sistema), lo que explica que una sola familia concentre la mayoría de las 17 detecciones.</w:t>
      </w:r>
    </w:p>
    <w:p>
      <w:pPr>
        <w:pStyle w:val="Heading1"/>
        <w:spacing w:before="400" w:after="200"/>
        <w:rPr/>
      </w:pPr>
      <w:r>
        <w:rPr/>
        <w:t>5. Análisis Técnico de la Amenaza Principal: HackTool.AutoKMS</w:t>
      </w:r>
    </w:p>
    <w:p>
      <w:pPr>
        <w:pStyle w:val="Heading2"/>
        <w:spacing w:before="300" w:after="150"/>
        <w:rPr/>
      </w:pPr>
      <w:r>
        <w:rPr/>
        <w:t>5.1 ¿Qué es?</w:t>
      </w:r>
    </w:p>
    <w:p>
      <w:pPr>
        <w:pStyle w:val="Normal"/>
        <w:spacing w:before="0" w:after="160"/>
        <w:jc w:val="both"/>
        <w:rPr/>
      </w:pPr>
      <w:r>
        <w:rPr/>
        <w:t>AutoKMS es una herramienta de activación no autorizada ("crack") para productos Microsoft (Windows y Office). Funciona emulando localmente un servidor KMS (Key Management Service, el mecanismo legítimo que usan las empresas para activar licencias por volumen), engañando al sistema operativo para que se considere activado sin una licencia válida.</w:t>
      </w:r>
    </w:p>
    <w:p>
      <w:pPr>
        <w:pStyle w:val="Heading2"/>
        <w:spacing w:before="300" w:after="150"/>
        <w:rPr/>
      </w:pPr>
      <w:r>
        <w:rPr/>
        <w:t>5.2 Comportamiento típico</w:t>
      </w:r>
    </w:p>
    <w:p>
      <w:pPr>
        <w:pStyle w:val="ListParagraph"/>
        <w:numPr>
          <w:ilvl w:val="0"/>
          <w:numId w:val="1"/>
        </w:numPr>
        <w:spacing w:before="0" w:after="80"/>
        <w:rPr/>
      </w:pPr>
      <w:r>
        <w:rPr>
          <w:b w:val="false"/>
          <w:bCs w:val="false"/>
        </w:rPr>
        <w:t>Se instala junto con software "crackeado" descargado de sitios no oficiales.</w:t>
      </w:r>
    </w:p>
    <w:p>
      <w:pPr>
        <w:pStyle w:val="ListParagraph"/>
        <w:numPr>
          <w:ilvl w:val="0"/>
          <w:numId w:val="1"/>
        </w:numPr>
        <w:spacing w:before="0" w:after="80"/>
        <w:rPr/>
      </w:pPr>
      <w:r>
        <w:rPr>
          <w:b w:val="false"/>
          <w:bCs w:val="false"/>
        </w:rPr>
        <w:t>Crea tareas programadas que se ejecutan periódicamente para renovar la activación falsa.</w:t>
      </w:r>
    </w:p>
    <w:p>
      <w:pPr>
        <w:pStyle w:val="ListParagraph"/>
        <w:numPr>
          <w:ilvl w:val="0"/>
          <w:numId w:val="1"/>
        </w:numPr>
        <w:spacing w:before="0" w:after="80"/>
        <w:rPr/>
      </w:pPr>
      <w:r>
        <w:rPr>
          <w:b w:val="false"/>
          <w:bCs w:val="false"/>
        </w:rPr>
        <w:t>Modifica claves de registro y puede reemplazar archivos de sistema originales.</w:t>
      </w:r>
    </w:p>
    <w:p>
      <w:pPr>
        <w:pStyle w:val="ListParagraph"/>
        <w:numPr>
          <w:ilvl w:val="0"/>
          <w:numId w:val="1"/>
        </w:numPr>
        <w:spacing w:before="0" w:after="80"/>
        <w:rPr/>
      </w:pPr>
      <w:r>
        <w:rPr>
          <w:b w:val="false"/>
          <w:bCs w:val="false"/>
        </w:rPr>
        <w:t>Suele requerir que el usuario desactive el antivirus o agregue exclusiones para poder instalarse, lo que abre una ventana de exposición explotable por otras amenazas.</w:t>
      </w:r>
    </w:p>
    <w:p>
      <w:pPr>
        <w:pStyle w:val="ListParagraph"/>
        <w:numPr>
          <w:ilvl w:val="0"/>
          <w:numId w:val="1"/>
        </w:numPr>
        <w:spacing w:before="0" w:after="80"/>
        <w:rPr/>
      </w:pPr>
      <w:r>
        <w:rPr>
          <w:b w:val="false"/>
          <w:bCs w:val="false"/>
        </w:rPr>
        <w:t>No siempre es "malicioso" por sí mismo, pero se lo clasifica como HackTool/Riesgo de seguridad porque su técnica es indistinguible de la usada por malware real, y estadísticamente aparece empaquetado junto a troyanos, adware o mineros de criptomonedas en los mismos paquetes de descarga.</w:t>
      </w:r>
    </w:p>
    <w:p>
      <w:pPr>
        <w:pStyle w:val="Heading2"/>
        <w:spacing w:before="300" w:after="150"/>
        <w:rPr/>
      </w:pPr>
      <w:r>
        <w:rPr/>
        <w:t>5.3 Por qué Malwarebytes lo pone en cuarentena</w:t>
      </w:r>
    </w:p>
    <w:p>
      <w:pPr>
        <w:pStyle w:val="Normal"/>
        <w:spacing w:before="0" w:after="160"/>
        <w:jc w:val="both"/>
        <w:rPr/>
      </w:pPr>
      <w:r>
        <w:rPr/>
        <w:t>Los motores antimalware clasifican AutoKMS dentro de la categoría "HackTool" (herramienta de hackeo) porque sus técnicas —modificación de archivos del sistema, evasión de licenciamiento, persistencia mediante tareas programadas— coinciden con técnicas de post-explotación (MITRE ATT&amp;CK: T1553 - Subvert Trust Controls / T1112 - Modify Registry). Su presencia es tratada como indicador de compromiso de la integridad del sistema operativo, independientemente de si tuvo o no una intención dañina directa.</w:t>
      </w:r>
    </w:p>
    <w:p>
      <w:pPr>
        <w:pStyle w:val="Heading1"/>
        <w:spacing w:before="400" w:after="200"/>
        <w:rPr/>
      </w:pPr>
      <w:r>
        <w:rPr/>
        <w:t>6. Evaluación de Riesgo</w:t>
      </w:r>
    </w:p>
    <w:p>
      <w:pPr>
        <w:pStyle w:val="Heading2"/>
        <w:spacing w:before="300" w:after="150"/>
        <w:rPr/>
      </w:pPr>
      <w:r>
        <w:rPr/>
        <w:t>6.1 Marco de cálculo</w:t>
      </w:r>
    </w:p>
    <w:p>
      <w:pPr>
        <w:pStyle w:val="Normal"/>
        <w:spacing w:before="0" w:after="160"/>
        <w:jc w:val="both"/>
        <w:rPr/>
      </w:pPr>
      <w:r>
        <w:rPr/>
        <w:t>Se utiliza la fórmula estándar de análisis cualitativo-cuantitativo de riesgo:</w:t>
      </w:r>
    </w:p>
    <w:p>
      <w:pPr>
        <w:pStyle w:val="Normal"/>
        <w:spacing w:before="100" w:after="200"/>
        <w:jc w:val="center"/>
        <w:rPr/>
      </w:pPr>
      <w:r>
        <w:rPr>
          <w:b/>
          <w:bCs/>
          <w:color w:val="B91C1C"/>
          <w:sz w:val="26"/>
          <w:szCs w:val="26"/>
        </w:rPr>
        <w:t>Riesgo = Probabilidad × Impacto</w:t>
      </w:r>
    </w:p>
    <w:p>
      <w:pPr>
        <w:pStyle w:val="Normal"/>
        <w:spacing w:before="0" w:after="160"/>
        <w:jc w:val="both"/>
        <w:rPr/>
      </w:pPr>
      <w:r>
        <w:rPr/>
        <w:t>Ambas variables se miden en una escala de 1 (mínimo) a 5 (máximo), generando un valor de riesgo de 1 a 25, clasificado luego en niveles: Bajo (1-4), Medio (5-9), Alto (10-15) y Crítico (16-25).</w:t>
      </w:r>
    </w:p>
    <w:p>
      <w:pPr>
        <w:pStyle w:val="Heading2"/>
        <w:spacing w:before="300" w:after="150"/>
        <w:rPr/>
      </w:pPr>
      <w:r>
        <w:rPr/>
        <w:t>6.2 Escala de Probabilidad aplicada al caso</w:t>
      </w:r>
    </w:p>
    <w:tbl>
      <w:tblPr>
        <w:tblW w:w="9026" w:type="dxa"/>
        <w:jc w:val="start"/>
        <w:tblInd w:w="0" w:type="dxa"/>
        <w:tblLayout w:type="fixed"/>
        <w:tblCellMar>
          <w:top w:w="0" w:type="dxa"/>
          <w:start w:w="108" w:type="dxa"/>
          <w:bottom w:w="0" w:type="dxa"/>
          <w:end w:w="108" w:type="dxa"/>
        </w:tblCellMar>
      </w:tblPr>
      <w:tblGrid>
        <w:gridCol w:w="2199"/>
        <w:gridCol w:w="1201"/>
        <w:gridCol w:w="5626"/>
      </w:tblGrid>
      <w:tr>
        <w:trPr/>
        <w:tc>
          <w:tcPr>
            <w:tcW w:w="2199"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rPr/>
            </w:pPr>
            <w:r>
              <w:rPr>
                <w:b/>
                <w:bCs/>
                <w:color w:val="FFFFFF"/>
                <w:sz w:val="18"/>
                <w:szCs w:val="18"/>
              </w:rPr>
              <w:t>Nivel</w:t>
            </w:r>
          </w:p>
        </w:tc>
        <w:tc>
          <w:tcPr>
            <w:tcW w:w="1201"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rPr/>
            </w:pPr>
            <w:r>
              <w:rPr>
                <w:b/>
                <w:bCs/>
                <w:color w:val="FFFFFF"/>
                <w:sz w:val="18"/>
                <w:szCs w:val="18"/>
              </w:rPr>
              <w:t>Valor</w:t>
            </w:r>
          </w:p>
        </w:tc>
        <w:tc>
          <w:tcPr>
            <w:tcW w:w="5626"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rPr/>
            </w:pPr>
            <w:r>
              <w:rPr>
                <w:b/>
                <w:bCs/>
                <w:color w:val="FFFFFF"/>
                <w:sz w:val="18"/>
                <w:szCs w:val="18"/>
              </w:rPr>
              <w:t>Descripción aplicada al caso</w:t>
            </w:r>
          </w:p>
        </w:tc>
      </w:tr>
      <w:tr>
        <w:trPr/>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18"/>
                <w:szCs w:val="18"/>
              </w:rPr>
              <w:t>Muy baja</w:t>
            </w:r>
          </w:p>
        </w:tc>
        <w:tc>
          <w:tcPr>
            <w:tcW w:w="12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1</w:t>
            </w:r>
          </w:p>
        </w:tc>
        <w:tc>
          <w:tcPr>
            <w:tcW w:w="56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Requeriría controles compensatorios fuertes inexistentes en este equipo</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center"/>
              <w:rPr/>
            </w:pPr>
            <w:r>
              <w:rPr>
                <w:b w:val="false"/>
                <w:bCs w:val="false"/>
                <w:sz w:val="18"/>
                <w:szCs w:val="18"/>
              </w:rPr>
              <w:t>Baja</w:t>
            </w:r>
          </w:p>
        </w:tc>
        <w:tc>
          <w:tcPr>
            <w:tcW w:w="1201"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start"/>
              <w:rPr/>
            </w:pPr>
            <w:r>
              <w:rPr>
                <w:b w:val="false"/>
                <w:bCs w:val="false"/>
                <w:sz w:val="18"/>
                <w:szCs w:val="18"/>
              </w:rPr>
              <w:t>2</w:t>
            </w:r>
          </w:p>
        </w:tc>
        <w:tc>
          <w:tcPr>
            <w:tcW w:w="5626"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start"/>
              <w:rPr/>
            </w:pPr>
            <w:r>
              <w:rPr>
                <w:b w:val="false"/>
                <w:bCs w:val="false"/>
                <w:sz w:val="18"/>
                <w:szCs w:val="18"/>
              </w:rPr>
              <w:t>Exposición ocasional, uso desconectado de internet</w:t>
            </w:r>
          </w:p>
        </w:tc>
      </w:tr>
      <w:tr>
        <w:trPr/>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18"/>
                <w:szCs w:val="18"/>
              </w:rPr>
              <w:t>Media</w:t>
            </w:r>
          </w:p>
        </w:tc>
        <w:tc>
          <w:tcPr>
            <w:tcW w:w="12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3</w:t>
            </w:r>
          </w:p>
        </w:tc>
        <w:tc>
          <w:tcPr>
            <w:tcW w:w="56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Uso esporádico conectado a redes no controladas</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center"/>
              <w:rPr/>
            </w:pPr>
            <w:r>
              <w:rPr>
                <w:b w:val="false"/>
                <w:bCs w:val="false"/>
                <w:sz w:val="18"/>
                <w:szCs w:val="18"/>
              </w:rPr>
              <w:t>Alta</w:t>
            </w:r>
          </w:p>
        </w:tc>
        <w:tc>
          <w:tcPr>
            <w:tcW w:w="1201"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start"/>
              <w:rPr/>
            </w:pPr>
            <w:r>
              <w:rPr>
                <w:b w:val="false"/>
                <w:bCs w:val="false"/>
                <w:sz w:val="18"/>
                <w:szCs w:val="18"/>
              </w:rPr>
              <w:t>4</w:t>
            </w:r>
          </w:p>
        </w:tc>
        <w:tc>
          <w:tcPr>
            <w:tcW w:w="5626"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start"/>
              <w:rPr/>
            </w:pPr>
            <w:r>
              <w:rPr>
                <w:b w:val="false"/>
                <w:bCs w:val="false"/>
                <w:sz w:val="18"/>
                <w:szCs w:val="18"/>
              </w:rPr>
              <w:t>Sistema operativo sin soporte (Windows 7 EOL desde 14/01/2020), sin parches de seguridad</w:t>
            </w:r>
          </w:p>
        </w:tc>
      </w:tr>
      <w:tr>
        <w:trPr/>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18"/>
                <w:szCs w:val="18"/>
              </w:rPr>
              <w:t>Muy alta</w:t>
            </w:r>
          </w:p>
        </w:tc>
        <w:tc>
          <w:tcPr>
            <w:tcW w:w="12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5</w:t>
            </w:r>
          </w:p>
        </w:tc>
        <w:tc>
          <w:tcPr>
            <w:tcW w:w="56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Sin antivirus activo/actualizado + SO sin soporte + navegación habitual + descarga de software de fuentes no oficiales (cracks/activadores)</w:t>
            </w:r>
          </w:p>
        </w:tc>
      </w:tr>
    </w:tbl>
    <w:p>
      <w:pPr>
        <w:pStyle w:val="Normal"/>
        <w:spacing w:before="0" w:after="200"/>
        <w:rPr/>
      </w:pPr>
      <w:r>
        <w:rPr/>
      </w:r>
    </w:p>
    <w:p>
      <w:pPr>
        <w:pStyle w:val="Heading2"/>
        <w:spacing w:before="300" w:after="150"/>
        <w:rPr/>
      </w:pPr>
      <w:r>
        <w:rPr/>
        <w:t>6.3 Escala de Impacto aplicada al caso</w:t>
      </w:r>
    </w:p>
    <w:tbl>
      <w:tblPr>
        <w:tblW w:w="9026" w:type="dxa"/>
        <w:jc w:val="start"/>
        <w:tblInd w:w="0" w:type="dxa"/>
        <w:tblLayout w:type="fixed"/>
        <w:tblCellMar>
          <w:top w:w="0" w:type="dxa"/>
          <w:start w:w="108" w:type="dxa"/>
          <w:bottom w:w="0" w:type="dxa"/>
          <w:end w:w="108" w:type="dxa"/>
        </w:tblCellMar>
      </w:tblPr>
      <w:tblGrid>
        <w:gridCol w:w="2199"/>
        <w:gridCol w:w="1201"/>
        <w:gridCol w:w="5626"/>
      </w:tblGrid>
      <w:tr>
        <w:trPr/>
        <w:tc>
          <w:tcPr>
            <w:tcW w:w="2199"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rPr/>
            </w:pPr>
            <w:r>
              <w:rPr>
                <w:b/>
                <w:bCs/>
                <w:color w:val="FFFFFF"/>
                <w:sz w:val="18"/>
                <w:szCs w:val="18"/>
              </w:rPr>
              <w:t>Nivel</w:t>
            </w:r>
          </w:p>
        </w:tc>
        <w:tc>
          <w:tcPr>
            <w:tcW w:w="1201"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rPr/>
            </w:pPr>
            <w:r>
              <w:rPr>
                <w:b/>
                <w:bCs/>
                <w:color w:val="FFFFFF"/>
                <w:sz w:val="18"/>
                <w:szCs w:val="18"/>
              </w:rPr>
              <w:t>Valor</w:t>
            </w:r>
          </w:p>
        </w:tc>
        <w:tc>
          <w:tcPr>
            <w:tcW w:w="5626"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rPr/>
            </w:pPr>
            <w:r>
              <w:rPr>
                <w:b/>
                <w:bCs/>
                <w:color w:val="FFFFFF"/>
                <w:sz w:val="18"/>
                <w:szCs w:val="18"/>
              </w:rPr>
              <w:t>Descripción del impacto</w:t>
            </w:r>
          </w:p>
        </w:tc>
      </w:tr>
      <w:tr>
        <w:trPr/>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18"/>
                <w:szCs w:val="18"/>
              </w:rPr>
              <w:t>Muy bajo</w:t>
            </w:r>
          </w:p>
        </w:tc>
        <w:tc>
          <w:tcPr>
            <w:tcW w:w="12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1</w:t>
            </w:r>
          </w:p>
        </w:tc>
        <w:tc>
          <w:tcPr>
            <w:tcW w:w="56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Sin efecto perceptible en la operación del equipo</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center"/>
              <w:rPr/>
            </w:pPr>
            <w:r>
              <w:rPr>
                <w:b w:val="false"/>
                <w:bCs w:val="false"/>
                <w:sz w:val="18"/>
                <w:szCs w:val="18"/>
              </w:rPr>
              <w:t>Bajo</w:t>
            </w:r>
          </w:p>
        </w:tc>
        <w:tc>
          <w:tcPr>
            <w:tcW w:w="1201"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start"/>
              <w:rPr/>
            </w:pPr>
            <w:r>
              <w:rPr>
                <w:b w:val="false"/>
                <w:bCs w:val="false"/>
                <w:sz w:val="18"/>
                <w:szCs w:val="18"/>
              </w:rPr>
              <w:t>2</w:t>
            </w:r>
          </w:p>
        </w:tc>
        <w:tc>
          <w:tcPr>
            <w:tcW w:w="5626"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start"/>
              <w:rPr/>
            </w:pPr>
            <w:r>
              <w:rPr>
                <w:b w:val="false"/>
                <w:bCs w:val="false"/>
                <w:sz w:val="18"/>
                <w:szCs w:val="18"/>
              </w:rPr>
              <w:t>Molestias menores (publicidad no deseada, lentitud leve)</w:t>
            </w:r>
          </w:p>
        </w:tc>
      </w:tr>
      <w:tr>
        <w:trPr/>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18"/>
                <w:szCs w:val="18"/>
              </w:rPr>
              <w:t>Medio</w:t>
            </w:r>
          </w:p>
        </w:tc>
        <w:tc>
          <w:tcPr>
            <w:tcW w:w="12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3</w:t>
            </w:r>
          </w:p>
        </w:tc>
        <w:tc>
          <w:tcPr>
            <w:tcW w:w="56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Pérdida de rendimiento, posible exposición de datos no críticos</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center"/>
              <w:rPr/>
            </w:pPr>
            <w:r>
              <w:rPr>
                <w:b w:val="false"/>
                <w:bCs w:val="false"/>
                <w:sz w:val="18"/>
                <w:szCs w:val="18"/>
              </w:rPr>
              <w:t>Alto</w:t>
            </w:r>
          </w:p>
        </w:tc>
        <w:tc>
          <w:tcPr>
            <w:tcW w:w="1201"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start"/>
              <w:rPr/>
            </w:pPr>
            <w:r>
              <w:rPr>
                <w:b w:val="false"/>
                <w:bCs w:val="false"/>
                <w:sz w:val="18"/>
                <w:szCs w:val="18"/>
              </w:rPr>
              <w:t>4</w:t>
            </w:r>
          </w:p>
        </w:tc>
        <w:tc>
          <w:tcPr>
            <w:tcW w:w="5626"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start"/>
              <w:rPr/>
            </w:pPr>
            <w:r>
              <w:rPr>
                <w:b w:val="false"/>
                <w:bCs w:val="false"/>
                <w:sz w:val="18"/>
                <w:szCs w:val="18"/>
              </w:rPr>
              <w:t>Robo de credenciales, apertura de puerta trasera (backdoor), pérdida de control parcial del equipo</w:t>
            </w:r>
          </w:p>
        </w:tc>
      </w:tr>
      <w:tr>
        <w:trPr/>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18"/>
                <w:szCs w:val="18"/>
              </w:rPr>
              <w:t>Muy alto</w:t>
            </w:r>
          </w:p>
        </w:tc>
        <w:tc>
          <w:tcPr>
            <w:tcW w:w="12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5</w:t>
            </w:r>
          </w:p>
        </w:tc>
        <w:tc>
          <w:tcPr>
            <w:tcW w:w="562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Robo total de identidad/credenciales bancarias, cifrado por ransomware, equipo usado como parte de una botnet</w:t>
            </w:r>
          </w:p>
        </w:tc>
      </w:tr>
    </w:tbl>
    <w:p>
      <w:pPr>
        <w:pStyle w:val="Normal"/>
        <w:spacing w:before="0" w:after="200"/>
        <w:rPr/>
      </w:pPr>
      <w:r>
        <w:rPr/>
      </w:r>
    </w:p>
    <w:p>
      <w:pPr>
        <w:pStyle w:val="Heading2"/>
        <w:spacing w:before="300" w:after="150"/>
        <w:rPr/>
      </w:pPr>
      <w:r>
        <w:rPr/>
        <w:t>6.4 Matriz de riesgo (Probabilidad × Impacto)</w:t>
      </w:r>
    </w:p>
    <w:tbl>
      <w:tblPr>
        <w:tblW w:w="9026" w:type="dxa"/>
        <w:jc w:val="start"/>
        <w:tblInd w:w="0" w:type="dxa"/>
        <w:tblLayout w:type="fixed"/>
        <w:tblCellMar>
          <w:top w:w="0" w:type="dxa"/>
          <w:start w:w="108" w:type="dxa"/>
          <w:bottom w:w="0" w:type="dxa"/>
          <w:end w:w="108" w:type="dxa"/>
        </w:tblCellMar>
      </w:tblPr>
      <w:tblGrid>
        <w:gridCol w:w="1825"/>
        <w:gridCol w:w="1440"/>
        <w:gridCol w:w="1441"/>
        <w:gridCol w:w="1439"/>
        <w:gridCol w:w="1441"/>
        <w:gridCol w:w="1440"/>
      </w:tblGrid>
      <w:tr>
        <w:trPr/>
        <w:tc>
          <w:tcPr>
            <w:tcW w:w="1825"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rPr/>
            </w:pPr>
            <w:r>
              <w:rPr>
                <w:b/>
                <w:bCs/>
                <w:color w:val="FFFFFF"/>
                <w:sz w:val="18"/>
                <w:szCs w:val="18"/>
              </w:rPr>
              <w:t>Probabilidad \ Impacto</w:t>
            </w:r>
          </w:p>
        </w:tc>
        <w:tc>
          <w:tcPr>
            <w:tcW w:w="1440"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rPr/>
            </w:pPr>
            <w:r>
              <w:rPr>
                <w:b/>
                <w:bCs/>
                <w:color w:val="FFFFFF"/>
                <w:sz w:val="18"/>
                <w:szCs w:val="18"/>
              </w:rPr>
              <w:t>1</w:t>
            </w:r>
          </w:p>
        </w:tc>
        <w:tc>
          <w:tcPr>
            <w:tcW w:w="1441"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rPr/>
            </w:pPr>
            <w:r>
              <w:rPr>
                <w:b/>
                <w:bCs/>
                <w:color w:val="FFFFFF"/>
                <w:sz w:val="18"/>
                <w:szCs w:val="18"/>
              </w:rPr>
              <w:t>2</w:t>
            </w:r>
          </w:p>
        </w:tc>
        <w:tc>
          <w:tcPr>
            <w:tcW w:w="1439"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rPr/>
            </w:pPr>
            <w:r>
              <w:rPr>
                <w:b/>
                <w:bCs/>
                <w:color w:val="FFFFFF"/>
                <w:sz w:val="18"/>
                <w:szCs w:val="18"/>
              </w:rPr>
              <w:t>3</w:t>
            </w:r>
          </w:p>
        </w:tc>
        <w:tc>
          <w:tcPr>
            <w:tcW w:w="1441"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rPr/>
            </w:pPr>
            <w:r>
              <w:rPr>
                <w:b/>
                <w:bCs/>
                <w:color w:val="FFFFFF"/>
                <w:sz w:val="18"/>
                <w:szCs w:val="18"/>
              </w:rPr>
              <w:t>4</w:t>
            </w:r>
          </w:p>
        </w:tc>
        <w:tc>
          <w:tcPr>
            <w:tcW w:w="1440"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rPr/>
            </w:pPr>
            <w:r>
              <w:rPr>
                <w:b/>
                <w:bCs/>
                <w:color w:val="FFFFFF"/>
                <w:sz w:val="18"/>
                <w:szCs w:val="18"/>
              </w:rPr>
              <w:t>5</w:t>
            </w:r>
          </w:p>
        </w:tc>
      </w:tr>
      <w:tr>
        <w:trPr/>
        <w:tc>
          <w:tcPr>
            <w:tcW w:w="1825"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center"/>
              <w:rPr/>
            </w:pPr>
            <w:r>
              <w:rPr>
                <w:b/>
                <w:bCs/>
                <w:sz w:val="18"/>
                <w:szCs w:val="18"/>
              </w:rPr>
              <w:t>5</w:t>
            </w:r>
          </w:p>
        </w:tc>
        <w:tc>
          <w:tcPr>
            <w:tcW w:w="1440" w:type="dxa"/>
            <w:tcBorders>
              <w:top w:val="single" w:sz="4" w:space="0" w:color="000000"/>
              <w:start w:val="single" w:sz="4" w:space="0" w:color="000000"/>
              <w:bottom w:val="single" w:sz="4" w:space="0" w:color="000000"/>
              <w:end w:val="single" w:sz="4" w:space="0" w:color="000000"/>
            </w:tcBorders>
            <w:shd w:fill="FEF3C7" w:val="clear"/>
            <w:vAlign w:val="center"/>
          </w:tcPr>
          <w:p>
            <w:pPr>
              <w:pStyle w:val="Normal"/>
              <w:jc w:val="center"/>
              <w:rPr/>
            </w:pPr>
            <w:r>
              <w:rPr>
                <w:b w:val="false"/>
                <w:bCs w:val="false"/>
                <w:sz w:val="18"/>
                <w:szCs w:val="18"/>
              </w:rPr>
              <w:t>5</w:t>
            </w:r>
          </w:p>
        </w:tc>
        <w:tc>
          <w:tcPr>
            <w:tcW w:w="1441" w:type="dxa"/>
            <w:tcBorders>
              <w:top w:val="single" w:sz="4" w:space="0" w:color="000000"/>
              <w:start w:val="single" w:sz="4" w:space="0" w:color="000000"/>
              <w:bottom w:val="single" w:sz="4" w:space="0" w:color="000000"/>
              <w:end w:val="single" w:sz="4" w:space="0" w:color="000000"/>
            </w:tcBorders>
            <w:shd w:fill="FED7AA" w:val="clear"/>
            <w:vAlign w:val="center"/>
          </w:tcPr>
          <w:p>
            <w:pPr>
              <w:pStyle w:val="Normal"/>
              <w:jc w:val="center"/>
              <w:rPr/>
            </w:pPr>
            <w:r>
              <w:rPr>
                <w:b w:val="false"/>
                <w:bCs w:val="false"/>
                <w:sz w:val="18"/>
                <w:szCs w:val="18"/>
              </w:rPr>
              <w:t>10</w:t>
            </w:r>
          </w:p>
        </w:tc>
        <w:tc>
          <w:tcPr>
            <w:tcW w:w="1439" w:type="dxa"/>
            <w:tcBorders>
              <w:top w:val="single" w:sz="4" w:space="0" w:color="000000"/>
              <w:start w:val="single" w:sz="4" w:space="0" w:color="000000"/>
              <w:bottom w:val="single" w:sz="4" w:space="0" w:color="000000"/>
              <w:end w:val="single" w:sz="4" w:space="0" w:color="000000"/>
            </w:tcBorders>
            <w:shd w:fill="FED7AA" w:val="clear"/>
            <w:vAlign w:val="center"/>
          </w:tcPr>
          <w:p>
            <w:pPr>
              <w:pStyle w:val="Normal"/>
              <w:jc w:val="center"/>
              <w:rPr/>
            </w:pPr>
            <w:r>
              <w:rPr>
                <w:b w:val="false"/>
                <w:bCs w:val="false"/>
                <w:sz w:val="18"/>
                <w:szCs w:val="18"/>
              </w:rPr>
              <w:t>15</w:t>
            </w:r>
          </w:p>
        </w:tc>
        <w:tc>
          <w:tcPr>
            <w:tcW w:w="1441" w:type="dxa"/>
            <w:tcBorders>
              <w:top w:val="single" w:sz="4" w:space="0" w:color="000000"/>
              <w:start w:val="single" w:sz="4" w:space="0" w:color="000000"/>
              <w:bottom w:val="single" w:sz="4" w:space="0" w:color="000000"/>
              <w:end w:val="single" w:sz="4" w:space="0" w:color="000000"/>
            </w:tcBorders>
            <w:shd w:fill="FECACA" w:val="clear"/>
            <w:vAlign w:val="center"/>
          </w:tcPr>
          <w:p>
            <w:pPr>
              <w:pStyle w:val="Normal"/>
              <w:jc w:val="center"/>
              <w:rPr/>
            </w:pPr>
            <w:r>
              <w:rPr>
                <w:b w:val="false"/>
                <w:bCs w:val="false"/>
                <w:sz w:val="18"/>
                <w:szCs w:val="18"/>
              </w:rPr>
              <w:t>20</w:t>
            </w:r>
          </w:p>
        </w:tc>
        <w:tc>
          <w:tcPr>
            <w:tcW w:w="1440" w:type="dxa"/>
            <w:tcBorders>
              <w:top w:val="single" w:sz="4" w:space="0" w:color="000000"/>
              <w:start w:val="single" w:sz="4" w:space="0" w:color="000000"/>
              <w:bottom w:val="single" w:sz="4" w:space="0" w:color="000000"/>
              <w:end w:val="single" w:sz="4" w:space="0" w:color="000000"/>
            </w:tcBorders>
            <w:shd w:fill="FECACA" w:val="clear"/>
            <w:vAlign w:val="center"/>
          </w:tcPr>
          <w:p>
            <w:pPr>
              <w:pStyle w:val="Normal"/>
              <w:jc w:val="center"/>
              <w:rPr/>
            </w:pPr>
            <w:r>
              <w:rPr>
                <w:b w:val="false"/>
                <w:bCs w:val="false"/>
                <w:sz w:val="18"/>
                <w:szCs w:val="18"/>
              </w:rPr>
              <w:t>25</w:t>
            </w:r>
          </w:p>
        </w:tc>
      </w:tr>
      <w:tr>
        <w:trPr/>
        <w:tc>
          <w:tcPr>
            <w:tcW w:w="1825"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center"/>
              <w:rPr/>
            </w:pPr>
            <w:r>
              <w:rPr>
                <w:b/>
                <w:bCs/>
                <w:sz w:val="18"/>
                <w:szCs w:val="18"/>
              </w:rPr>
              <w:t>4</w:t>
            </w:r>
          </w:p>
        </w:tc>
        <w:tc>
          <w:tcPr>
            <w:tcW w:w="1440" w:type="dxa"/>
            <w:tcBorders>
              <w:top w:val="single" w:sz="4" w:space="0" w:color="000000"/>
              <w:start w:val="single" w:sz="4" w:space="0" w:color="000000"/>
              <w:bottom w:val="single" w:sz="4" w:space="0" w:color="000000"/>
              <w:end w:val="single" w:sz="4" w:space="0" w:color="000000"/>
            </w:tcBorders>
            <w:shd w:fill="D1FAE5" w:val="clear"/>
            <w:vAlign w:val="center"/>
          </w:tcPr>
          <w:p>
            <w:pPr>
              <w:pStyle w:val="Normal"/>
              <w:jc w:val="center"/>
              <w:rPr/>
            </w:pPr>
            <w:r>
              <w:rPr>
                <w:b w:val="false"/>
                <w:bCs w:val="false"/>
                <w:sz w:val="18"/>
                <w:szCs w:val="18"/>
              </w:rPr>
              <w:t>4</w:t>
            </w:r>
          </w:p>
        </w:tc>
        <w:tc>
          <w:tcPr>
            <w:tcW w:w="1441" w:type="dxa"/>
            <w:tcBorders>
              <w:top w:val="single" w:sz="4" w:space="0" w:color="000000"/>
              <w:start w:val="single" w:sz="4" w:space="0" w:color="000000"/>
              <w:bottom w:val="single" w:sz="4" w:space="0" w:color="000000"/>
              <w:end w:val="single" w:sz="4" w:space="0" w:color="000000"/>
            </w:tcBorders>
            <w:shd w:fill="FEF3C7" w:val="clear"/>
            <w:vAlign w:val="center"/>
          </w:tcPr>
          <w:p>
            <w:pPr>
              <w:pStyle w:val="Normal"/>
              <w:jc w:val="center"/>
              <w:rPr/>
            </w:pPr>
            <w:r>
              <w:rPr>
                <w:b w:val="false"/>
                <w:bCs w:val="false"/>
                <w:sz w:val="18"/>
                <w:szCs w:val="18"/>
              </w:rPr>
              <w:t>8</w:t>
            </w:r>
          </w:p>
        </w:tc>
        <w:tc>
          <w:tcPr>
            <w:tcW w:w="1439" w:type="dxa"/>
            <w:tcBorders>
              <w:top w:val="single" w:sz="4" w:space="0" w:color="000000"/>
              <w:start w:val="single" w:sz="4" w:space="0" w:color="000000"/>
              <w:bottom w:val="single" w:sz="4" w:space="0" w:color="000000"/>
              <w:end w:val="single" w:sz="4" w:space="0" w:color="000000"/>
            </w:tcBorders>
            <w:shd w:fill="FED7AA" w:val="clear"/>
            <w:vAlign w:val="center"/>
          </w:tcPr>
          <w:p>
            <w:pPr>
              <w:pStyle w:val="Normal"/>
              <w:jc w:val="center"/>
              <w:rPr/>
            </w:pPr>
            <w:r>
              <w:rPr>
                <w:b w:val="false"/>
                <w:bCs w:val="false"/>
                <w:sz w:val="18"/>
                <w:szCs w:val="18"/>
              </w:rPr>
              <w:t>12</w:t>
            </w:r>
          </w:p>
        </w:tc>
        <w:tc>
          <w:tcPr>
            <w:tcW w:w="1441" w:type="dxa"/>
            <w:tcBorders>
              <w:top w:val="single" w:sz="4" w:space="0" w:color="000000"/>
              <w:start w:val="single" w:sz="4" w:space="0" w:color="000000"/>
              <w:bottom w:val="single" w:sz="4" w:space="0" w:color="000000"/>
              <w:end w:val="single" w:sz="4" w:space="0" w:color="000000"/>
            </w:tcBorders>
            <w:shd w:fill="FECACA" w:val="clear"/>
            <w:vAlign w:val="center"/>
          </w:tcPr>
          <w:p>
            <w:pPr>
              <w:pStyle w:val="Normal"/>
              <w:jc w:val="center"/>
              <w:rPr/>
            </w:pPr>
            <w:r>
              <w:rPr>
                <w:b w:val="false"/>
                <w:bCs w:val="false"/>
                <w:sz w:val="18"/>
                <w:szCs w:val="18"/>
              </w:rPr>
              <w:t>16</w:t>
            </w:r>
          </w:p>
        </w:tc>
        <w:tc>
          <w:tcPr>
            <w:tcW w:w="1440" w:type="dxa"/>
            <w:tcBorders>
              <w:top w:val="single" w:sz="4" w:space="0" w:color="000000"/>
              <w:start w:val="single" w:sz="4" w:space="0" w:color="000000"/>
              <w:bottom w:val="single" w:sz="4" w:space="0" w:color="000000"/>
              <w:end w:val="single" w:sz="4" w:space="0" w:color="000000"/>
            </w:tcBorders>
            <w:shd w:fill="FECACA" w:val="clear"/>
            <w:vAlign w:val="center"/>
          </w:tcPr>
          <w:p>
            <w:pPr>
              <w:pStyle w:val="Normal"/>
              <w:jc w:val="center"/>
              <w:rPr/>
            </w:pPr>
            <w:r>
              <w:rPr>
                <w:b w:val="false"/>
                <w:bCs w:val="false"/>
                <w:sz w:val="18"/>
                <w:szCs w:val="18"/>
              </w:rPr>
              <w:t>20</w:t>
            </w:r>
          </w:p>
        </w:tc>
      </w:tr>
      <w:tr>
        <w:trPr/>
        <w:tc>
          <w:tcPr>
            <w:tcW w:w="1825"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center"/>
              <w:rPr/>
            </w:pPr>
            <w:r>
              <w:rPr>
                <w:b/>
                <w:bCs/>
                <w:sz w:val="18"/>
                <w:szCs w:val="18"/>
              </w:rPr>
              <w:t>3</w:t>
            </w:r>
          </w:p>
        </w:tc>
        <w:tc>
          <w:tcPr>
            <w:tcW w:w="1440" w:type="dxa"/>
            <w:tcBorders>
              <w:top w:val="single" w:sz="4" w:space="0" w:color="000000"/>
              <w:start w:val="single" w:sz="4" w:space="0" w:color="000000"/>
              <w:bottom w:val="single" w:sz="4" w:space="0" w:color="000000"/>
              <w:end w:val="single" w:sz="4" w:space="0" w:color="000000"/>
            </w:tcBorders>
            <w:shd w:fill="D1FAE5" w:val="clear"/>
            <w:vAlign w:val="center"/>
          </w:tcPr>
          <w:p>
            <w:pPr>
              <w:pStyle w:val="Normal"/>
              <w:jc w:val="center"/>
              <w:rPr/>
            </w:pPr>
            <w:r>
              <w:rPr>
                <w:b w:val="false"/>
                <w:bCs w:val="false"/>
                <w:sz w:val="18"/>
                <w:szCs w:val="18"/>
              </w:rPr>
              <w:t>3</w:t>
            </w:r>
          </w:p>
        </w:tc>
        <w:tc>
          <w:tcPr>
            <w:tcW w:w="1441" w:type="dxa"/>
            <w:tcBorders>
              <w:top w:val="single" w:sz="4" w:space="0" w:color="000000"/>
              <w:start w:val="single" w:sz="4" w:space="0" w:color="000000"/>
              <w:bottom w:val="single" w:sz="4" w:space="0" w:color="000000"/>
              <w:end w:val="single" w:sz="4" w:space="0" w:color="000000"/>
            </w:tcBorders>
            <w:shd w:fill="FEF3C7" w:val="clear"/>
            <w:vAlign w:val="center"/>
          </w:tcPr>
          <w:p>
            <w:pPr>
              <w:pStyle w:val="Normal"/>
              <w:jc w:val="center"/>
              <w:rPr/>
            </w:pPr>
            <w:r>
              <w:rPr>
                <w:b w:val="false"/>
                <w:bCs w:val="false"/>
                <w:sz w:val="18"/>
                <w:szCs w:val="18"/>
              </w:rPr>
              <w:t>6</w:t>
            </w:r>
          </w:p>
        </w:tc>
        <w:tc>
          <w:tcPr>
            <w:tcW w:w="1439" w:type="dxa"/>
            <w:tcBorders>
              <w:top w:val="single" w:sz="4" w:space="0" w:color="000000"/>
              <w:start w:val="single" w:sz="4" w:space="0" w:color="000000"/>
              <w:bottom w:val="single" w:sz="4" w:space="0" w:color="000000"/>
              <w:end w:val="single" w:sz="4" w:space="0" w:color="000000"/>
            </w:tcBorders>
            <w:shd w:fill="FEF3C7" w:val="clear"/>
            <w:vAlign w:val="center"/>
          </w:tcPr>
          <w:p>
            <w:pPr>
              <w:pStyle w:val="Normal"/>
              <w:jc w:val="center"/>
              <w:rPr/>
            </w:pPr>
            <w:r>
              <w:rPr>
                <w:b w:val="false"/>
                <w:bCs w:val="false"/>
                <w:sz w:val="18"/>
                <w:szCs w:val="18"/>
              </w:rPr>
              <w:t>9</w:t>
            </w:r>
          </w:p>
        </w:tc>
        <w:tc>
          <w:tcPr>
            <w:tcW w:w="1441" w:type="dxa"/>
            <w:tcBorders>
              <w:top w:val="single" w:sz="4" w:space="0" w:color="000000"/>
              <w:start w:val="single" w:sz="4" w:space="0" w:color="000000"/>
              <w:bottom w:val="single" w:sz="4" w:space="0" w:color="000000"/>
              <w:end w:val="single" w:sz="4" w:space="0" w:color="000000"/>
            </w:tcBorders>
            <w:shd w:fill="FED7AA" w:val="clear"/>
            <w:vAlign w:val="center"/>
          </w:tcPr>
          <w:p>
            <w:pPr>
              <w:pStyle w:val="Normal"/>
              <w:jc w:val="center"/>
              <w:rPr/>
            </w:pPr>
            <w:r>
              <w:rPr>
                <w:b w:val="false"/>
                <w:bCs w:val="false"/>
                <w:sz w:val="18"/>
                <w:szCs w:val="18"/>
              </w:rPr>
              <w:t>12</w:t>
            </w:r>
          </w:p>
        </w:tc>
        <w:tc>
          <w:tcPr>
            <w:tcW w:w="1440" w:type="dxa"/>
            <w:tcBorders>
              <w:top w:val="single" w:sz="4" w:space="0" w:color="000000"/>
              <w:start w:val="single" w:sz="4" w:space="0" w:color="000000"/>
              <w:bottom w:val="single" w:sz="4" w:space="0" w:color="000000"/>
              <w:end w:val="single" w:sz="4" w:space="0" w:color="000000"/>
            </w:tcBorders>
            <w:shd w:fill="FED7AA" w:val="clear"/>
            <w:vAlign w:val="center"/>
          </w:tcPr>
          <w:p>
            <w:pPr>
              <w:pStyle w:val="Normal"/>
              <w:jc w:val="center"/>
              <w:rPr/>
            </w:pPr>
            <w:r>
              <w:rPr>
                <w:b w:val="false"/>
                <w:bCs w:val="false"/>
                <w:sz w:val="18"/>
                <w:szCs w:val="18"/>
              </w:rPr>
              <w:t>15</w:t>
            </w:r>
          </w:p>
        </w:tc>
      </w:tr>
      <w:tr>
        <w:trPr/>
        <w:tc>
          <w:tcPr>
            <w:tcW w:w="1825"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center"/>
              <w:rPr/>
            </w:pPr>
            <w:r>
              <w:rPr>
                <w:b/>
                <w:bCs/>
                <w:sz w:val="18"/>
                <w:szCs w:val="18"/>
              </w:rPr>
              <w:t>2</w:t>
            </w:r>
          </w:p>
        </w:tc>
        <w:tc>
          <w:tcPr>
            <w:tcW w:w="1440" w:type="dxa"/>
            <w:tcBorders>
              <w:top w:val="single" w:sz="4" w:space="0" w:color="000000"/>
              <w:start w:val="single" w:sz="4" w:space="0" w:color="000000"/>
              <w:bottom w:val="single" w:sz="4" w:space="0" w:color="000000"/>
              <w:end w:val="single" w:sz="4" w:space="0" w:color="000000"/>
            </w:tcBorders>
            <w:shd w:fill="D1FAE5" w:val="clear"/>
            <w:vAlign w:val="center"/>
          </w:tcPr>
          <w:p>
            <w:pPr>
              <w:pStyle w:val="Normal"/>
              <w:jc w:val="center"/>
              <w:rPr/>
            </w:pPr>
            <w:r>
              <w:rPr>
                <w:b w:val="false"/>
                <w:bCs w:val="false"/>
                <w:sz w:val="18"/>
                <w:szCs w:val="18"/>
              </w:rPr>
              <w:t>2</w:t>
            </w:r>
          </w:p>
        </w:tc>
        <w:tc>
          <w:tcPr>
            <w:tcW w:w="1441" w:type="dxa"/>
            <w:tcBorders>
              <w:top w:val="single" w:sz="4" w:space="0" w:color="000000"/>
              <w:start w:val="single" w:sz="4" w:space="0" w:color="000000"/>
              <w:bottom w:val="single" w:sz="4" w:space="0" w:color="000000"/>
              <w:end w:val="single" w:sz="4" w:space="0" w:color="000000"/>
            </w:tcBorders>
            <w:shd w:fill="D1FAE5" w:val="clear"/>
            <w:vAlign w:val="center"/>
          </w:tcPr>
          <w:p>
            <w:pPr>
              <w:pStyle w:val="Normal"/>
              <w:jc w:val="center"/>
              <w:rPr/>
            </w:pPr>
            <w:r>
              <w:rPr>
                <w:b w:val="false"/>
                <w:bCs w:val="false"/>
                <w:sz w:val="18"/>
                <w:szCs w:val="18"/>
              </w:rPr>
              <w:t>4</w:t>
            </w:r>
          </w:p>
        </w:tc>
        <w:tc>
          <w:tcPr>
            <w:tcW w:w="1439" w:type="dxa"/>
            <w:tcBorders>
              <w:top w:val="single" w:sz="4" w:space="0" w:color="000000"/>
              <w:start w:val="single" w:sz="4" w:space="0" w:color="000000"/>
              <w:bottom w:val="single" w:sz="4" w:space="0" w:color="000000"/>
              <w:end w:val="single" w:sz="4" w:space="0" w:color="000000"/>
            </w:tcBorders>
            <w:shd w:fill="FEF3C7" w:val="clear"/>
            <w:vAlign w:val="center"/>
          </w:tcPr>
          <w:p>
            <w:pPr>
              <w:pStyle w:val="Normal"/>
              <w:jc w:val="center"/>
              <w:rPr/>
            </w:pPr>
            <w:r>
              <w:rPr>
                <w:b w:val="false"/>
                <w:bCs w:val="false"/>
                <w:sz w:val="18"/>
                <w:szCs w:val="18"/>
              </w:rPr>
              <w:t>6</w:t>
            </w:r>
          </w:p>
        </w:tc>
        <w:tc>
          <w:tcPr>
            <w:tcW w:w="1441" w:type="dxa"/>
            <w:tcBorders>
              <w:top w:val="single" w:sz="4" w:space="0" w:color="000000"/>
              <w:start w:val="single" w:sz="4" w:space="0" w:color="000000"/>
              <w:bottom w:val="single" w:sz="4" w:space="0" w:color="000000"/>
              <w:end w:val="single" w:sz="4" w:space="0" w:color="000000"/>
            </w:tcBorders>
            <w:shd w:fill="FEF3C7" w:val="clear"/>
            <w:vAlign w:val="center"/>
          </w:tcPr>
          <w:p>
            <w:pPr>
              <w:pStyle w:val="Normal"/>
              <w:jc w:val="center"/>
              <w:rPr/>
            </w:pPr>
            <w:r>
              <w:rPr>
                <w:b w:val="false"/>
                <w:bCs w:val="false"/>
                <w:sz w:val="18"/>
                <w:szCs w:val="18"/>
              </w:rPr>
              <w:t>8</w:t>
            </w:r>
          </w:p>
        </w:tc>
        <w:tc>
          <w:tcPr>
            <w:tcW w:w="1440" w:type="dxa"/>
            <w:tcBorders>
              <w:top w:val="single" w:sz="4" w:space="0" w:color="000000"/>
              <w:start w:val="single" w:sz="4" w:space="0" w:color="000000"/>
              <w:bottom w:val="single" w:sz="4" w:space="0" w:color="000000"/>
              <w:end w:val="single" w:sz="4" w:space="0" w:color="000000"/>
            </w:tcBorders>
            <w:shd w:fill="FED7AA" w:val="clear"/>
            <w:vAlign w:val="center"/>
          </w:tcPr>
          <w:p>
            <w:pPr>
              <w:pStyle w:val="Normal"/>
              <w:jc w:val="center"/>
              <w:rPr/>
            </w:pPr>
            <w:r>
              <w:rPr>
                <w:b w:val="false"/>
                <w:bCs w:val="false"/>
                <w:sz w:val="18"/>
                <w:szCs w:val="18"/>
              </w:rPr>
              <w:t>10</w:t>
            </w:r>
          </w:p>
        </w:tc>
      </w:tr>
      <w:tr>
        <w:trPr/>
        <w:tc>
          <w:tcPr>
            <w:tcW w:w="1825"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center"/>
              <w:rPr/>
            </w:pPr>
            <w:r>
              <w:rPr>
                <w:b/>
                <w:bCs/>
                <w:sz w:val="18"/>
                <w:szCs w:val="18"/>
              </w:rPr>
              <w:t>1</w:t>
            </w:r>
          </w:p>
        </w:tc>
        <w:tc>
          <w:tcPr>
            <w:tcW w:w="1440" w:type="dxa"/>
            <w:tcBorders>
              <w:top w:val="single" w:sz="4" w:space="0" w:color="000000"/>
              <w:start w:val="single" w:sz="4" w:space="0" w:color="000000"/>
              <w:bottom w:val="single" w:sz="4" w:space="0" w:color="000000"/>
              <w:end w:val="single" w:sz="4" w:space="0" w:color="000000"/>
            </w:tcBorders>
            <w:shd w:fill="D1FAE5" w:val="clear"/>
            <w:vAlign w:val="center"/>
          </w:tcPr>
          <w:p>
            <w:pPr>
              <w:pStyle w:val="Normal"/>
              <w:jc w:val="center"/>
              <w:rPr/>
            </w:pPr>
            <w:r>
              <w:rPr>
                <w:b w:val="false"/>
                <w:bCs w:val="false"/>
                <w:sz w:val="18"/>
                <w:szCs w:val="18"/>
              </w:rPr>
              <w:t>1</w:t>
            </w:r>
          </w:p>
        </w:tc>
        <w:tc>
          <w:tcPr>
            <w:tcW w:w="1441" w:type="dxa"/>
            <w:tcBorders>
              <w:top w:val="single" w:sz="4" w:space="0" w:color="000000"/>
              <w:start w:val="single" w:sz="4" w:space="0" w:color="000000"/>
              <w:bottom w:val="single" w:sz="4" w:space="0" w:color="000000"/>
              <w:end w:val="single" w:sz="4" w:space="0" w:color="000000"/>
            </w:tcBorders>
            <w:shd w:fill="D1FAE5" w:val="clear"/>
            <w:vAlign w:val="center"/>
          </w:tcPr>
          <w:p>
            <w:pPr>
              <w:pStyle w:val="Normal"/>
              <w:jc w:val="center"/>
              <w:rPr/>
            </w:pPr>
            <w:r>
              <w:rPr>
                <w:b w:val="false"/>
                <w:bCs w:val="false"/>
                <w:sz w:val="18"/>
                <w:szCs w:val="18"/>
              </w:rPr>
              <w:t>2</w:t>
            </w:r>
          </w:p>
        </w:tc>
        <w:tc>
          <w:tcPr>
            <w:tcW w:w="1439" w:type="dxa"/>
            <w:tcBorders>
              <w:top w:val="single" w:sz="4" w:space="0" w:color="000000"/>
              <w:start w:val="single" w:sz="4" w:space="0" w:color="000000"/>
              <w:bottom w:val="single" w:sz="4" w:space="0" w:color="000000"/>
              <w:end w:val="single" w:sz="4" w:space="0" w:color="000000"/>
            </w:tcBorders>
            <w:shd w:fill="D1FAE5" w:val="clear"/>
            <w:vAlign w:val="center"/>
          </w:tcPr>
          <w:p>
            <w:pPr>
              <w:pStyle w:val="Normal"/>
              <w:jc w:val="center"/>
              <w:rPr/>
            </w:pPr>
            <w:r>
              <w:rPr>
                <w:b w:val="false"/>
                <w:bCs w:val="false"/>
                <w:sz w:val="18"/>
                <w:szCs w:val="18"/>
              </w:rPr>
              <w:t>3</w:t>
            </w:r>
          </w:p>
        </w:tc>
        <w:tc>
          <w:tcPr>
            <w:tcW w:w="1441" w:type="dxa"/>
            <w:tcBorders>
              <w:top w:val="single" w:sz="4" w:space="0" w:color="000000"/>
              <w:start w:val="single" w:sz="4" w:space="0" w:color="000000"/>
              <w:bottom w:val="single" w:sz="4" w:space="0" w:color="000000"/>
              <w:end w:val="single" w:sz="4" w:space="0" w:color="000000"/>
            </w:tcBorders>
            <w:shd w:fill="D1FAE5" w:val="clear"/>
            <w:vAlign w:val="center"/>
          </w:tcPr>
          <w:p>
            <w:pPr>
              <w:pStyle w:val="Normal"/>
              <w:jc w:val="center"/>
              <w:rPr/>
            </w:pPr>
            <w:r>
              <w:rPr>
                <w:b w:val="false"/>
                <w:bCs w:val="false"/>
                <w:sz w:val="18"/>
                <w:szCs w:val="18"/>
              </w:rPr>
              <w:t>4</w:t>
            </w:r>
          </w:p>
        </w:tc>
        <w:tc>
          <w:tcPr>
            <w:tcW w:w="1440" w:type="dxa"/>
            <w:tcBorders>
              <w:top w:val="single" w:sz="4" w:space="0" w:color="000000"/>
              <w:start w:val="single" w:sz="4" w:space="0" w:color="000000"/>
              <w:bottom w:val="single" w:sz="4" w:space="0" w:color="000000"/>
              <w:end w:val="single" w:sz="4" w:space="0" w:color="000000"/>
            </w:tcBorders>
            <w:shd w:fill="FEF3C7" w:val="clear"/>
            <w:vAlign w:val="center"/>
          </w:tcPr>
          <w:p>
            <w:pPr>
              <w:pStyle w:val="Normal"/>
              <w:jc w:val="center"/>
              <w:rPr/>
            </w:pPr>
            <w:r>
              <w:rPr>
                <w:b w:val="false"/>
                <w:bCs w:val="false"/>
                <w:sz w:val="18"/>
                <w:szCs w:val="18"/>
              </w:rPr>
              <w:t>5</w:t>
            </w:r>
          </w:p>
        </w:tc>
      </w:tr>
    </w:tbl>
    <w:p>
      <w:pPr>
        <w:pStyle w:val="Normal"/>
        <w:spacing w:before="0" w:after="200"/>
        <w:rPr/>
      </w:pPr>
      <w:r>
        <w:rPr/>
      </w:r>
    </w:p>
    <w:p>
      <w:pPr>
        <w:pStyle w:val="Heading2"/>
        <w:spacing w:before="300" w:after="150"/>
        <w:rPr/>
      </w:pPr>
      <w:r>
        <w:rPr/>
        <w:t>6.5 Cálculo aplicado a escenarios concretos del caso</w:t>
      </w:r>
    </w:p>
    <w:tbl>
      <w:tblPr>
        <w:tblW w:w="9026" w:type="dxa"/>
        <w:jc w:val="start"/>
        <w:tblInd w:w="0" w:type="dxa"/>
        <w:tblLayout w:type="fixed"/>
        <w:tblCellMar>
          <w:top w:w="0" w:type="dxa"/>
          <w:start w:w="108" w:type="dxa"/>
          <w:bottom w:w="0" w:type="dxa"/>
          <w:end w:w="108" w:type="dxa"/>
        </w:tblCellMar>
      </w:tblPr>
      <w:tblGrid>
        <w:gridCol w:w="3799"/>
        <w:gridCol w:w="900"/>
        <w:gridCol w:w="1000"/>
        <w:gridCol w:w="1527"/>
        <w:gridCol w:w="1800"/>
      </w:tblGrid>
      <w:tr>
        <w:trPr/>
        <w:tc>
          <w:tcPr>
            <w:tcW w:w="3799"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rPr/>
            </w:pPr>
            <w:r>
              <w:rPr>
                <w:b/>
                <w:bCs/>
                <w:color w:val="FFFFFF"/>
                <w:sz w:val="18"/>
                <w:szCs w:val="18"/>
              </w:rPr>
              <w:t>Escenario de riesgo</w:t>
            </w:r>
          </w:p>
        </w:tc>
        <w:tc>
          <w:tcPr>
            <w:tcW w:w="900"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rPr/>
            </w:pPr>
            <w:r>
              <w:rPr>
                <w:b/>
                <w:bCs/>
                <w:color w:val="FFFFFF"/>
                <w:sz w:val="18"/>
                <w:szCs w:val="18"/>
              </w:rPr>
              <w:t>Prob.</w:t>
            </w:r>
          </w:p>
        </w:tc>
        <w:tc>
          <w:tcPr>
            <w:tcW w:w="1000"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rPr/>
            </w:pPr>
            <w:r>
              <w:rPr>
                <w:b/>
                <w:bCs/>
                <w:color w:val="FFFFFF"/>
                <w:sz w:val="18"/>
                <w:szCs w:val="18"/>
              </w:rPr>
              <w:t>Impacto</w:t>
            </w:r>
          </w:p>
        </w:tc>
        <w:tc>
          <w:tcPr>
            <w:tcW w:w="1527"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rPr/>
            </w:pPr>
            <w:r>
              <w:rPr>
                <w:b/>
                <w:bCs/>
                <w:color w:val="FFFFFF"/>
                <w:sz w:val="18"/>
                <w:szCs w:val="18"/>
              </w:rPr>
              <w:t>Riesgo (P×I)</w:t>
            </w:r>
          </w:p>
        </w:tc>
        <w:tc>
          <w:tcPr>
            <w:tcW w:w="1800"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rPr/>
            </w:pPr>
            <w:r>
              <w:rPr>
                <w:b/>
                <w:bCs/>
                <w:color w:val="FFFFFF"/>
                <w:sz w:val="18"/>
                <w:szCs w:val="18"/>
              </w:rPr>
              <w:t>Nivel</w:t>
            </w:r>
          </w:p>
        </w:tc>
      </w:tr>
      <w:tr>
        <w:trPr/>
        <w:tc>
          <w:tcPr>
            <w:tcW w:w="3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18"/>
                <w:szCs w:val="18"/>
              </w:rPr>
              <w:t>Infección por HackTool.AutoKMS sin detección (contrafactual)</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5</w:t>
            </w:r>
          </w:p>
        </w:tc>
        <w:tc>
          <w:tcPr>
            <w:tcW w:w="1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3</w:t>
            </w:r>
          </w:p>
        </w:tc>
        <w:tc>
          <w:tcPr>
            <w:tcW w:w="1527"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15</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Alto</w:t>
            </w:r>
          </w:p>
        </w:tc>
      </w:tr>
      <w:tr>
        <w:trPr/>
        <w:tc>
          <w:tcPr>
            <w:tcW w:w="37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center"/>
              <w:rPr/>
            </w:pPr>
            <w:r>
              <w:rPr>
                <w:b w:val="false"/>
                <w:bCs w:val="false"/>
                <w:sz w:val="18"/>
                <w:szCs w:val="18"/>
              </w:rPr>
              <w:t>Backdoor/Trojan real oculto tras el crack</w:t>
            </w:r>
          </w:p>
        </w:tc>
        <w:tc>
          <w:tcPr>
            <w:tcW w:w="90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start"/>
              <w:rPr/>
            </w:pPr>
            <w:r>
              <w:rPr>
                <w:b w:val="false"/>
                <w:bCs w:val="false"/>
                <w:sz w:val="18"/>
                <w:szCs w:val="18"/>
              </w:rPr>
              <w:t>4</w:t>
            </w:r>
          </w:p>
        </w:tc>
        <w:tc>
          <w:tcPr>
            <w:tcW w:w="100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start"/>
              <w:rPr/>
            </w:pPr>
            <w:r>
              <w:rPr>
                <w:b w:val="false"/>
                <w:bCs w:val="false"/>
                <w:sz w:val="18"/>
                <w:szCs w:val="18"/>
              </w:rPr>
              <w:t>5</w:t>
            </w:r>
          </w:p>
        </w:tc>
        <w:tc>
          <w:tcPr>
            <w:tcW w:w="1527"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start"/>
              <w:rPr/>
            </w:pPr>
            <w:r>
              <w:rPr>
                <w:b w:val="false"/>
                <w:bCs w:val="false"/>
                <w:sz w:val="18"/>
                <w:szCs w:val="18"/>
              </w:rPr>
              <w:t>20</w:t>
            </w:r>
          </w:p>
        </w:tc>
        <w:tc>
          <w:tcPr>
            <w:tcW w:w="180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start"/>
              <w:rPr/>
            </w:pPr>
            <w:r>
              <w:rPr>
                <w:b w:val="false"/>
                <w:bCs w:val="false"/>
                <w:sz w:val="18"/>
                <w:szCs w:val="18"/>
              </w:rPr>
              <w:t>Crítico</w:t>
            </w:r>
          </w:p>
        </w:tc>
      </w:tr>
      <w:tr>
        <w:trPr/>
        <w:tc>
          <w:tcPr>
            <w:tcW w:w="3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18"/>
                <w:szCs w:val="18"/>
              </w:rPr>
              <w:t>Exposición por SO sin soporte (vulnerabilidades no parcheadas)</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5</w:t>
            </w:r>
          </w:p>
        </w:tc>
        <w:tc>
          <w:tcPr>
            <w:tcW w:w="1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4</w:t>
            </w:r>
          </w:p>
        </w:tc>
        <w:tc>
          <w:tcPr>
            <w:tcW w:w="1527"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20</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Crítico</w:t>
            </w:r>
          </w:p>
        </w:tc>
      </w:tr>
      <w:tr>
        <w:trPr/>
        <w:tc>
          <w:tcPr>
            <w:tcW w:w="37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center"/>
              <w:rPr/>
            </w:pPr>
            <w:r>
              <w:rPr>
                <w:b w:val="false"/>
                <w:bCs w:val="false"/>
                <w:sz w:val="18"/>
                <w:szCs w:val="18"/>
              </w:rPr>
              <w:t>Robo de credenciales guardadas en navegador</w:t>
            </w:r>
          </w:p>
        </w:tc>
        <w:tc>
          <w:tcPr>
            <w:tcW w:w="90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start"/>
              <w:rPr/>
            </w:pPr>
            <w:r>
              <w:rPr>
                <w:b w:val="false"/>
                <w:bCs w:val="false"/>
                <w:sz w:val="18"/>
                <w:szCs w:val="18"/>
              </w:rPr>
              <w:t>4</w:t>
            </w:r>
          </w:p>
        </w:tc>
        <w:tc>
          <w:tcPr>
            <w:tcW w:w="100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start"/>
              <w:rPr/>
            </w:pPr>
            <w:r>
              <w:rPr>
                <w:b w:val="false"/>
                <w:bCs w:val="false"/>
                <w:sz w:val="18"/>
                <w:szCs w:val="18"/>
              </w:rPr>
              <w:t>5</w:t>
            </w:r>
          </w:p>
        </w:tc>
        <w:tc>
          <w:tcPr>
            <w:tcW w:w="1527"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start"/>
              <w:rPr/>
            </w:pPr>
            <w:r>
              <w:rPr>
                <w:b w:val="false"/>
                <w:bCs w:val="false"/>
                <w:sz w:val="18"/>
                <w:szCs w:val="18"/>
              </w:rPr>
              <w:t>20</w:t>
            </w:r>
          </w:p>
        </w:tc>
        <w:tc>
          <w:tcPr>
            <w:tcW w:w="180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jc w:val="start"/>
              <w:rPr/>
            </w:pPr>
            <w:r>
              <w:rPr>
                <w:b w:val="false"/>
                <w:bCs w:val="false"/>
                <w:sz w:val="18"/>
                <w:szCs w:val="18"/>
              </w:rPr>
              <w:t>Crítico</w:t>
            </w:r>
          </w:p>
        </w:tc>
      </w:tr>
      <w:tr>
        <w:trPr/>
        <w:tc>
          <w:tcPr>
            <w:tcW w:w="3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18"/>
                <w:szCs w:val="18"/>
              </w:rPr>
              <w:t>Equipo usado en botnet / minería (recursos)</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3</w:t>
            </w:r>
          </w:p>
        </w:tc>
        <w:tc>
          <w:tcPr>
            <w:tcW w:w="1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3</w:t>
            </w:r>
          </w:p>
        </w:tc>
        <w:tc>
          <w:tcPr>
            <w:tcW w:w="1527"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9</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18"/>
                <w:szCs w:val="18"/>
              </w:rPr>
              <w:t>Medio</w:t>
            </w:r>
          </w:p>
        </w:tc>
      </w:tr>
    </w:tbl>
    <w:p>
      <w:pPr>
        <w:pStyle w:val="Normal"/>
        <w:spacing w:before="0" w:after="200"/>
        <w:rPr/>
      </w:pPr>
      <w:r>
        <w:rPr/>
      </w:r>
    </w:p>
    <w:p>
      <w:pPr>
        <w:pStyle w:val="Normal"/>
        <w:spacing w:before="0" w:after="160"/>
        <w:jc w:val="both"/>
        <w:rPr/>
      </w:pPr>
      <w:r>
        <w:rPr/>
        <w:t>Interpretación: previo a la detección y remediación, el equipo presentaba una probabilidad de compromiso Alta a Muy Alta (4-5) por combinar sistema operativo sin parches, ausencia de antivirus funcional y evidencia de descarga de software de fuentes no confiables. Combinado con impactos potenciales de Alto a Muy Alto (robo de credenciales, backdoor, uso como parte de una botnet), el riesgo agregado del equipo se ubica mayormente en la banda Alta-Crítica (15-20 sobre 25).</w:t>
      </w:r>
    </w:p>
    <w:p>
      <w:pPr>
        <w:pStyle w:val="Heading1"/>
        <w:spacing w:before="400" w:after="200"/>
        <w:rPr/>
      </w:pPr>
      <w:r>
        <w:rPr/>
        <w:t>7. Consecuencias Potenciales Identificadas</w:t>
      </w:r>
    </w:p>
    <w:p>
      <w:pPr>
        <w:pStyle w:val="ListParagraph"/>
        <w:numPr>
          <w:ilvl w:val="0"/>
          <w:numId w:val="1"/>
        </w:numPr>
        <w:spacing w:before="0" w:after="80"/>
        <w:rPr/>
      </w:pPr>
      <w:r>
        <w:rPr>
          <w:b w:val="false"/>
          <w:bCs w:val="false"/>
        </w:rPr>
        <w:t>Robo de credenciales almacenadas en el navegador (correo, redes sociales, banca online).</w:t>
      </w:r>
    </w:p>
    <w:p>
      <w:pPr>
        <w:pStyle w:val="ListParagraph"/>
        <w:numPr>
          <w:ilvl w:val="0"/>
          <w:numId w:val="1"/>
        </w:numPr>
        <w:spacing w:before="0" w:after="80"/>
        <w:rPr/>
      </w:pPr>
      <w:r>
        <w:rPr>
          <w:b w:val="false"/>
          <w:bCs w:val="false"/>
        </w:rPr>
        <w:t>Instalación de un backdoor que otorgue acceso remoto persistente al equipo.</w:t>
      </w:r>
    </w:p>
    <w:p>
      <w:pPr>
        <w:pStyle w:val="ListParagraph"/>
        <w:numPr>
          <w:ilvl w:val="0"/>
          <w:numId w:val="1"/>
        </w:numPr>
        <w:spacing w:before="0" w:after="80"/>
        <w:rPr/>
      </w:pPr>
      <w:r>
        <w:rPr>
          <w:b w:val="false"/>
          <w:bCs w:val="false"/>
        </w:rPr>
        <w:t>Uso del equipo como nodo de una botnet (envío de spam, ataques DDoS, minería de criptomonedas no autorizada) sin conocimiento del usuario.</w:t>
      </w:r>
    </w:p>
    <w:p>
      <w:pPr>
        <w:pStyle w:val="ListParagraph"/>
        <w:numPr>
          <w:ilvl w:val="0"/>
          <w:numId w:val="1"/>
        </w:numPr>
        <w:spacing w:before="0" w:after="80"/>
        <w:rPr/>
      </w:pPr>
      <w:r>
        <w:rPr>
          <w:b w:val="false"/>
          <w:bCs w:val="false"/>
        </w:rPr>
        <w:t>Explotación de vulnerabilidades conocidas y no parcheadas de Windows 7 (el sistema no recibe correcciones desde 2020, salvo ESU pago para empresas).</w:t>
      </w:r>
    </w:p>
    <w:p>
      <w:pPr>
        <w:pStyle w:val="ListParagraph"/>
        <w:numPr>
          <w:ilvl w:val="0"/>
          <w:numId w:val="1"/>
        </w:numPr>
        <w:spacing w:before="0" w:after="80"/>
        <w:rPr/>
      </w:pPr>
      <w:r>
        <w:rPr>
          <w:b w:val="false"/>
          <w:bCs w:val="false"/>
        </w:rPr>
        <w:t>Pérdida de integridad del sistema operativo por modificación de archivos críticos realizada por AutoKMS.</w:t>
      </w:r>
    </w:p>
    <w:p>
      <w:pPr>
        <w:pStyle w:val="ListParagraph"/>
        <w:numPr>
          <w:ilvl w:val="0"/>
          <w:numId w:val="1"/>
        </w:numPr>
        <w:spacing w:before="0" w:after="80"/>
        <w:rPr/>
      </w:pPr>
      <w:r>
        <w:rPr>
          <w:b w:val="false"/>
          <w:bCs w:val="false"/>
        </w:rPr>
        <w:t>Riesgo legal/de licenciamiento por el uso de software de activación no autorizado.</w:t>
      </w:r>
    </w:p>
    <w:p>
      <w:pPr>
        <w:pStyle w:val="Heading1"/>
        <w:spacing w:before="400" w:after="200"/>
        <w:rPr/>
      </w:pPr>
      <w:r>
        <w:rPr/>
        <w:t>8. Plan de Remediación Recomendado</w:t>
      </w:r>
    </w:p>
    <w:p>
      <w:pPr>
        <w:pStyle w:val="ListParagraph"/>
        <w:numPr>
          <w:ilvl w:val="0"/>
          <w:numId w:val="1"/>
        </w:numPr>
        <w:spacing w:before="0" w:after="80"/>
        <w:rPr/>
      </w:pPr>
      <w:r>
        <w:rPr>
          <w:b w:val="false"/>
          <w:bCs w:val="false"/>
        </w:rPr>
        <w:t>Confirmar la eliminación definitiva de los 17 archivos en cuarentena y ejecutar un segundo escaneo completo para verificar limpieza.</w:t>
      </w:r>
    </w:p>
    <w:p>
      <w:pPr>
        <w:pStyle w:val="ListParagraph"/>
        <w:numPr>
          <w:ilvl w:val="0"/>
          <w:numId w:val="1"/>
        </w:numPr>
        <w:spacing w:before="0" w:after="80"/>
        <w:rPr/>
      </w:pPr>
      <w:r>
        <w:rPr>
          <w:b w:val="false"/>
          <w:bCs w:val="false"/>
        </w:rPr>
        <w:t>Desinstalar cualquier software de activación ilegal ("crack", "activador", "loader") y reemplazarlo por una licencia legítima de Windows/Office.</w:t>
      </w:r>
    </w:p>
    <w:p>
      <w:pPr>
        <w:pStyle w:val="ListParagraph"/>
        <w:numPr>
          <w:ilvl w:val="0"/>
          <w:numId w:val="1"/>
        </w:numPr>
        <w:spacing w:before="0" w:after="80"/>
        <w:rPr/>
      </w:pPr>
      <w:r>
        <w:rPr>
          <w:b w:val="false"/>
          <w:bCs w:val="false"/>
        </w:rPr>
        <w:t>Evaluar la migración a un sistema operativo con soporte activo (Windows 10/11 si el hardware lo permite, o una distribución Linux liviana como alternativa gratuita y segura para hardware antiguo).</w:t>
      </w:r>
    </w:p>
    <w:p>
      <w:pPr>
        <w:pStyle w:val="ListParagraph"/>
        <w:numPr>
          <w:ilvl w:val="0"/>
          <w:numId w:val="1"/>
        </w:numPr>
        <w:spacing w:before="0" w:after="80"/>
        <w:rPr/>
      </w:pPr>
      <w:r>
        <w:rPr>
          <w:b w:val="false"/>
          <w:bCs w:val="false"/>
        </w:rPr>
        <w:t>Instalar y mantener actualizado un antivirus/antimalware con soporte vigente (ej. Malwarebytes Premium, Windows Defender en un SO soportado, o alternativas gratuitas activamente mantenidas).</w:t>
      </w:r>
    </w:p>
    <w:p>
      <w:pPr>
        <w:pStyle w:val="ListParagraph"/>
        <w:numPr>
          <w:ilvl w:val="0"/>
          <w:numId w:val="1"/>
        </w:numPr>
        <w:spacing w:before="0" w:after="80"/>
        <w:rPr/>
      </w:pPr>
      <w:r>
        <w:rPr>
          <w:b w:val="false"/>
          <w:bCs w:val="false"/>
        </w:rPr>
        <w:t>Cambiar todas las contraseñas guardadas en navegadores desde ese equipo, asumiendo posible exposición previa (higiene de credenciales).</w:t>
      </w:r>
    </w:p>
    <w:p>
      <w:pPr>
        <w:pStyle w:val="ListParagraph"/>
        <w:numPr>
          <w:ilvl w:val="0"/>
          <w:numId w:val="1"/>
        </w:numPr>
        <w:spacing w:before="0" w:after="80"/>
        <w:rPr/>
      </w:pPr>
      <w:r>
        <w:rPr>
          <w:b w:val="false"/>
          <w:bCs w:val="false"/>
        </w:rPr>
        <w:t>Activar un firewall correctamente configurado y limitar la instalación de software a fuentes oficiales.</w:t>
      </w:r>
    </w:p>
    <w:p>
      <w:pPr>
        <w:pStyle w:val="ListParagraph"/>
        <w:numPr>
          <w:ilvl w:val="0"/>
          <w:numId w:val="1"/>
        </w:numPr>
        <w:spacing w:before="0" w:after="80"/>
        <w:rPr/>
      </w:pPr>
      <w:r>
        <w:rPr>
          <w:b w:val="false"/>
          <w:bCs w:val="false"/>
        </w:rPr>
        <w:t>Realizar copias de seguridad periódicas de los datos antes de continuar usando el equipo.</w:t>
      </w:r>
    </w:p>
    <w:p>
      <w:pPr>
        <w:pStyle w:val="Heading1"/>
        <w:spacing w:before="400" w:after="200"/>
        <w:rPr/>
      </w:pPr>
      <w:r>
        <w:rPr/>
        <w:t>9. Lecciones Aprendidas</w:t>
      </w:r>
    </w:p>
    <w:p>
      <w:pPr>
        <w:pStyle w:val="Normal"/>
        <w:spacing w:before="0" w:after="160"/>
        <w:jc w:val="both"/>
        <w:rPr/>
      </w:pPr>
      <w:r>
        <w:rPr/>
        <w:t>Este caso ilustra de forma concreta varios principios centrales de Cybersecurity Fundamentals: la importancia de mantener sistemas operativos dentro de su ciclo de vida de soporte, el rol de las herramientas antimalware actualizadas como control preventivo, y cómo software aparentemente inofensivo (un "activador" de licencias) puede constituir en sí mismo un vector de riesgo elevado por las técnicas que emplea y el ecosistema de distribución en el que circula.</w:t>
      </w:r>
    </w:p>
    <w:p>
      <w:pPr>
        <w:pStyle w:val="Normal"/>
        <w:spacing w:before="0" w:after="160"/>
        <w:jc w:val="both"/>
        <w:rPr/>
      </w:pPr>
      <w:r>
        <w:rPr/>
        <w:t>Además, refuerza el concepto de gestión de riesgo como proceso continuo: no basta con eliminar los archivos detectados, sino que es necesario abordar la causa raíz (sistema sin soporte, ausencia de higiene de descargas) para reducir la probabilidad de recurrencia.</w:t>
      </w:r>
    </w:p>
    <w:p>
      <w:pPr>
        <w:pStyle w:val="Heading1"/>
        <w:spacing w:before="400" w:after="200"/>
        <w:rPr/>
      </w:pPr>
      <w:r>
        <w:rPr/>
        <w:t>10. Conclusión</w:t>
      </w:r>
    </w:p>
    <w:p>
      <w:pPr>
        <w:pStyle w:val="Normal"/>
        <w:spacing w:before="0" w:after="160"/>
        <w:jc w:val="both"/>
        <w:rPr/>
      </w:pPr>
      <w:r>
        <w:rPr/>
        <w:t>El análisis realizado con Malwarebytes permitió identificar y neutralizar 17 amenazas en un equipo que operaba en condiciones de alta exposición (Windows 7 sin soporte y sin antivirus activo). La aplicación del modelo Riesgo = Probabilidad × Impacto permitió cuantificar que el equipo se encontraba, antes de la remediación, en una banda de riesgo Alta a Crítica. Se recomienda implementar el plan de remediación propuesto y, de ser posible, actualizar el sistema operativo como medida estructural para reducir la probabilidad de incidentes futuros.</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B7280"/>
        <w:sz w:val="16"/>
        <w:szCs w:val="16"/>
      </w:rPr>
      <w:t xml:space="preserve">Página </w:t>
    </w:r>
    <w:r>
      <w:rPr/>
      <w:fldChar w:fldCharType="begin"/>
    </w:r>
    <w:r>
      <w:rPr/>
      <w:instrText xml:space="preserve"> PAGE </w:instrText>
    </w:r>
    <w:r>
      <w:rPr/>
      <w:fldChar w:fldCharType="separate"/>
    </w:r>
    <w:r>
      <w:rPr/>
      <w:t>3</w:t>
    </w:r>
    <w:r>
      <w:rPr/>
      <w:fldChar w:fldCharType="end"/>
    </w:r>
    <w:r>
      <w:rPr>
        <w:color w:val="6B7280"/>
        <w:sz w:val="16"/>
        <w:szCs w:val="16"/>
      </w:rPr>
      <w:t xml:space="preserve"> de </w:t>
    </w:r>
    <w:r>
      <w:rPr/>
      <w:fldChar w:fldCharType="begin"/>
    </w:r>
    <w:r>
      <w:rPr/>
      <w:instrText xml:space="preserve"> NUMPAGES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B7280"/>
        <w:sz w:val="16"/>
        <w:szCs w:val="16"/>
      </w:rPr>
      <w:t xml:space="preserve">Página </w:t>
    </w:r>
    <w:r>
      <w:rPr/>
      <w:fldChar w:fldCharType="begin"/>
    </w:r>
    <w:r>
      <w:rPr/>
      <w:instrText xml:space="preserve"> PAGE </w:instrText>
    </w:r>
    <w:r>
      <w:rPr/>
      <w:fldChar w:fldCharType="separate"/>
    </w:r>
    <w:r>
      <w:rPr/>
      <w:t>3</w:t>
    </w:r>
    <w:r>
      <w:rPr/>
      <w:fldChar w:fldCharType="end"/>
    </w:r>
    <w:r>
      <w:rPr>
        <w:color w:val="6B7280"/>
        <w:sz w:val="16"/>
        <w:szCs w:val="16"/>
      </w:rPr>
      <w:t xml:space="preserve"> de </w:t>
    </w:r>
    <w:r>
      <w:rPr/>
      <w:fldChar w:fldCharType="begin"/>
    </w:r>
    <w:r>
      <w:rPr/>
      <w:instrText xml:space="preserve"> NUMPAGES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6B7280"/>
        <w:sz w:val="16"/>
        <w:szCs w:val="16"/>
      </w:rPr>
      <w:t>Informe de Análisis de Amenazas y Riesgo de Ciberseguridad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6B7280"/>
        <w:sz w:val="16"/>
        <w:szCs w:val="16"/>
      </w:rPr>
      <w:t>Informe de Análisis de Amenazas y Riesgo de Ciberseguridad</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F2937"/>
        <w:sz w:val="22"/>
        <w:szCs w:val="22"/>
        <w:lang w:val="es-AR"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F2937"/>
      <w:kern w:val="0"/>
      <w:sz w:val="22"/>
      <w:szCs w:val="22"/>
      <w:lang w:val="es-AR" w:eastAsia="zh-CN" w:bidi="hi-IN"/>
    </w:rPr>
  </w:style>
  <w:style w:type="paragraph" w:styleId="Heading1">
    <w:name w:val="heading 1"/>
    <w:basedOn w:val="Ttulo"/>
    <w:qFormat/>
    <w:pPr>
      <w:pBdr>
        <w:bottom w:val="single" w:sz="6" w:space="4" w:color="B91C1C"/>
      </w:pBdr>
      <w:spacing w:before="400" w:after="200"/>
    </w:pPr>
    <w:rPr>
      <w:rFonts w:ascii="Calibri" w:hAnsi="Calibri" w:eastAsia="Calibri" w:cs="Calibri"/>
      <w:b/>
      <w:bCs/>
      <w:color w:val="B91C1C"/>
      <w:sz w:val="30"/>
      <w:szCs w:val="30"/>
    </w:rPr>
  </w:style>
  <w:style w:type="paragraph" w:styleId="Heading2">
    <w:name w:val="heading 2"/>
    <w:basedOn w:val="Ttulo"/>
    <w:qFormat/>
    <w:pPr>
      <w:spacing w:before="280" w:after="140"/>
    </w:pPr>
    <w:rPr>
      <w:rFonts w:ascii="Calibri" w:hAnsi="Calibri" w:eastAsia="Calibri" w:cs="Calibri"/>
      <w:b/>
      <w:bCs/>
      <w:color w:val="1F2937"/>
      <w:sz w:val="25"/>
      <w:szCs w:val="25"/>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F2937"/>
      <w:kern w:val="0"/>
      <w:sz w:val="22"/>
      <w:szCs w:val="22"/>
      <w:lang w:val="es-AR" w:eastAsia="zh-CN" w:bidi="hi-IN"/>
    </w:rPr>
  </w:style>
  <w:style w:type="paragraph" w:styleId="ListParagraph">
    <w:name w:val="List Paragraph"/>
    <w:qFormat/>
    <w:pPr>
      <w:widowControl/>
      <w:bidi w:val="0"/>
      <w:spacing w:before="0" w:after="0"/>
      <w:jc w:val="start"/>
    </w:pPr>
    <w:rPr>
      <w:rFonts w:ascii="Calibri" w:hAnsi="Calibri" w:eastAsia="Calibri" w:cs="Calibri"/>
      <w:color w:val="1F2937"/>
      <w:kern w:val="0"/>
      <w:sz w:val="22"/>
      <w:szCs w:val="22"/>
      <w:lang w:val="es-A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LibreOffice/26.2.5.2$Windows_X86_64 LibreOffice_project/cd7284b4cbbfeb507e630c1aac019f4157393acb</Application>
  <AppVersion>15.0000</AppVersion>
  <Pages>6</Pages>
  <Words>1648</Words>
  <Characters>9378</Characters>
  <CharactersWithSpaces>10803</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2026-08-24T21:56:27Z</dcterms:created>
  <dc:creator>Un-named</dc:creator>
  <dc:description/>
  <dc:language>es-AR</dc:language>
  <cp:lastModifiedBy/>
  <dcterms:modified xsi:type="dcterms:W3CDTF">2026-08-24T19:18:31Z</dcterms:modified>
  <cp:revision>2</cp:revision>
  <dc:subject/>
  <dc:title/>
</cp:coreProperties>
</file>