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681"/>
        <w:tblW w:w="9900" w:type="dxa"/>
        <w:tblLayout w:type="fixed"/>
        <w:tblCellMar>
          <w:left w:w="0" w:type="dxa"/>
          <w:right w:w="0" w:type="dxa"/>
        </w:tblCellMar>
        <w:tblLook w:val="01E0" w:firstRow="1" w:lastRow="1" w:firstColumn="1" w:lastColumn="1" w:noHBand="0" w:noVBand="0"/>
      </w:tblPr>
      <w:tblGrid>
        <w:gridCol w:w="4603"/>
        <w:gridCol w:w="5297"/>
      </w:tblGrid>
      <w:tr w:rsidR="0032660C" w:rsidRPr="006F797D" w14:paraId="584D726D" w14:textId="77777777" w:rsidTr="00CE438B">
        <w:trPr>
          <w:cantSplit/>
          <w:trHeight w:hRule="exact" w:val="147"/>
        </w:trPr>
        <w:tc>
          <w:tcPr>
            <w:tcW w:w="4603" w:type="dxa"/>
            <w:vMerge w:val="restart"/>
          </w:tcPr>
          <w:p w14:paraId="63F12FEF" w14:textId="77777777" w:rsidR="00E445CB" w:rsidRPr="006F797D" w:rsidRDefault="00E445CB">
            <w:pPr>
              <w:rPr>
                <w:rFonts w:cs="Arial"/>
              </w:rPr>
            </w:pPr>
          </w:p>
          <w:p w14:paraId="36C8C575" w14:textId="77777777" w:rsidR="00E445CB" w:rsidRPr="006F797D" w:rsidRDefault="00E445CB">
            <w:pPr>
              <w:tabs>
                <w:tab w:val="left" w:pos="567"/>
              </w:tabs>
              <w:rPr>
                <w:rFonts w:cs="Arial"/>
              </w:rPr>
            </w:pPr>
          </w:p>
          <w:p w14:paraId="4F4BE6FB" w14:textId="77777777" w:rsidR="00E445CB" w:rsidRPr="006F797D" w:rsidRDefault="00E445CB">
            <w:pPr>
              <w:tabs>
                <w:tab w:val="left" w:pos="567"/>
              </w:tabs>
              <w:rPr>
                <w:rFonts w:cs="Arial"/>
              </w:rPr>
            </w:pPr>
          </w:p>
          <w:p w14:paraId="2DE8FDFB" w14:textId="77777777" w:rsidR="00E445CB" w:rsidRPr="006F797D" w:rsidRDefault="00EA3721" w:rsidP="00EA3721">
            <w:pPr>
              <w:tabs>
                <w:tab w:val="left" w:pos="3357"/>
              </w:tabs>
              <w:rPr>
                <w:rFonts w:cs="Arial"/>
              </w:rPr>
            </w:pPr>
            <w:r w:rsidRPr="006F797D">
              <w:rPr>
                <w:rFonts w:cs="Arial"/>
              </w:rPr>
              <w:tab/>
            </w:r>
          </w:p>
          <w:p w14:paraId="5E645502" w14:textId="77777777" w:rsidR="00E445CB" w:rsidRPr="006F797D" w:rsidRDefault="00E445CB">
            <w:pPr>
              <w:tabs>
                <w:tab w:val="left" w:pos="567"/>
              </w:tabs>
              <w:rPr>
                <w:rFonts w:cs="Arial"/>
              </w:rPr>
            </w:pPr>
          </w:p>
          <w:p w14:paraId="4A1E0ADD" w14:textId="77777777" w:rsidR="00E445CB" w:rsidRPr="006F797D" w:rsidRDefault="00E445CB">
            <w:pPr>
              <w:tabs>
                <w:tab w:val="left" w:pos="567"/>
              </w:tabs>
              <w:rPr>
                <w:rFonts w:cs="Arial"/>
              </w:rPr>
            </w:pPr>
          </w:p>
          <w:p w14:paraId="7D9391A7" w14:textId="77777777" w:rsidR="0032660C" w:rsidRPr="006F797D" w:rsidRDefault="0032660C" w:rsidP="00A315AB">
            <w:pPr>
              <w:tabs>
                <w:tab w:val="left" w:pos="567"/>
              </w:tabs>
              <w:jc w:val="both"/>
              <w:rPr>
                <w:rFonts w:cs="Arial"/>
              </w:rPr>
            </w:pPr>
            <w:bookmarkStart w:id="0" w:name="text3"/>
            <w:bookmarkStart w:id="1" w:name="Anrede"/>
            <w:bookmarkStart w:id="2" w:name="Ein1"/>
            <w:bookmarkStart w:id="3" w:name="text4"/>
            <w:bookmarkStart w:id="4" w:name="text6"/>
            <w:bookmarkStart w:id="5" w:name="FaksDekan"/>
            <w:bookmarkEnd w:id="0"/>
            <w:bookmarkEnd w:id="1"/>
            <w:bookmarkEnd w:id="2"/>
            <w:bookmarkEnd w:id="3"/>
            <w:bookmarkEnd w:id="4"/>
            <w:bookmarkEnd w:id="5"/>
          </w:p>
        </w:tc>
        <w:tc>
          <w:tcPr>
            <w:tcW w:w="5297" w:type="dxa"/>
          </w:tcPr>
          <w:p w14:paraId="2147BDEA" w14:textId="77777777" w:rsidR="0032660C" w:rsidRPr="006F797D" w:rsidRDefault="0032660C" w:rsidP="0032660C">
            <w:pPr>
              <w:tabs>
                <w:tab w:val="left" w:pos="4500"/>
              </w:tabs>
              <w:rPr>
                <w:rFonts w:cs="Arial"/>
              </w:rPr>
            </w:pPr>
          </w:p>
        </w:tc>
      </w:tr>
      <w:tr w:rsidR="004767E9" w:rsidRPr="006F797D" w14:paraId="211FE36C" w14:textId="77777777" w:rsidTr="00CE438B">
        <w:trPr>
          <w:cantSplit/>
          <w:trHeight w:hRule="exact" w:val="986"/>
        </w:trPr>
        <w:tc>
          <w:tcPr>
            <w:tcW w:w="4603" w:type="dxa"/>
            <w:vMerge/>
          </w:tcPr>
          <w:p w14:paraId="2E2BB72F" w14:textId="77777777" w:rsidR="004767E9" w:rsidRPr="006F797D" w:rsidRDefault="004767E9" w:rsidP="004767E9">
            <w:pPr>
              <w:tabs>
                <w:tab w:val="left" w:pos="4500"/>
              </w:tabs>
              <w:rPr>
                <w:rFonts w:cs="Arial"/>
              </w:rPr>
            </w:pPr>
          </w:p>
        </w:tc>
        <w:tc>
          <w:tcPr>
            <w:tcW w:w="5297" w:type="dxa"/>
            <w:vAlign w:val="bottom"/>
          </w:tcPr>
          <w:p w14:paraId="5E1F5C04" w14:textId="77777777" w:rsidR="004767E9" w:rsidRPr="006F797D" w:rsidRDefault="004767E9" w:rsidP="004767E9">
            <w:pPr>
              <w:pStyle w:val="berschrift1"/>
              <w:framePr w:hSpace="0" w:wrap="auto" w:vAnchor="margin" w:hAnchor="text" w:yAlign="inline"/>
              <w:spacing w:after="60"/>
              <w:jc w:val="left"/>
              <w:rPr>
                <w:rFonts w:cs="Arial"/>
                <w:sz w:val="22"/>
                <w:szCs w:val="22"/>
              </w:rPr>
            </w:pPr>
            <w:bookmarkStart w:id="6" w:name="FakulName"/>
            <w:bookmarkEnd w:id="6"/>
            <w:r w:rsidRPr="006F797D">
              <w:rPr>
                <w:rFonts w:cs="Arial"/>
                <w:sz w:val="22"/>
                <w:szCs w:val="22"/>
              </w:rPr>
              <w:t>Lehrstuhl für Psychologie I</w:t>
            </w:r>
          </w:p>
          <w:p w14:paraId="7419EC67" w14:textId="77777777" w:rsidR="004767E9" w:rsidRPr="006F797D" w:rsidRDefault="004767E9" w:rsidP="004767E9">
            <w:pPr>
              <w:rPr>
                <w:rFonts w:cs="Arial"/>
                <w:sz w:val="16"/>
                <w:szCs w:val="16"/>
              </w:rPr>
            </w:pPr>
            <w:r w:rsidRPr="006F797D">
              <w:rPr>
                <w:rFonts w:cs="Arial"/>
                <w:sz w:val="16"/>
                <w:szCs w:val="16"/>
              </w:rPr>
              <w:t>Biologische Psychologie, Klinische Psychologie und Psychotherapie</w:t>
            </w:r>
          </w:p>
          <w:p w14:paraId="218F1B4A" w14:textId="77777777" w:rsidR="004767E9" w:rsidRPr="006F797D" w:rsidRDefault="004767E9" w:rsidP="004767E9">
            <w:pPr>
              <w:rPr>
                <w:rFonts w:cs="Arial"/>
                <w:sz w:val="16"/>
                <w:szCs w:val="16"/>
              </w:rPr>
            </w:pPr>
            <w:r w:rsidRPr="006F797D">
              <w:rPr>
                <w:rFonts w:cs="Arial"/>
                <w:sz w:val="16"/>
                <w:szCs w:val="16"/>
              </w:rPr>
              <w:t>Experimentelle Klinische Psychologie</w:t>
            </w:r>
          </w:p>
          <w:p w14:paraId="0A16A0B5" w14:textId="77777777" w:rsidR="004767E9" w:rsidRPr="006F797D" w:rsidRDefault="004767E9" w:rsidP="004767E9">
            <w:pPr>
              <w:pStyle w:val="berschrift1"/>
              <w:framePr w:hSpace="0" w:wrap="auto" w:vAnchor="margin" w:hAnchor="text" w:yAlign="inline"/>
              <w:jc w:val="left"/>
              <w:rPr>
                <w:rFonts w:cs="Arial"/>
                <w:szCs w:val="20"/>
              </w:rPr>
            </w:pPr>
            <w:r w:rsidRPr="006F797D">
              <w:rPr>
                <w:rFonts w:cs="Arial"/>
                <w:szCs w:val="20"/>
              </w:rPr>
              <w:t>Prof. Dr. Matthias Gamer</w:t>
            </w:r>
          </w:p>
        </w:tc>
      </w:tr>
      <w:tr w:rsidR="004767E9" w:rsidRPr="006F797D" w14:paraId="778DF8F7" w14:textId="77777777" w:rsidTr="00CE438B">
        <w:trPr>
          <w:cantSplit/>
          <w:trHeight w:hRule="exact" w:val="290"/>
        </w:trPr>
        <w:tc>
          <w:tcPr>
            <w:tcW w:w="4603" w:type="dxa"/>
            <w:vMerge/>
          </w:tcPr>
          <w:p w14:paraId="5F646B64" w14:textId="77777777" w:rsidR="004767E9" w:rsidRPr="006F797D" w:rsidRDefault="004767E9" w:rsidP="004767E9">
            <w:pPr>
              <w:tabs>
                <w:tab w:val="left" w:pos="4500"/>
              </w:tabs>
              <w:rPr>
                <w:rFonts w:cs="Arial"/>
              </w:rPr>
            </w:pPr>
          </w:p>
        </w:tc>
        <w:tc>
          <w:tcPr>
            <w:tcW w:w="5297" w:type="dxa"/>
          </w:tcPr>
          <w:p w14:paraId="2A78CE45" w14:textId="77777777" w:rsidR="004767E9" w:rsidRPr="006F797D" w:rsidRDefault="004767E9" w:rsidP="004767E9">
            <w:pPr>
              <w:tabs>
                <w:tab w:val="left" w:pos="4500"/>
              </w:tabs>
              <w:rPr>
                <w:rFonts w:cs="Arial"/>
              </w:rPr>
            </w:pPr>
          </w:p>
        </w:tc>
      </w:tr>
    </w:tbl>
    <w:p w14:paraId="1C951C03" w14:textId="77777777" w:rsidR="00B53EC2" w:rsidRPr="006F797D" w:rsidRDefault="00B53EC2">
      <w:pPr>
        <w:tabs>
          <w:tab w:val="left" w:pos="4500"/>
        </w:tabs>
        <w:rPr>
          <w:rFonts w:cs="Arial"/>
        </w:rPr>
      </w:pPr>
    </w:p>
    <w:p w14:paraId="1F60515E" w14:textId="77777777" w:rsidR="00F8626B" w:rsidRPr="006F797D" w:rsidRDefault="00F8626B">
      <w:pPr>
        <w:tabs>
          <w:tab w:val="left" w:pos="4500"/>
        </w:tabs>
        <w:rPr>
          <w:rFonts w:cs="Arial"/>
        </w:rPr>
      </w:pPr>
    </w:p>
    <w:p w14:paraId="4D1E586B" w14:textId="77777777" w:rsidR="00F8626B" w:rsidRPr="006F797D" w:rsidRDefault="00F8626B">
      <w:pPr>
        <w:tabs>
          <w:tab w:val="left" w:pos="4500"/>
        </w:tabs>
        <w:rPr>
          <w:rFonts w:cs="Arial"/>
        </w:rPr>
      </w:pPr>
    </w:p>
    <w:p w14:paraId="2032CF79" w14:textId="77777777" w:rsidR="002B242C" w:rsidRPr="006F797D" w:rsidRDefault="002B242C">
      <w:pPr>
        <w:tabs>
          <w:tab w:val="left" w:pos="4500"/>
        </w:tabs>
        <w:rPr>
          <w:rFonts w:cs="Arial"/>
        </w:rPr>
      </w:pPr>
    </w:p>
    <w:tbl>
      <w:tblPr>
        <w:tblW w:w="10031" w:type="dxa"/>
        <w:tblCellMar>
          <w:left w:w="0" w:type="dxa"/>
          <w:right w:w="0" w:type="dxa"/>
        </w:tblCellMar>
        <w:tblLook w:val="04A0" w:firstRow="1" w:lastRow="0" w:firstColumn="1" w:lastColumn="0" w:noHBand="0" w:noVBand="1"/>
      </w:tblPr>
      <w:tblGrid>
        <w:gridCol w:w="4503"/>
        <w:gridCol w:w="2443"/>
        <w:gridCol w:w="3085"/>
      </w:tblGrid>
      <w:tr w:rsidR="002B242C" w:rsidRPr="006F797D" w14:paraId="517ED144" w14:textId="77777777" w:rsidTr="00DD7599">
        <w:tc>
          <w:tcPr>
            <w:tcW w:w="4503" w:type="dxa"/>
            <w:tcBorders>
              <w:bottom w:val="single" w:sz="4" w:space="0" w:color="auto"/>
            </w:tcBorders>
            <w:shd w:val="clear" w:color="auto" w:fill="auto"/>
          </w:tcPr>
          <w:p w14:paraId="584E1D30" w14:textId="77777777" w:rsidR="002B242C" w:rsidRPr="006F797D" w:rsidRDefault="00BC11D6" w:rsidP="00C41D98">
            <w:pPr>
              <w:tabs>
                <w:tab w:val="left" w:pos="2410"/>
                <w:tab w:val="left" w:pos="3402"/>
              </w:tabs>
              <w:suppressAutoHyphens/>
              <w:rPr>
                <w:rFonts w:cs="Arial"/>
                <w:sz w:val="12"/>
                <w:szCs w:val="12"/>
              </w:rPr>
            </w:pPr>
            <w:r>
              <w:rPr>
                <w:rFonts w:cs="Arial"/>
                <w:sz w:val="12"/>
                <w:szCs w:val="12"/>
              </w:rPr>
              <w:t xml:space="preserve">Sabrina </w:t>
            </w:r>
            <w:proofErr w:type="gramStart"/>
            <w:r>
              <w:rPr>
                <w:rFonts w:cs="Arial"/>
                <w:sz w:val="12"/>
                <w:szCs w:val="12"/>
              </w:rPr>
              <w:t xml:space="preserve">Gado </w:t>
            </w:r>
            <w:r w:rsidR="00CD486D" w:rsidRPr="006F797D">
              <w:rPr>
                <w:rFonts w:cs="Arial"/>
                <w:sz w:val="12"/>
                <w:szCs w:val="12"/>
              </w:rPr>
              <w:t xml:space="preserve"> </w:t>
            </w:r>
            <w:r w:rsidR="002B242C" w:rsidRPr="006F797D">
              <w:rPr>
                <w:rFonts w:cs="Arial"/>
                <w:sz w:val="12"/>
                <w:szCs w:val="12"/>
              </w:rPr>
              <w:t>•</w:t>
            </w:r>
            <w:proofErr w:type="gramEnd"/>
            <w:r w:rsidR="002B242C" w:rsidRPr="006F797D">
              <w:rPr>
                <w:rFonts w:cs="Arial"/>
                <w:sz w:val="12"/>
                <w:szCs w:val="12"/>
              </w:rPr>
              <w:t xml:space="preserve">  Lehrstuhl für Psychologie I</w:t>
            </w:r>
          </w:p>
          <w:p w14:paraId="47C2982C" w14:textId="77777777" w:rsidR="002B242C" w:rsidRPr="006F797D" w:rsidRDefault="002B242C" w:rsidP="00C41D98">
            <w:pPr>
              <w:tabs>
                <w:tab w:val="left" w:pos="4500"/>
                <w:tab w:val="left" w:pos="6300"/>
              </w:tabs>
              <w:suppressAutoHyphens/>
              <w:rPr>
                <w:rFonts w:cs="Arial"/>
                <w:sz w:val="16"/>
                <w:szCs w:val="16"/>
                <w:u w:val="single"/>
              </w:rPr>
            </w:pPr>
            <w:r w:rsidRPr="006F797D">
              <w:rPr>
                <w:rFonts w:cs="Arial"/>
                <w:sz w:val="12"/>
                <w:szCs w:val="12"/>
              </w:rPr>
              <w:t xml:space="preserve">Julius-Maximilians-Universität </w:t>
            </w:r>
            <w:proofErr w:type="gramStart"/>
            <w:r w:rsidRPr="006F797D">
              <w:rPr>
                <w:rFonts w:cs="Arial"/>
                <w:sz w:val="12"/>
                <w:szCs w:val="12"/>
              </w:rPr>
              <w:t>Würzburg  •</w:t>
            </w:r>
            <w:proofErr w:type="gramEnd"/>
            <w:r w:rsidRPr="006F797D">
              <w:rPr>
                <w:rFonts w:cs="Arial"/>
                <w:sz w:val="12"/>
                <w:szCs w:val="12"/>
              </w:rPr>
              <w:t xml:space="preserve">  </w:t>
            </w:r>
            <w:proofErr w:type="spellStart"/>
            <w:r w:rsidRPr="006F797D">
              <w:rPr>
                <w:rFonts w:cs="Arial"/>
                <w:sz w:val="12"/>
                <w:szCs w:val="12"/>
              </w:rPr>
              <w:t>Marcusstr</w:t>
            </w:r>
            <w:proofErr w:type="spellEnd"/>
            <w:r w:rsidRPr="006F797D">
              <w:rPr>
                <w:rFonts w:cs="Arial"/>
                <w:sz w:val="12"/>
                <w:szCs w:val="12"/>
              </w:rPr>
              <w:t>. 9-11  •  97070 Würzburg</w:t>
            </w:r>
          </w:p>
        </w:tc>
        <w:tc>
          <w:tcPr>
            <w:tcW w:w="2443" w:type="dxa"/>
            <w:shd w:val="clear" w:color="auto" w:fill="auto"/>
          </w:tcPr>
          <w:p w14:paraId="0F54B2BE" w14:textId="77777777" w:rsidR="002B242C" w:rsidRPr="006F797D" w:rsidRDefault="002B242C" w:rsidP="00C41D98">
            <w:pPr>
              <w:tabs>
                <w:tab w:val="left" w:pos="4500"/>
                <w:tab w:val="left" w:pos="6300"/>
              </w:tabs>
              <w:suppressAutoHyphens/>
              <w:rPr>
                <w:rFonts w:cs="Arial"/>
                <w:sz w:val="16"/>
                <w:szCs w:val="16"/>
              </w:rPr>
            </w:pPr>
          </w:p>
        </w:tc>
        <w:tc>
          <w:tcPr>
            <w:tcW w:w="3085" w:type="dxa"/>
            <w:vMerge w:val="restart"/>
            <w:shd w:val="clear" w:color="auto" w:fill="auto"/>
          </w:tcPr>
          <w:p w14:paraId="3F59E5EF" w14:textId="77777777" w:rsidR="002B242C" w:rsidRPr="00DD7599" w:rsidRDefault="00BC11D6" w:rsidP="00C41D98">
            <w:pPr>
              <w:tabs>
                <w:tab w:val="left" w:pos="4500"/>
                <w:tab w:val="left" w:pos="6300"/>
              </w:tabs>
              <w:suppressAutoHyphens/>
              <w:spacing w:after="20"/>
              <w:rPr>
                <w:rFonts w:cs="Arial"/>
                <w:b/>
                <w:sz w:val="16"/>
                <w:szCs w:val="16"/>
              </w:rPr>
            </w:pPr>
            <w:r w:rsidRPr="00DD7599">
              <w:rPr>
                <w:rFonts w:cs="Arial"/>
                <w:b/>
                <w:sz w:val="16"/>
                <w:szCs w:val="16"/>
              </w:rPr>
              <w:t>Sabrina Gado</w:t>
            </w:r>
          </w:p>
          <w:p w14:paraId="76D6E387" w14:textId="77777777" w:rsidR="004767E9" w:rsidRPr="006F797D" w:rsidRDefault="004767E9" w:rsidP="00C41D98">
            <w:pPr>
              <w:tabs>
                <w:tab w:val="left" w:pos="4500"/>
                <w:tab w:val="left" w:pos="6300"/>
              </w:tabs>
              <w:suppressAutoHyphens/>
              <w:spacing w:after="20"/>
              <w:rPr>
                <w:rFonts w:cs="Arial"/>
                <w:sz w:val="16"/>
                <w:szCs w:val="16"/>
              </w:rPr>
            </w:pPr>
            <w:r w:rsidRPr="006F797D">
              <w:rPr>
                <w:rFonts w:cs="Arial"/>
                <w:sz w:val="16"/>
                <w:szCs w:val="16"/>
              </w:rPr>
              <w:t>Experimentelle Klinische Psychologie</w:t>
            </w:r>
          </w:p>
          <w:p w14:paraId="2CE3ACDA" w14:textId="77777777" w:rsidR="004767E9" w:rsidRPr="006F797D" w:rsidRDefault="004767E9" w:rsidP="00C41D98">
            <w:pPr>
              <w:tabs>
                <w:tab w:val="left" w:pos="4500"/>
                <w:tab w:val="left" w:pos="6300"/>
              </w:tabs>
              <w:suppressAutoHyphens/>
              <w:spacing w:after="20"/>
              <w:rPr>
                <w:rFonts w:cs="Arial"/>
                <w:sz w:val="16"/>
                <w:szCs w:val="16"/>
              </w:rPr>
            </w:pPr>
            <w:r w:rsidRPr="006F797D">
              <w:rPr>
                <w:rFonts w:cs="Arial"/>
                <w:sz w:val="16"/>
                <w:szCs w:val="16"/>
              </w:rPr>
              <w:t>Lehrstuhl für Psychologie I</w:t>
            </w:r>
          </w:p>
          <w:p w14:paraId="356AF5F2" w14:textId="77777777" w:rsidR="004767E9" w:rsidRPr="006F797D" w:rsidRDefault="004767E9" w:rsidP="00C41D98">
            <w:pPr>
              <w:tabs>
                <w:tab w:val="left" w:pos="4500"/>
                <w:tab w:val="left" w:pos="6300"/>
              </w:tabs>
              <w:suppressAutoHyphens/>
              <w:spacing w:after="20"/>
              <w:rPr>
                <w:rFonts w:cs="Arial"/>
                <w:sz w:val="16"/>
                <w:szCs w:val="16"/>
              </w:rPr>
            </w:pPr>
            <w:r w:rsidRPr="006F797D">
              <w:rPr>
                <w:rFonts w:cs="Arial"/>
                <w:sz w:val="16"/>
                <w:szCs w:val="16"/>
              </w:rPr>
              <w:t>Julius-Maximilians-Universität Würzburg</w:t>
            </w:r>
          </w:p>
          <w:p w14:paraId="636A1B14" w14:textId="77777777" w:rsidR="004767E9" w:rsidRPr="006F797D" w:rsidRDefault="004767E9" w:rsidP="00C41D98">
            <w:pPr>
              <w:tabs>
                <w:tab w:val="left" w:pos="4500"/>
                <w:tab w:val="left" w:pos="6300"/>
              </w:tabs>
              <w:suppressAutoHyphens/>
              <w:spacing w:after="20"/>
              <w:rPr>
                <w:rFonts w:cs="Arial"/>
                <w:sz w:val="16"/>
                <w:szCs w:val="16"/>
              </w:rPr>
            </w:pPr>
          </w:p>
          <w:p w14:paraId="789DCA1E" w14:textId="77777777" w:rsidR="004767E9" w:rsidRPr="006F797D" w:rsidRDefault="004767E9" w:rsidP="00C41D98">
            <w:pPr>
              <w:tabs>
                <w:tab w:val="left" w:pos="4500"/>
                <w:tab w:val="left" w:pos="6300"/>
              </w:tabs>
              <w:suppressAutoHyphens/>
              <w:spacing w:after="20"/>
              <w:rPr>
                <w:rFonts w:cs="Arial"/>
                <w:sz w:val="16"/>
                <w:szCs w:val="16"/>
              </w:rPr>
            </w:pPr>
            <w:proofErr w:type="spellStart"/>
            <w:r w:rsidRPr="006F797D">
              <w:rPr>
                <w:rFonts w:cs="Arial"/>
                <w:sz w:val="16"/>
                <w:szCs w:val="16"/>
              </w:rPr>
              <w:t>Marcusstr</w:t>
            </w:r>
            <w:proofErr w:type="spellEnd"/>
            <w:r w:rsidRPr="006F797D">
              <w:rPr>
                <w:rFonts w:cs="Arial"/>
                <w:sz w:val="16"/>
                <w:szCs w:val="16"/>
              </w:rPr>
              <w:t>. 9-11</w:t>
            </w:r>
          </w:p>
          <w:p w14:paraId="585FEAC4" w14:textId="77777777" w:rsidR="004767E9" w:rsidRPr="006F797D" w:rsidRDefault="004767E9" w:rsidP="00C41D98">
            <w:pPr>
              <w:tabs>
                <w:tab w:val="left" w:pos="4500"/>
                <w:tab w:val="left" w:pos="6300"/>
              </w:tabs>
              <w:suppressAutoHyphens/>
              <w:spacing w:after="20"/>
              <w:rPr>
                <w:rFonts w:cs="Arial"/>
                <w:sz w:val="16"/>
                <w:szCs w:val="16"/>
              </w:rPr>
            </w:pPr>
            <w:r w:rsidRPr="006F797D">
              <w:rPr>
                <w:rFonts w:cs="Arial"/>
                <w:sz w:val="16"/>
                <w:szCs w:val="16"/>
              </w:rPr>
              <w:t>97070 Würzburg</w:t>
            </w:r>
          </w:p>
          <w:p w14:paraId="72BE436E" w14:textId="77777777" w:rsidR="002B242C" w:rsidRPr="006F797D" w:rsidRDefault="004767E9" w:rsidP="00C41D98">
            <w:pPr>
              <w:tabs>
                <w:tab w:val="left" w:pos="4500"/>
                <w:tab w:val="left" w:pos="6300"/>
              </w:tabs>
              <w:suppressAutoHyphens/>
              <w:spacing w:after="20"/>
              <w:rPr>
                <w:rFonts w:cs="Arial"/>
                <w:sz w:val="16"/>
                <w:szCs w:val="16"/>
              </w:rPr>
            </w:pPr>
            <w:r w:rsidRPr="006F797D">
              <w:rPr>
                <w:rFonts w:cs="Arial"/>
                <w:sz w:val="16"/>
                <w:szCs w:val="16"/>
              </w:rPr>
              <w:t xml:space="preserve">Telefon: </w:t>
            </w:r>
            <w:r w:rsidR="00BC11D6" w:rsidRPr="00BC11D6">
              <w:rPr>
                <w:rFonts w:cs="Arial"/>
                <w:sz w:val="16"/>
                <w:szCs w:val="16"/>
              </w:rPr>
              <w:t>+49 931 31-83948</w:t>
            </w:r>
          </w:p>
          <w:p w14:paraId="082DD830" w14:textId="77777777" w:rsidR="002B242C" w:rsidRPr="006F797D" w:rsidRDefault="002B242C" w:rsidP="00C41D98">
            <w:pPr>
              <w:tabs>
                <w:tab w:val="left" w:pos="4500"/>
                <w:tab w:val="left" w:pos="6300"/>
              </w:tabs>
              <w:suppressAutoHyphens/>
              <w:spacing w:after="20"/>
              <w:rPr>
                <w:rFonts w:cs="Arial"/>
                <w:sz w:val="16"/>
                <w:szCs w:val="16"/>
              </w:rPr>
            </w:pPr>
            <w:r w:rsidRPr="006F797D">
              <w:rPr>
                <w:rFonts w:cs="Arial"/>
                <w:sz w:val="16"/>
                <w:szCs w:val="16"/>
              </w:rPr>
              <w:t xml:space="preserve">Telefax: </w:t>
            </w:r>
            <w:r w:rsidR="00BC11D6" w:rsidRPr="00BC11D6">
              <w:rPr>
                <w:rFonts w:cs="Arial"/>
                <w:sz w:val="16"/>
                <w:szCs w:val="16"/>
              </w:rPr>
              <w:t>+49 931 31-82733</w:t>
            </w:r>
          </w:p>
          <w:p w14:paraId="61CB5B6A" w14:textId="77777777" w:rsidR="002B242C" w:rsidRPr="006F797D" w:rsidRDefault="00BC11D6" w:rsidP="00C41D98">
            <w:pPr>
              <w:tabs>
                <w:tab w:val="left" w:pos="4500"/>
                <w:tab w:val="left" w:pos="6300"/>
              </w:tabs>
              <w:suppressAutoHyphens/>
              <w:spacing w:after="20"/>
              <w:rPr>
                <w:rFonts w:cs="Arial"/>
                <w:sz w:val="16"/>
                <w:szCs w:val="16"/>
              </w:rPr>
            </w:pPr>
            <w:r>
              <w:rPr>
                <w:rFonts w:cs="Arial"/>
                <w:sz w:val="16"/>
                <w:szCs w:val="16"/>
              </w:rPr>
              <w:t>sabrina.gado</w:t>
            </w:r>
            <w:r w:rsidR="00E65048" w:rsidRPr="006F797D">
              <w:rPr>
                <w:rFonts w:cs="Arial"/>
                <w:sz w:val="16"/>
                <w:szCs w:val="16"/>
              </w:rPr>
              <w:t>@</w:t>
            </w:r>
            <w:r w:rsidR="002B242C" w:rsidRPr="006F797D">
              <w:rPr>
                <w:rFonts w:cs="Arial"/>
                <w:sz w:val="16"/>
                <w:szCs w:val="16"/>
              </w:rPr>
              <w:t>uni-wuerzburg.de</w:t>
            </w:r>
          </w:p>
        </w:tc>
      </w:tr>
      <w:tr w:rsidR="002B242C" w:rsidRPr="006F797D" w14:paraId="416DAFA2" w14:textId="77777777" w:rsidTr="00DD7599">
        <w:trPr>
          <w:trHeight w:val="1803"/>
        </w:trPr>
        <w:tc>
          <w:tcPr>
            <w:tcW w:w="4503" w:type="dxa"/>
            <w:tcBorders>
              <w:top w:val="single" w:sz="4" w:space="0" w:color="auto"/>
            </w:tcBorders>
            <w:shd w:val="clear" w:color="auto" w:fill="auto"/>
          </w:tcPr>
          <w:p w14:paraId="77449364" w14:textId="77777777" w:rsidR="00121787" w:rsidRDefault="00616E1D" w:rsidP="00121787">
            <w:pPr>
              <w:tabs>
                <w:tab w:val="left" w:pos="2410"/>
                <w:tab w:val="left" w:pos="3402"/>
              </w:tabs>
              <w:suppressAutoHyphens/>
              <w:spacing w:after="120"/>
              <w:rPr>
                <w:rFonts w:cs="Arial"/>
                <w:b/>
                <w:szCs w:val="20"/>
              </w:rPr>
            </w:pPr>
            <w:r w:rsidRPr="006F797D">
              <w:rPr>
                <w:rFonts w:cs="Arial"/>
                <w:sz w:val="22"/>
                <w:szCs w:val="22"/>
              </w:rPr>
              <w:br/>
            </w:r>
            <w:r w:rsidR="00121787">
              <w:rPr>
                <w:rFonts w:cs="Arial"/>
                <w:b/>
                <w:szCs w:val="20"/>
              </w:rPr>
              <w:t>Erweiterte Fakultätsleitung</w:t>
            </w:r>
          </w:p>
          <w:p w14:paraId="1CD7634F" w14:textId="77777777" w:rsidR="00121787" w:rsidRDefault="00121787" w:rsidP="00121787">
            <w:pPr>
              <w:tabs>
                <w:tab w:val="left" w:pos="2410"/>
                <w:tab w:val="left" w:pos="3402"/>
              </w:tabs>
              <w:suppressAutoHyphens/>
              <w:spacing w:after="120"/>
              <w:rPr>
                <w:rFonts w:cs="Arial"/>
                <w:b/>
                <w:szCs w:val="20"/>
              </w:rPr>
            </w:pPr>
            <w:r>
              <w:rPr>
                <w:rFonts w:cs="Arial"/>
                <w:b/>
                <w:szCs w:val="20"/>
              </w:rPr>
              <w:t>Fakultät</w:t>
            </w:r>
            <w:r w:rsidRPr="00AE1BA2">
              <w:rPr>
                <w:rFonts w:cs="Arial"/>
                <w:b/>
                <w:szCs w:val="20"/>
              </w:rPr>
              <w:t xml:space="preserve"> für Humanwissenschaften</w:t>
            </w:r>
          </w:p>
          <w:p w14:paraId="0E098A78" w14:textId="77777777" w:rsidR="00121787" w:rsidRPr="00AE1BA2" w:rsidRDefault="00121787" w:rsidP="00121787">
            <w:pPr>
              <w:tabs>
                <w:tab w:val="left" w:pos="2410"/>
                <w:tab w:val="left" w:pos="3402"/>
              </w:tabs>
              <w:suppressAutoHyphens/>
              <w:spacing w:after="120"/>
              <w:rPr>
                <w:rFonts w:cs="Arial"/>
                <w:b/>
                <w:szCs w:val="20"/>
              </w:rPr>
            </w:pPr>
            <w:r w:rsidRPr="00AE1BA2">
              <w:rPr>
                <w:rFonts w:cs="Arial"/>
                <w:b/>
                <w:szCs w:val="20"/>
              </w:rPr>
              <w:t>Wittelsbacherplatz 1</w:t>
            </w:r>
          </w:p>
          <w:p w14:paraId="27EB9783" w14:textId="1F11DCFC" w:rsidR="0040683A" w:rsidRPr="006F797D" w:rsidRDefault="00121787" w:rsidP="00121787">
            <w:pPr>
              <w:tabs>
                <w:tab w:val="left" w:pos="2410"/>
                <w:tab w:val="left" w:pos="3402"/>
              </w:tabs>
              <w:suppressAutoHyphens/>
              <w:spacing w:after="120"/>
              <w:rPr>
                <w:rFonts w:cs="Arial"/>
                <w:b/>
                <w:sz w:val="12"/>
                <w:szCs w:val="12"/>
              </w:rPr>
            </w:pPr>
            <w:r w:rsidRPr="00AE1BA2">
              <w:rPr>
                <w:rFonts w:cs="Arial"/>
                <w:b/>
                <w:szCs w:val="20"/>
              </w:rPr>
              <w:t>97074 Würzburg</w:t>
            </w:r>
          </w:p>
        </w:tc>
        <w:tc>
          <w:tcPr>
            <w:tcW w:w="2443" w:type="dxa"/>
            <w:shd w:val="clear" w:color="auto" w:fill="auto"/>
          </w:tcPr>
          <w:p w14:paraId="14203803" w14:textId="77777777" w:rsidR="002B242C" w:rsidRPr="006F797D" w:rsidRDefault="002B242C" w:rsidP="00C41D98">
            <w:pPr>
              <w:tabs>
                <w:tab w:val="left" w:pos="4500"/>
                <w:tab w:val="left" w:pos="6300"/>
              </w:tabs>
              <w:suppressAutoHyphens/>
              <w:rPr>
                <w:rFonts w:cs="Arial"/>
                <w:sz w:val="16"/>
                <w:szCs w:val="16"/>
                <w:u w:val="single"/>
              </w:rPr>
            </w:pPr>
          </w:p>
        </w:tc>
        <w:tc>
          <w:tcPr>
            <w:tcW w:w="3085" w:type="dxa"/>
            <w:vMerge/>
            <w:shd w:val="clear" w:color="auto" w:fill="auto"/>
          </w:tcPr>
          <w:p w14:paraId="33118024" w14:textId="77777777" w:rsidR="002B242C" w:rsidRPr="006F797D" w:rsidRDefault="002B242C" w:rsidP="00C41D98">
            <w:pPr>
              <w:tabs>
                <w:tab w:val="left" w:pos="4500"/>
                <w:tab w:val="left" w:pos="6300"/>
              </w:tabs>
              <w:suppressAutoHyphens/>
              <w:rPr>
                <w:rFonts w:cs="Arial"/>
                <w:sz w:val="16"/>
                <w:szCs w:val="16"/>
                <w:u w:val="single"/>
              </w:rPr>
            </w:pPr>
          </w:p>
        </w:tc>
      </w:tr>
      <w:tr w:rsidR="002B242C" w:rsidRPr="006F797D" w14:paraId="195AA4D4" w14:textId="77777777" w:rsidTr="00DD7599">
        <w:trPr>
          <w:trHeight w:val="988"/>
        </w:trPr>
        <w:tc>
          <w:tcPr>
            <w:tcW w:w="6946" w:type="dxa"/>
            <w:gridSpan w:val="2"/>
            <w:shd w:val="clear" w:color="auto" w:fill="auto"/>
          </w:tcPr>
          <w:p w14:paraId="27F7A96D" w14:textId="336D1684" w:rsidR="002B242C" w:rsidRPr="006F797D" w:rsidRDefault="007D63CC" w:rsidP="00C41D98">
            <w:pPr>
              <w:tabs>
                <w:tab w:val="left" w:pos="4500"/>
                <w:tab w:val="left" w:pos="6300"/>
              </w:tabs>
              <w:suppressAutoHyphens/>
              <w:rPr>
                <w:rFonts w:cs="Arial"/>
                <w:sz w:val="16"/>
                <w:szCs w:val="16"/>
                <w:u w:val="single"/>
              </w:rPr>
            </w:pPr>
            <w:r>
              <w:rPr>
                <w:rFonts w:cs="Arial"/>
                <w:noProof/>
              </w:rPr>
              <mc:AlternateContent>
                <mc:Choice Requires="wps">
                  <w:drawing>
                    <wp:anchor distT="0" distB="0" distL="114300" distR="114300" simplePos="0" relativeHeight="251658240" behindDoc="0" locked="0" layoutInCell="1" allowOverlap="1" wp14:anchorId="77106738" wp14:editId="6FEB5D74">
                      <wp:simplePos x="0" y="0"/>
                      <wp:positionH relativeFrom="column">
                        <wp:posOffset>-544830</wp:posOffset>
                      </wp:positionH>
                      <wp:positionV relativeFrom="paragraph">
                        <wp:posOffset>518795</wp:posOffset>
                      </wp:positionV>
                      <wp:extent cx="247650" cy="0"/>
                      <wp:effectExtent l="5715" t="7620" r="13335" b="11430"/>
                      <wp:wrapNone/>
                      <wp:docPr id="3"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305107" id="Gerade Verbindung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40.85pt" to="-23.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" strokeweight=".5pt">
                      <v:shadow opacity="24903f" origin=",.5" offset="0,.55556mm"/>
                    </v:line>
                  </w:pict>
                </mc:Fallback>
              </mc:AlternateContent>
            </w:r>
          </w:p>
        </w:tc>
        <w:tc>
          <w:tcPr>
            <w:tcW w:w="3085" w:type="dxa"/>
            <w:shd w:val="clear" w:color="auto" w:fill="auto"/>
          </w:tcPr>
          <w:p w14:paraId="632B90B0" w14:textId="77777777" w:rsidR="002B242C" w:rsidRPr="006F797D" w:rsidRDefault="002B242C" w:rsidP="00C41D98">
            <w:pPr>
              <w:tabs>
                <w:tab w:val="left" w:pos="4500"/>
                <w:tab w:val="left" w:pos="6300"/>
              </w:tabs>
              <w:suppressAutoHyphens/>
              <w:rPr>
                <w:rFonts w:cs="Arial"/>
                <w:sz w:val="16"/>
                <w:szCs w:val="16"/>
                <w:u w:val="single"/>
              </w:rPr>
            </w:pPr>
          </w:p>
        </w:tc>
      </w:tr>
      <w:tr w:rsidR="004767E9" w:rsidRPr="00160390" w14:paraId="1A377DB0" w14:textId="77777777" w:rsidTr="00DD7599">
        <w:trPr>
          <w:trHeight w:val="437"/>
        </w:trPr>
        <w:tc>
          <w:tcPr>
            <w:tcW w:w="6946" w:type="dxa"/>
            <w:gridSpan w:val="2"/>
            <w:shd w:val="clear" w:color="auto" w:fill="auto"/>
          </w:tcPr>
          <w:p w14:paraId="45721A47" w14:textId="6D2C2D35" w:rsidR="004767E9" w:rsidRPr="00160390" w:rsidRDefault="00160390" w:rsidP="00121787">
            <w:pPr>
              <w:tabs>
                <w:tab w:val="left" w:pos="4500"/>
                <w:tab w:val="left" w:pos="6300"/>
              </w:tabs>
              <w:suppressAutoHyphens/>
              <w:rPr>
                <w:rFonts w:cs="Arial"/>
                <w:b/>
                <w:sz w:val="21"/>
                <w:szCs w:val="21"/>
              </w:rPr>
            </w:pPr>
            <w:r w:rsidRPr="00160390">
              <w:rPr>
                <w:rFonts w:cs="Arial"/>
                <w:b/>
                <w:sz w:val="21"/>
                <w:szCs w:val="21"/>
              </w:rPr>
              <w:t xml:space="preserve">Antrag auf Unterstützung </w:t>
            </w:r>
            <w:r>
              <w:rPr>
                <w:rFonts w:cs="Arial"/>
                <w:b/>
                <w:sz w:val="21"/>
                <w:szCs w:val="21"/>
              </w:rPr>
              <w:t xml:space="preserve">eines </w:t>
            </w:r>
            <w:r w:rsidRPr="00160390">
              <w:rPr>
                <w:rFonts w:cs="Arial"/>
                <w:b/>
                <w:sz w:val="21"/>
                <w:szCs w:val="21"/>
              </w:rPr>
              <w:t>Forschungsvorhaben</w:t>
            </w:r>
            <w:r>
              <w:rPr>
                <w:rFonts w:cs="Arial"/>
                <w:b/>
                <w:sz w:val="21"/>
                <w:szCs w:val="21"/>
              </w:rPr>
              <w:t>s</w:t>
            </w:r>
            <w:r w:rsidRPr="00160390">
              <w:rPr>
                <w:rFonts w:cs="Arial"/>
                <w:b/>
                <w:sz w:val="21"/>
                <w:szCs w:val="21"/>
              </w:rPr>
              <w:t xml:space="preserve"> </w:t>
            </w:r>
            <w:r w:rsidR="00121787">
              <w:rPr>
                <w:rFonts w:cs="Arial"/>
                <w:b/>
                <w:sz w:val="21"/>
                <w:szCs w:val="21"/>
              </w:rPr>
              <w:t>durch das Wissenschaftliche Förderprogramm</w:t>
            </w:r>
            <w:r w:rsidR="00AE1BA2">
              <w:rPr>
                <w:rFonts w:cs="Arial"/>
                <w:b/>
                <w:sz w:val="21"/>
                <w:szCs w:val="21"/>
              </w:rPr>
              <w:t xml:space="preserve"> </w:t>
            </w:r>
            <w:r w:rsidR="00AE1BA2" w:rsidRPr="00AE1BA2">
              <w:rPr>
                <w:rFonts w:cs="Arial"/>
                <w:b/>
                <w:sz w:val="21"/>
                <w:szCs w:val="21"/>
              </w:rPr>
              <w:t>an der Fakultät für Humanwissenschaften</w:t>
            </w:r>
          </w:p>
        </w:tc>
        <w:tc>
          <w:tcPr>
            <w:tcW w:w="3085" w:type="dxa"/>
            <w:shd w:val="clear" w:color="auto" w:fill="auto"/>
          </w:tcPr>
          <w:p w14:paraId="4566F7A6" w14:textId="523ACA55" w:rsidR="004767E9" w:rsidRPr="00160390" w:rsidRDefault="00BC11D6" w:rsidP="00C41D98">
            <w:pPr>
              <w:tabs>
                <w:tab w:val="left" w:pos="4500"/>
                <w:tab w:val="left" w:pos="6300"/>
              </w:tabs>
              <w:suppressAutoHyphens/>
              <w:rPr>
                <w:rFonts w:cs="Arial"/>
                <w:sz w:val="21"/>
                <w:szCs w:val="21"/>
              </w:rPr>
            </w:pPr>
            <w:r w:rsidRPr="00160390">
              <w:rPr>
                <w:rFonts w:cs="Arial"/>
                <w:sz w:val="21"/>
                <w:szCs w:val="21"/>
              </w:rPr>
              <w:t>Würzburg,</w:t>
            </w:r>
            <w:r w:rsidR="0006412A" w:rsidRPr="00160390">
              <w:rPr>
                <w:rFonts w:cs="Arial"/>
                <w:sz w:val="21"/>
                <w:szCs w:val="21"/>
              </w:rPr>
              <w:t xml:space="preserve"> </w:t>
            </w:r>
            <w:r w:rsidR="0006412A" w:rsidRPr="00160390">
              <w:rPr>
                <w:rFonts w:cs="Arial"/>
                <w:sz w:val="21"/>
                <w:szCs w:val="21"/>
              </w:rPr>
              <w:fldChar w:fldCharType="begin"/>
            </w:r>
            <w:r w:rsidR="0006412A" w:rsidRPr="00160390">
              <w:rPr>
                <w:rFonts w:cs="Arial"/>
                <w:sz w:val="21"/>
                <w:szCs w:val="21"/>
              </w:rPr>
              <w:instrText xml:space="preserve"> TIME \@ "dd.MM.yyyy" </w:instrText>
            </w:r>
            <w:r w:rsidR="0006412A" w:rsidRPr="00160390">
              <w:rPr>
                <w:rFonts w:cs="Arial"/>
                <w:sz w:val="21"/>
                <w:szCs w:val="21"/>
              </w:rPr>
              <w:fldChar w:fldCharType="separate"/>
            </w:r>
            <w:r w:rsidR="00722E6F">
              <w:rPr>
                <w:rFonts w:cs="Arial"/>
                <w:noProof/>
                <w:sz w:val="21"/>
                <w:szCs w:val="21"/>
              </w:rPr>
              <w:t>12.07.2023</w:t>
            </w:r>
            <w:r w:rsidR="0006412A" w:rsidRPr="00160390">
              <w:rPr>
                <w:rFonts w:cs="Arial"/>
                <w:sz w:val="21"/>
                <w:szCs w:val="21"/>
              </w:rPr>
              <w:fldChar w:fldCharType="end"/>
            </w:r>
            <w:r w:rsidRPr="00160390">
              <w:rPr>
                <w:rFonts w:cs="Arial"/>
                <w:sz w:val="21"/>
                <w:szCs w:val="21"/>
              </w:rPr>
              <w:t xml:space="preserve"> </w:t>
            </w:r>
          </w:p>
        </w:tc>
      </w:tr>
      <w:tr w:rsidR="0040683A" w:rsidRPr="00160390" w14:paraId="71E4FA69" w14:textId="77777777" w:rsidTr="00DD7599">
        <w:trPr>
          <w:trHeight w:val="188"/>
        </w:trPr>
        <w:tc>
          <w:tcPr>
            <w:tcW w:w="6946" w:type="dxa"/>
            <w:gridSpan w:val="2"/>
            <w:shd w:val="clear" w:color="auto" w:fill="auto"/>
          </w:tcPr>
          <w:p w14:paraId="7A7CBCF8" w14:textId="5A3A7392" w:rsidR="00DD7599" w:rsidRPr="00160390" w:rsidRDefault="00DD7599" w:rsidP="00C41D98">
            <w:pPr>
              <w:tabs>
                <w:tab w:val="left" w:pos="4500"/>
                <w:tab w:val="left" w:pos="6300"/>
              </w:tabs>
              <w:suppressAutoHyphens/>
              <w:rPr>
                <w:rFonts w:cs="Arial"/>
                <w:b/>
                <w:sz w:val="21"/>
                <w:szCs w:val="21"/>
              </w:rPr>
            </w:pPr>
          </w:p>
        </w:tc>
        <w:tc>
          <w:tcPr>
            <w:tcW w:w="3085" w:type="dxa"/>
            <w:shd w:val="clear" w:color="auto" w:fill="auto"/>
          </w:tcPr>
          <w:p w14:paraId="1E6A5FAC" w14:textId="77777777" w:rsidR="0040683A" w:rsidRPr="00160390" w:rsidRDefault="0040683A" w:rsidP="00C41D98">
            <w:pPr>
              <w:tabs>
                <w:tab w:val="left" w:pos="4500"/>
                <w:tab w:val="left" w:pos="6300"/>
              </w:tabs>
              <w:suppressAutoHyphens/>
              <w:rPr>
                <w:rFonts w:cs="Arial"/>
                <w:sz w:val="21"/>
                <w:szCs w:val="21"/>
              </w:rPr>
            </w:pPr>
          </w:p>
        </w:tc>
      </w:tr>
    </w:tbl>
    <w:p w14:paraId="6A52CDE8" w14:textId="11055C02" w:rsidR="00DD7599" w:rsidRPr="00160390" w:rsidRDefault="00DD7599" w:rsidP="00C41D98">
      <w:pPr>
        <w:suppressAutoHyphens/>
        <w:spacing w:after="160" w:line="259" w:lineRule="auto"/>
        <w:rPr>
          <w:rFonts w:eastAsia="Calibri" w:cs="Arial"/>
          <w:sz w:val="21"/>
          <w:szCs w:val="21"/>
          <w:lang w:eastAsia="en-US"/>
        </w:rPr>
      </w:pPr>
      <w:r w:rsidRPr="00160390">
        <w:rPr>
          <w:rFonts w:eastAsia="Calibri" w:cs="Arial"/>
          <w:sz w:val="21"/>
          <w:szCs w:val="21"/>
          <w:lang w:eastAsia="en-US"/>
        </w:rPr>
        <w:t xml:space="preserve">Sehr geehrte </w:t>
      </w:r>
      <w:r w:rsidR="00121787">
        <w:rPr>
          <w:rFonts w:eastAsia="Calibri" w:cs="Arial"/>
          <w:sz w:val="21"/>
          <w:szCs w:val="21"/>
          <w:lang w:eastAsia="en-US"/>
        </w:rPr>
        <w:t>Damen und Herren</w:t>
      </w:r>
      <w:r w:rsidR="00AE1BA2">
        <w:rPr>
          <w:rFonts w:eastAsia="Calibri" w:cs="Arial"/>
          <w:sz w:val="21"/>
          <w:szCs w:val="21"/>
          <w:lang w:eastAsia="en-US"/>
        </w:rPr>
        <w:t>,</w:t>
      </w:r>
    </w:p>
    <w:p w14:paraId="05B22C1B" w14:textId="2CD31239" w:rsidR="00DD7599" w:rsidRPr="00160390" w:rsidRDefault="00DD7599" w:rsidP="00C41D98">
      <w:pPr>
        <w:suppressAutoHyphens/>
        <w:spacing w:after="160" w:line="259" w:lineRule="auto"/>
        <w:rPr>
          <w:rFonts w:eastAsia="Calibri" w:cs="Arial"/>
          <w:sz w:val="21"/>
          <w:szCs w:val="21"/>
          <w:lang w:eastAsia="en-US"/>
        </w:rPr>
      </w:pPr>
      <w:r w:rsidRPr="00160390">
        <w:rPr>
          <w:rFonts w:eastAsia="Calibri" w:cs="Arial"/>
          <w:sz w:val="21"/>
          <w:szCs w:val="21"/>
          <w:lang w:eastAsia="en-US"/>
        </w:rPr>
        <w:t xml:space="preserve">gerne möchte ich </w:t>
      </w:r>
      <w:r w:rsidR="005A60AA">
        <w:rPr>
          <w:rFonts w:eastAsia="Calibri" w:cs="Arial"/>
          <w:sz w:val="21"/>
          <w:szCs w:val="21"/>
          <w:lang w:eastAsia="en-US"/>
        </w:rPr>
        <w:t xml:space="preserve">mich </w:t>
      </w:r>
      <w:r w:rsidRPr="00160390">
        <w:rPr>
          <w:rFonts w:eastAsia="Calibri" w:cs="Arial"/>
          <w:sz w:val="21"/>
          <w:szCs w:val="21"/>
          <w:lang w:eastAsia="en-US"/>
        </w:rPr>
        <w:t xml:space="preserve">bei Ihnen um Mittel zur Förderung </w:t>
      </w:r>
      <w:r w:rsidR="00121787">
        <w:rPr>
          <w:rFonts w:eastAsia="Calibri" w:cs="Arial"/>
          <w:sz w:val="21"/>
          <w:szCs w:val="21"/>
          <w:lang w:eastAsia="en-US"/>
        </w:rPr>
        <w:t>einer Studie</w:t>
      </w:r>
      <w:r w:rsidRPr="00160390">
        <w:rPr>
          <w:rFonts w:eastAsia="Calibri" w:cs="Arial"/>
          <w:sz w:val="21"/>
          <w:szCs w:val="21"/>
          <w:lang w:eastAsia="en-US"/>
        </w:rPr>
        <w:t xml:space="preserve"> </w:t>
      </w:r>
      <w:r w:rsidR="00160390" w:rsidRPr="00160390">
        <w:rPr>
          <w:rFonts w:eastAsia="Calibri" w:cs="Arial"/>
          <w:sz w:val="21"/>
          <w:szCs w:val="21"/>
          <w:lang w:eastAsia="en-US"/>
        </w:rPr>
        <w:t>im Rahmen de</w:t>
      </w:r>
      <w:r w:rsidR="00121787">
        <w:rPr>
          <w:rFonts w:eastAsia="Calibri" w:cs="Arial"/>
          <w:sz w:val="21"/>
          <w:szCs w:val="21"/>
          <w:lang w:eastAsia="en-US"/>
        </w:rPr>
        <w:t xml:space="preserve">s wissenschaftlichen Förderprogramms </w:t>
      </w:r>
      <w:r w:rsidR="00121787" w:rsidRPr="00121787">
        <w:rPr>
          <w:rFonts w:eastAsia="Calibri" w:cs="Arial"/>
          <w:sz w:val="21"/>
          <w:szCs w:val="21"/>
          <w:lang w:eastAsia="en-US"/>
        </w:rPr>
        <w:t xml:space="preserve">der Fakultät für Humanwissenschaften </w:t>
      </w:r>
      <w:r w:rsidRPr="00160390">
        <w:rPr>
          <w:rFonts w:eastAsia="Calibri" w:cs="Arial"/>
          <w:sz w:val="21"/>
          <w:szCs w:val="21"/>
          <w:lang w:eastAsia="en-US"/>
        </w:rPr>
        <w:t>bewerben.</w:t>
      </w:r>
    </w:p>
    <w:p w14:paraId="47BAC396" w14:textId="548C9A16" w:rsidR="00DD7599" w:rsidRPr="00160390" w:rsidRDefault="00DD7599" w:rsidP="00C41D98">
      <w:pPr>
        <w:suppressAutoHyphens/>
        <w:spacing w:after="160" w:line="259" w:lineRule="auto"/>
        <w:rPr>
          <w:rFonts w:eastAsia="Calibri" w:cs="Arial"/>
          <w:sz w:val="21"/>
          <w:szCs w:val="21"/>
          <w:lang w:eastAsia="en-US"/>
        </w:rPr>
      </w:pPr>
      <w:r w:rsidRPr="00160390">
        <w:rPr>
          <w:rFonts w:eastAsia="Calibri" w:cs="Arial"/>
          <w:sz w:val="21"/>
          <w:szCs w:val="21"/>
          <w:lang w:eastAsia="en-US"/>
        </w:rPr>
        <w:t xml:space="preserve">Mein Name ist Sabrina Gado, ich bin </w:t>
      </w:r>
      <w:r w:rsidR="001F58D6" w:rsidRPr="00160390">
        <w:rPr>
          <w:rFonts w:eastAsia="Calibri" w:cs="Arial"/>
          <w:sz w:val="21"/>
          <w:szCs w:val="21"/>
          <w:lang w:eastAsia="en-US"/>
        </w:rPr>
        <w:t xml:space="preserve">Wissenschaftliche Mitarbeiterin und Promotionsstudentin im Rahmen des Graduiertenkollegs 2660, Approach - </w:t>
      </w:r>
      <w:proofErr w:type="spellStart"/>
      <w:r w:rsidR="001F58D6" w:rsidRPr="00160390">
        <w:rPr>
          <w:rFonts w:eastAsia="Calibri" w:cs="Arial"/>
          <w:sz w:val="21"/>
          <w:szCs w:val="21"/>
          <w:lang w:eastAsia="en-US"/>
        </w:rPr>
        <w:t>Avoidance</w:t>
      </w:r>
      <w:proofErr w:type="spellEnd"/>
      <w:r w:rsidR="001F58D6" w:rsidRPr="00160390">
        <w:rPr>
          <w:rFonts w:eastAsia="Calibri" w:cs="Arial"/>
          <w:sz w:val="21"/>
          <w:szCs w:val="21"/>
          <w:lang w:eastAsia="en-US"/>
        </w:rPr>
        <w:t xml:space="preserve"> am Lehrstuhl für Psychologie in der Arbeitsgruppe Experimentelle Klinische Psychologie von Prof. Dr. Matthias Gamer.</w:t>
      </w:r>
    </w:p>
    <w:p w14:paraId="1E021C41" w14:textId="39A641DB" w:rsidR="00FC6A74" w:rsidRDefault="001F58D6" w:rsidP="00C41D98">
      <w:pPr>
        <w:suppressAutoHyphens/>
        <w:spacing w:after="160" w:line="259" w:lineRule="auto"/>
        <w:rPr>
          <w:rFonts w:eastAsia="Calibri" w:cs="Arial"/>
          <w:sz w:val="21"/>
          <w:szCs w:val="21"/>
          <w:lang w:eastAsia="en-US"/>
        </w:rPr>
      </w:pPr>
      <w:r w:rsidRPr="00160390">
        <w:rPr>
          <w:rFonts w:eastAsia="Calibri" w:cs="Arial"/>
          <w:sz w:val="21"/>
          <w:szCs w:val="21"/>
          <w:lang w:eastAsia="en-US"/>
        </w:rPr>
        <w:t>Im Rahmen meiner Promotion möchte ich soziales Annäherungs- und Vermeidungsverhalten untersuchen</w:t>
      </w:r>
      <w:r w:rsidR="00FC6A74" w:rsidRPr="00160390">
        <w:rPr>
          <w:rFonts w:eastAsia="Calibri" w:cs="Arial"/>
          <w:sz w:val="21"/>
          <w:szCs w:val="21"/>
          <w:lang w:eastAsia="en-US"/>
        </w:rPr>
        <w:t xml:space="preserve">. </w:t>
      </w:r>
      <w:r w:rsidR="00121787">
        <w:rPr>
          <w:rFonts w:eastAsia="Calibri" w:cs="Arial"/>
          <w:sz w:val="21"/>
          <w:szCs w:val="21"/>
          <w:lang w:eastAsia="en-US"/>
        </w:rPr>
        <w:t>Dabei soll auch ein Fokus auf sogenannte Annäherungs-Vermeidungs-Konflikte gelegt werden.</w:t>
      </w:r>
    </w:p>
    <w:p w14:paraId="1D6020C5" w14:textId="2B14F3D2" w:rsidR="00160390" w:rsidRDefault="00160390" w:rsidP="00C41D98">
      <w:pPr>
        <w:suppressAutoHyphens/>
        <w:spacing w:after="160" w:line="259" w:lineRule="auto"/>
        <w:rPr>
          <w:rFonts w:eastAsia="Calibri" w:cs="Arial"/>
          <w:sz w:val="21"/>
          <w:szCs w:val="21"/>
          <w:lang w:eastAsia="en-US"/>
        </w:rPr>
      </w:pPr>
      <w:r>
        <w:rPr>
          <w:rFonts w:eastAsia="Calibri" w:cs="Arial"/>
          <w:sz w:val="21"/>
          <w:szCs w:val="21"/>
          <w:lang w:eastAsia="en-US"/>
        </w:rPr>
        <w:t xml:space="preserve">Um </w:t>
      </w:r>
      <w:r w:rsidR="00121787">
        <w:rPr>
          <w:rFonts w:eastAsia="Calibri" w:cs="Arial"/>
          <w:sz w:val="21"/>
          <w:szCs w:val="21"/>
          <w:lang w:eastAsia="en-US"/>
        </w:rPr>
        <w:t>eine Eye-Tracking-Studie hierfür</w:t>
      </w:r>
      <w:r w:rsidR="00440661">
        <w:rPr>
          <w:rFonts w:eastAsia="Calibri" w:cs="Arial"/>
          <w:sz w:val="21"/>
          <w:szCs w:val="21"/>
          <w:lang w:eastAsia="en-US"/>
        </w:rPr>
        <w:t xml:space="preserve"> </w:t>
      </w:r>
      <w:r>
        <w:rPr>
          <w:rFonts w:eastAsia="Calibri" w:cs="Arial"/>
          <w:sz w:val="21"/>
          <w:szCs w:val="21"/>
          <w:lang w:eastAsia="en-US"/>
        </w:rPr>
        <w:t xml:space="preserve">umzusetzen, möchte ich gerne Mittel in </w:t>
      </w:r>
      <w:r w:rsidRPr="00576950">
        <w:rPr>
          <w:rFonts w:eastAsia="Calibri" w:cs="Arial"/>
          <w:sz w:val="21"/>
          <w:szCs w:val="21"/>
          <w:lang w:eastAsia="en-US"/>
        </w:rPr>
        <w:t xml:space="preserve">Höhe von </w:t>
      </w:r>
      <w:r w:rsidR="003831F9">
        <w:rPr>
          <w:rFonts w:eastAsia="Calibri" w:cs="Arial"/>
          <w:b/>
          <w:bCs/>
          <w:sz w:val="21"/>
          <w:szCs w:val="21"/>
          <w:lang w:eastAsia="en-US"/>
        </w:rPr>
        <w:t>6</w:t>
      </w:r>
      <w:r w:rsidR="00576950" w:rsidRPr="00576950">
        <w:rPr>
          <w:rFonts w:eastAsia="Calibri" w:cs="Arial"/>
          <w:b/>
          <w:bCs/>
          <w:sz w:val="21"/>
          <w:szCs w:val="21"/>
          <w:lang w:eastAsia="en-US"/>
        </w:rPr>
        <w:t>00</w:t>
      </w:r>
      <w:r w:rsidRPr="00576950">
        <w:rPr>
          <w:rFonts w:eastAsia="Calibri" w:cs="Arial"/>
          <w:b/>
          <w:bCs/>
          <w:sz w:val="21"/>
          <w:szCs w:val="21"/>
          <w:lang w:eastAsia="en-US"/>
        </w:rPr>
        <w:t xml:space="preserve"> €</w:t>
      </w:r>
      <w:r w:rsidRPr="00576950">
        <w:rPr>
          <w:rFonts w:eastAsia="Calibri" w:cs="Arial"/>
          <w:sz w:val="21"/>
          <w:szCs w:val="21"/>
          <w:lang w:eastAsia="en-US"/>
        </w:rPr>
        <w:t xml:space="preserve"> beantragen. Diese sollen vor allem für Verbrauchsmaterialien und die </w:t>
      </w:r>
      <w:r w:rsidR="00440661" w:rsidRPr="00576950">
        <w:rPr>
          <w:rFonts w:eastAsia="Calibri" w:cs="Arial"/>
          <w:sz w:val="21"/>
          <w:szCs w:val="21"/>
          <w:lang w:eastAsia="en-US"/>
        </w:rPr>
        <w:t xml:space="preserve">Rekrutierung </w:t>
      </w:r>
      <w:r w:rsidR="00440661">
        <w:rPr>
          <w:rFonts w:eastAsia="Calibri" w:cs="Arial"/>
          <w:sz w:val="21"/>
          <w:szCs w:val="21"/>
          <w:lang w:eastAsia="en-US"/>
        </w:rPr>
        <w:t xml:space="preserve">und </w:t>
      </w:r>
      <w:r>
        <w:rPr>
          <w:rFonts w:eastAsia="Calibri" w:cs="Arial"/>
          <w:sz w:val="21"/>
          <w:szCs w:val="21"/>
          <w:lang w:eastAsia="en-US"/>
        </w:rPr>
        <w:t>Bezahlung von Versuchspersonen eingesetzt werden.</w:t>
      </w:r>
    </w:p>
    <w:p w14:paraId="1C0345F6" w14:textId="650E5C33" w:rsidR="00C2545E" w:rsidRDefault="00160390" w:rsidP="00C41D98">
      <w:pPr>
        <w:suppressAutoHyphens/>
        <w:spacing w:after="160" w:line="259" w:lineRule="auto"/>
        <w:rPr>
          <w:rFonts w:eastAsia="Calibri" w:cs="Arial"/>
          <w:sz w:val="21"/>
          <w:szCs w:val="21"/>
          <w:lang w:eastAsia="en-US"/>
        </w:rPr>
      </w:pPr>
      <w:r>
        <w:rPr>
          <w:rFonts w:eastAsia="Calibri" w:cs="Arial"/>
          <w:sz w:val="21"/>
          <w:szCs w:val="21"/>
          <w:lang w:eastAsia="en-US"/>
        </w:rPr>
        <w:t>Herzlichen Dank im Voraus für die Berücksichtigung meines Antrags und freundliche Grüße</w:t>
      </w:r>
    </w:p>
    <w:p w14:paraId="72F40A6F" w14:textId="7282C9E5" w:rsidR="00160390" w:rsidRPr="00160390" w:rsidRDefault="00160390" w:rsidP="00C41D98">
      <w:pPr>
        <w:suppressAutoHyphens/>
        <w:spacing w:after="160" w:line="259" w:lineRule="auto"/>
        <w:rPr>
          <w:rFonts w:eastAsia="Calibri" w:cs="Arial"/>
          <w:sz w:val="21"/>
          <w:szCs w:val="21"/>
          <w:lang w:eastAsia="en-US"/>
        </w:rPr>
      </w:pPr>
      <w:r>
        <w:rPr>
          <w:rFonts w:eastAsia="Calibri" w:cs="Arial"/>
          <w:noProof/>
          <w:sz w:val="21"/>
          <w:szCs w:val="21"/>
          <w:lang w:eastAsia="en-US"/>
        </w:rPr>
        <w:drawing>
          <wp:inline distT="0" distB="0" distL="0" distR="0" wp14:anchorId="58F75D26" wp14:editId="40A0E1E0">
            <wp:extent cx="1115793" cy="560614"/>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9325" cy="582486"/>
                    </a:xfrm>
                    <a:prstGeom prst="rect">
                      <a:avLst/>
                    </a:prstGeom>
                    <a:noFill/>
                    <a:ln>
                      <a:noFill/>
                    </a:ln>
                  </pic:spPr>
                </pic:pic>
              </a:graphicData>
            </a:graphic>
          </wp:inline>
        </w:drawing>
      </w:r>
    </w:p>
    <w:p w14:paraId="64A286C5" w14:textId="327102A8" w:rsidR="00C2545E" w:rsidRPr="00160390" w:rsidRDefault="00C2545E" w:rsidP="00C41D98">
      <w:pPr>
        <w:suppressAutoHyphens/>
        <w:spacing w:after="160" w:line="259" w:lineRule="auto"/>
        <w:rPr>
          <w:rFonts w:eastAsia="Calibri" w:cs="Arial"/>
          <w:sz w:val="21"/>
          <w:szCs w:val="21"/>
          <w:lang w:eastAsia="en-US"/>
        </w:rPr>
      </w:pPr>
      <w:r w:rsidRPr="00160390">
        <w:rPr>
          <w:rFonts w:eastAsia="Calibri" w:cs="Arial"/>
          <w:sz w:val="21"/>
          <w:szCs w:val="21"/>
          <w:lang w:eastAsia="en-US"/>
        </w:rPr>
        <w:t>Sabrina Gado</w:t>
      </w:r>
      <w:r w:rsidRPr="00160390">
        <w:rPr>
          <w:rFonts w:eastAsia="Calibri" w:cs="Arial"/>
          <w:sz w:val="21"/>
          <w:szCs w:val="21"/>
          <w:lang w:eastAsia="en-US"/>
        </w:rPr>
        <w:br w:type="page"/>
      </w:r>
    </w:p>
    <w:p w14:paraId="4D8D36B7" w14:textId="621907F2" w:rsidR="00A846F3" w:rsidRPr="00160390" w:rsidRDefault="00A846F3" w:rsidP="00A846F3">
      <w:pPr>
        <w:tabs>
          <w:tab w:val="left" w:pos="4500"/>
          <w:tab w:val="left" w:pos="6300"/>
        </w:tabs>
        <w:rPr>
          <w:rFonts w:cs="Arial"/>
          <w:b/>
          <w:sz w:val="21"/>
          <w:szCs w:val="21"/>
        </w:rPr>
      </w:pPr>
      <w:r w:rsidRPr="00160390">
        <w:rPr>
          <w:rFonts w:cs="Arial"/>
          <w:b/>
          <w:sz w:val="21"/>
          <w:szCs w:val="21"/>
        </w:rPr>
        <w:lastRenderedPageBreak/>
        <w:t>Forschungsvorhaben</w:t>
      </w:r>
    </w:p>
    <w:p w14:paraId="4AEA820C" w14:textId="77777777" w:rsidR="00A846F3" w:rsidRPr="00160390" w:rsidRDefault="00A846F3" w:rsidP="00A846F3">
      <w:pPr>
        <w:tabs>
          <w:tab w:val="left" w:pos="4500"/>
          <w:tab w:val="left" w:pos="6300"/>
        </w:tabs>
        <w:rPr>
          <w:rFonts w:cs="Arial"/>
          <w:b/>
          <w:sz w:val="21"/>
          <w:szCs w:val="21"/>
        </w:rPr>
      </w:pPr>
    </w:p>
    <w:p w14:paraId="5A7A40A1" w14:textId="12178AF5" w:rsidR="00121787" w:rsidRDefault="00A846F3" w:rsidP="00C85046">
      <w:pPr>
        <w:spacing w:after="160" w:line="259" w:lineRule="auto"/>
        <w:rPr>
          <w:rFonts w:eastAsia="Calibri" w:cs="Arial"/>
          <w:sz w:val="21"/>
          <w:szCs w:val="21"/>
          <w:lang w:eastAsia="en-US"/>
        </w:rPr>
      </w:pPr>
      <w:r w:rsidRPr="00160390">
        <w:rPr>
          <w:rFonts w:eastAsia="Calibri" w:cs="Arial"/>
          <w:sz w:val="21"/>
          <w:szCs w:val="21"/>
          <w:lang w:eastAsia="en-US"/>
        </w:rPr>
        <w:t>I</w:t>
      </w:r>
      <w:r w:rsidR="00C2545E" w:rsidRPr="00160390">
        <w:rPr>
          <w:rFonts w:eastAsia="Calibri" w:cs="Arial"/>
          <w:sz w:val="21"/>
          <w:szCs w:val="21"/>
          <w:lang w:eastAsia="en-US"/>
        </w:rPr>
        <w:t xml:space="preserve">m Rahmen </w:t>
      </w:r>
      <w:r w:rsidR="00121787">
        <w:rPr>
          <w:rFonts w:eastAsia="Calibri" w:cs="Arial"/>
          <w:sz w:val="21"/>
          <w:szCs w:val="21"/>
          <w:lang w:eastAsia="en-US"/>
        </w:rPr>
        <w:t xml:space="preserve">dieses Projektes soll untersucht werden </w:t>
      </w:r>
      <w:r w:rsidR="00DF16C3">
        <w:rPr>
          <w:rFonts w:eastAsia="Calibri" w:cs="Arial"/>
          <w:sz w:val="21"/>
          <w:szCs w:val="21"/>
          <w:lang w:eastAsia="en-US"/>
        </w:rPr>
        <w:t>ob reflexive Aufmerksamkeitsprozesse in Richtung sozialer Stimuli durch Konditionierung beeinflusst werden können.</w:t>
      </w:r>
    </w:p>
    <w:p w14:paraId="2C3A8523" w14:textId="30118668" w:rsidR="00DF16C3" w:rsidRDefault="007464E8" w:rsidP="009A5F0E">
      <w:pPr>
        <w:spacing w:after="160" w:line="259" w:lineRule="auto"/>
        <w:rPr>
          <w:rFonts w:eastAsia="Calibri" w:cs="Arial"/>
          <w:sz w:val="21"/>
          <w:szCs w:val="21"/>
          <w:lang w:eastAsia="en-US"/>
        </w:rPr>
      </w:pPr>
      <w:r w:rsidRPr="007464E8">
        <w:rPr>
          <w:rFonts w:eastAsia="Calibri" w:cs="Arial"/>
          <w:sz w:val="21"/>
          <w:szCs w:val="21"/>
          <w:lang w:eastAsia="en-US"/>
        </w:rPr>
        <w:t xml:space="preserve">Soziale Reize </w:t>
      </w:r>
      <w:r w:rsidR="009A5F0E">
        <w:rPr>
          <w:rFonts w:eastAsia="Calibri" w:cs="Arial"/>
          <w:sz w:val="21"/>
          <w:szCs w:val="21"/>
          <w:lang w:eastAsia="en-US"/>
        </w:rPr>
        <w:t xml:space="preserve">wie Menschen oder Gesichter </w:t>
      </w:r>
      <w:r w:rsidRPr="007464E8">
        <w:rPr>
          <w:rFonts w:eastAsia="Calibri" w:cs="Arial"/>
          <w:sz w:val="21"/>
          <w:szCs w:val="21"/>
          <w:lang w:eastAsia="en-US"/>
        </w:rPr>
        <w:t>werden im visuellen System vorrangig verarbeitet</w:t>
      </w:r>
      <w:r w:rsidR="00C808AB">
        <w:rPr>
          <w:rFonts w:eastAsia="Calibri" w:cs="Arial"/>
          <w:sz w:val="21"/>
          <w:szCs w:val="21"/>
          <w:lang w:eastAsia="en-US"/>
        </w:rPr>
        <w:t xml:space="preserve"> </w:t>
      </w:r>
      <w:r w:rsidR="00E01E1A">
        <w:rPr>
          <w:rFonts w:eastAsia="Calibri" w:cs="Arial"/>
          <w:sz w:val="21"/>
          <w:szCs w:val="21"/>
          <w:lang w:eastAsia="en-US"/>
        </w:rPr>
        <w:fldChar w:fldCharType="begin"/>
      </w:r>
      <w:r w:rsidR="000B5931">
        <w:rPr>
          <w:rFonts w:eastAsia="Calibri" w:cs="Arial"/>
          <w:sz w:val="21"/>
          <w:szCs w:val="21"/>
          <w:lang w:eastAsia="en-US"/>
        </w:rPr>
        <w:instrText xml:space="preserve"> ADDIN ZOTERO_ITEM CSL_CITATION {"citationID":"gPAW9ep4","properties":{"formattedCitation":"(Birmingham &amp; Kingstone, 2009)","plainCitation":"(Birmingham &amp; Kingstone, 2009)","noteIndex":0},"citationItems":[{"id":5867,"uris":["http://zotero.org/users/8429722/items/5YXILDTF"],"itemData":{"id":5867,"type":"article-journal","abstract":"The present review examines the neural-behavioral correlates of human social attention, with special regard to the neural mechanisms involved in processing gaze information and the functional impact of gaze direction on the spatial orienting of attention. Our review suggests that there is strong evidence that specific brain systems are preferentially biased toward processing gaze information, yet this specificity is not mirrored by the behavioral data as measured in highly controlled model attention tasks such as the Posner cueing paradigm. In less controlled tasks, however, such as when observers are left free to select what they want to attend, they focus on people and their eyes, consistent with one's intuition and with the neural evidence that eyes are special. We discuss a range of implications of these data, including that much is to be gained by examining brain and behavioral processes to social stimuli as they occur in complex real-world settings.","container-title":"Annals of the New York Academy of Sciences","DOI":"10.1111/j.1749-6632.2009.04468.x","ISSN":"0077-8923","issue":"1","journalAbbreviation":"Annals of the New York Academy of Sciences","note":"publisher: John Wiley &amp; Sons, Ltd","page":"118-140","title":"Human Social Attention","volume":"1156","author":[{"family":"Birmingham","given":"Elina"},{"family":"Kingstone","given":"Alan"}],"issued":{"date-parts":[["2009",3,1]]}}}],"schema":"https://github.com/citation-style-language/schema/raw/master/csl-citation.json"} </w:instrText>
      </w:r>
      <w:r w:rsidR="00E01E1A">
        <w:rPr>
          <w:rFonts w:eastAsia="Calibri" w:cs="Arial"/>
          <w:sz w:val="21"/>
          <w:szCs w:val="21"/>
          <w:lang w:eastAsia="en-US"/>
        </w:rPr>
        <w:fldChar w:fldCharType="separate"/>
      </w:r>
      <w:r w:rsidR="000B5931" w:rsidRPr="000B5931">
        <w:rPr>
          <w:rFonts w:eastAsia="Calibri" w:cs="Arial"/>
          <w:sz w:val="21"/>
        </w:rPr>
        <w:t>(Birmingham &amp; Kingstone, 2009)</w:t>
      </w:r>
      <w:r w:rsidR="00E01E1A">
        <w:rPr>
          <w:rFonts w:eastAsia="Calibri" w:cs="Arial"/>
          <w:sz w:val="21"/>
          <w:szCs w:val="21"/>
          <w:lang w:eastAsia="en-US"/>
        </w:rPr>
        <w:fldChar w:fldCharType="end"/>
      </w:r>
      <w:r w:rsidR="00E01E1A">
        <w:rPr>
          <w:rFonts w:eastAsia="Calibri" w:cs="Arial"/>
          <w:sz w:val="21"/>
          <w:szCs w:val="21"/>
          <w:lang w:eastAsia="en-US"/>
        </w:rPr>
        <w:t>.</w:t>
      </w:r>
      <w:r>
        <w:rPr>
          <w:rFonts w:eastAsia="Calibri" w:cs="Arial"/>
          <w:sz w:val="21"/>
          <w:szCs w:val="21"/>
          <w:lang w:eastAsia="en-US"/>
        </w:rPr>
        <w:t xml:space="preserve"> Mithilfe von Eye-Tracking-Studien konnte gezeigt werden, dass d</w:t>
      </w:r>
      <w:r w:rsidRPr="007464E8">
        <w:rPr>
          <w:rFonts w:eastAsia="Calibri" w:cs="Arial"/>
          <w:sz w:val="21"/>
          <w:szCs w:val="21"/>
          <w:lang w:eastAsia="en-US"/>
        </w:rPr>
        <w:t xml:space="preserve">ie Priorisierung sozialer Reize ein reflexiver Prozess </w:t>
      </w:r>
      <w:r w:rsidR="009A5F0E">
        <w:rPr>
          <w:rFonts w:eastAsia="Calibri" w:cs="Arial"/>
          <w:sz w:val="21"/>
          <w:szCs w:val="21"/>
          <w:lang w:eastAsia="en-US"/>
        </w:rPr>
        <w:t>ist</w:t>
      </w:r>
      <w:r>
        <w:rPr>
          <w:rFonts w:eastAsia="Calibri" w:cs="Arial"/>
          <w:sz w:val="21"/>
          <w:szCs w:val="21"/>
          <w:lang w:eastAsia="en-US"/>
        </w:rPr>
        <w:t xml:space="preserve">. Soziale Reize führten unabhängig von ihrer </w:t>
      </w:r>
      <w:r w:rsidR="009C4A10">
        <w:rPr>
          <w:rFonts w:eastAsia="Calibri" w:cs="Arial"/>
          <w:sz w:val="21"/>
          <w:szCs w:val="21"/>
          <w:lang w:eastAsia="en-US"/>
        </w:rPr>
        <w:t>phys</w:t>
      </w:r>
      <w:r w:rsidR="008B5636">
        <w:rPr>
          <w:rFonts w:eastAsia="Calibri" w:cs="Arial"/>
          <w:sz w:val="21"/>
          <w:szCs w:val="21"/>
          <w:lang w:eastAsia="en-US"/>
        </w:rPr>
        <w:t>ikal</w:t>
      </w:r>
      <w:r w:rsidR="009C4A10">
        <w:rPr>
          <w:rFonts w:eastAsia="Calibri" w:cs="Arial"/>
          <w:sz w:val="21"/>
          <w:szCs w:val="21"/>
          <w:lang w:eastAsia="en-US"/>
        </w:rPr>
        <w:t>ischen</w:t>
      </w:r>
      <w:r>
        <w:rPr>
          <w:rFonts w:eastAsia="Calibri" w:cs="Arial"/>
          <w:sz w:val="21"/>
          <w:szCs w:val="21"/>
          <w:lang w:eastAsia="en-US"/>
        </w:rPr>
        <w:t xml:space="preserve"> Salienz</w:t>
      </w:r>
      <w:r w:rsidR="001F5264" w:rsidRPr="001F5264">
        <w:rPr>
          <w:rFonts w:eastAsia="Calibri" w:cs="Arial"/>
          <w:sz w:val="21"/>
          <w:szCs w:val="21"/>
          <w:lang w:eastAsia="en-US"/>
        </w:rPr>
        <w:t xml:space="preserve"> </w:t>
      </w:r>
      <w:r w:rsidR="001F5264">
        <w:rPr>
          <w:rFonts w:eastAsia="Calibri" w:cs="Arial"/>
          <w:sz w:val="21"/>
          <w:szCs w:val="21"/>
          <w:lang w:eastAsia="en-US"/>
        </w:rPr>
        <w:t xml:space="preserve">zu </w:t>
      </w:r>
      <w:r w:rsidR="001F5264" w:rsidRPr="007464E8">
        <w:rPr>
          <w:rFonts w:eastAsia="Calibri" w:cs="Arial"/>
          <w:sz w:val="21"/>
          <w:szCs w:val="21"/>
          <w:lang w:eastAsia="en-US"/>
        </w:rPr>
        <w:t>Aufmerksamkeitsverschiebungen</w:t>
      </w:r>
      <w:r w:rsidR="009A5F0E">
        <w:rPr>
          <w:rFonts w:eastAsia="Calibri" w:cs="Arial"/>
          <w:sz w:val="21"/>
          <w:szCs w:val="21"/>
          <w:lang w:eastAsia="en-US"/>
        </w:rPr>
        <w:t xml:space="preserve"> </w:t>
      </w:r>
      <w:r w:rsidR="00C808AB">
        <w:rPr>
          <w:rFonts w:eastAsia="Calibri" w:cs="Arial"/>
          <w:sz w:val="21"/>
          <w:szCs w:val="21"/>
          <w:lang w:eastAsia="en-US"/>
        </w:rPr>
        <w:fldChar w:fldCharType="begin"/>
      </w:r>
      <w:r w:rsidR="000B5931">
        <w:rPr>
          <w:rFonts w:eastAsia="Calibri" w:cs="Arial"/>
          <w:sz w:val="21"/>
          <w:szCs w:val="21"/>
          <w:lang w:eastAsia="en-US"/>
        </w:rPr>
        <w:instrText xml:space="preserve"> ADDIN ZOTERO_ITEM CSL_CITATION {"citationID":"6ZG8rGYa","properties":{"formattedCitation":"(Birmingham, Bischof &amp; Kingstone, 2009; Cerf, Harel, Einh\\uc0\\u228{}user &amp; Koch, 2007; End &amp; Gamer, 2017; Flechsenhar, R\\uc0\\u246{}sler &amp; Gamer, 2018)","plainCitation":"(Birmingham, Bischof &amp; Kingstone, 2009; Cerf, Harel, Einhäuser &amp; Koch, 2007; End &amp; Gamer, 2017; Flechsenhar, Rösler &amp; Gamer, 2018)","noteIndex":0},"citationItems":[{"id":5863,"uris":["http://zotero.org/users/8429722/items/4WW5KA2B"],"itemData":{"id":5863,"type":"article-journal","abstract":"We assessed the role of saliency in driving observers to fixate the eyes in social scenes. Saliency maps (Itti &amp; Koch, 2000) were computed for the scenes from three previous studies. Saliency provided a poor account of the data. The saliency values for the first-fixated locations were extremely low and no greater than what would be expected by chance. In addition, the saliency values for the eye regions were low. Furthermore, whereas saliency was no better at predicting early saccades than late saccades, the average latency to fixate social areas of the scene (e.g., the eyes) was very fast (within 200ms). Thus, visual saliency does not account for observers’ bias to select the eyes within complex social scenes, nor does it account for fixation behavior in general. Instead, it appears that observers’ fixations are driven largely by their default interest in social information.","container-title":"Vision Research","DOI":"10.1016/j.visres.2009.09.014","ISSN":"0042-6989","issue":"24","journalAbbreviation":"Vision Research","page":"2992-3000","title":"Saliency does not account for fixations to eyes within social scenes","volume":"49","author":[{"family":"Birmingham","given":"Elina"},{"family":"Bischof","given":"Walter F."},{"family":"Kingstone","given":"Alan"}],"issued":{"date-parts":[["2009",12,10]]}}},{"id":5862,"uris":["http://zotero.org/users/8429722/items/3BRTI7JY"],"itemData":{"id":5862,"type":"paper-conference","container-title":"Advances in neural information processing systems","event-place":"Vancouver","event-title":"NeurIPS","publisher-place":"Vancouver","title":"Predicting human gaze using low-level saliency combined with face detection","URL":"https://proceedings.neurips.cc/paper/2007/file/708f3cf8100d5e71834b1db77dfa15d6-Paper.pdf","volume":"20","author":[{"family":"Cerf","given":"Moran"},{"family":"Harel","given":"Jonathan"},{"family":"Einhäuser","given":"Wolfgang"},{"family":"Koch","given":"Christof"}],"issued":{"date-parts":[["2007"]]}}},{"id":5865,"uris":["http://zotero.org/users/8429722/items/W3686QF3"],"itemData":{"id":5865,"type":"article-journal","abstract":"According to so-called saliency-based attention models, attention during free viewing of visual scenes is particularly allocated to physically salient image regions. In the present study, we assumed that social features in complex naturalistic scenes would be processed preferentially irrespective of their physical saliency. Therefore, we expected worse prediction of gazing behavior by saliency-based attention models when social information is present in the visual field. To test this hypothesis, participants freely viewed color photographs of complex naturalistic social (e.g., including heads, bodies) and non-social (e.g., including landscapes, objects) scenes while their eye movements were recorded. In agreement with our hypothesis, we found that social features (especially heads) were heavily prioritized during visual exploration. Correspondingly, the presence of social information weakened the influence of low-level saliency on gazing behavior. Importantly, this pattern was most pronounced for the earliest fixations indicating automatic attentional processes. These findings were further corroborated by a linear mixed model approach showing that social features (especially heads) add substantially to the prediction of fixations beyond physical saliency. Taken together, the current study indicates gazing behavior for naturalistic scenes to be better predicted by the interplay of social and physically salient features than by low-level saliency alone. These findings strongly challenge the generalizability of saliency-based attention models and demonstrate the importance of considering social influences when investigating the driving factors of human visual attention.","container-title":"Frontiers in Psychology","ISSN":"1664-1078","journalAbbreviation":"Frontiers in Psychology","title":"Preferential Processing of Social Features and Their Interplay with Physical Saliency in Complex Naturalistic Scenes","URL":"https://www.frontiersin.org/articles/10.3389/fpsyg.2017.00418","volume":"8","author":[{"family":"End","given":"Albert"},{"family":"Gamer","given":"Matthias"}],"issued":{"date-parts":[["2017"]]}}},{"id":5869,"uris":["http://zotero.org/users/8429722/items/DR6QQQ8E"],"itemData":{"id":5869,"type":"article-journal","abstract":"Previous studies have shown an attentional bias towards social features during free-viewing of naturalistic scenes. This social attention seems to be reflexive and able to defy top-down demands in form of explicit search tasks. However, the question remains whether social features continue to be prioritized when peripheral information is limited, thereby reducing the influence of bottom-up image information on gaze orienting. Therefore, we established a gaze-contingent viewing paradigm, in which the visual field was constrained and updated in response to the viewer’s eye movements. Participants viewed social and non-social images that were randomly allocated to a free and a gaze-contingent viewing condition while their eye movements were tracked. Our results revealed a strong attentional bias towards social features in both conditions. However, gaze-contingent viewing altered temporal and spatial dynamics of viewing behavior. Additionally, recurrent fixations were more frequent and closer together in time for social compared to non-social stimuli in both viewing conditions. Taken together, this study implies a predominant selection of social features when bottom-up influences are diminished and a general influence of social content on visual exploratory behavior, thus highlighting mechanisms of social attention.","container-title":"Scientific Reports","DOI":"10.1038/s41598-018-30736-8","ISSN":"2045-2322","issue":"1","journalAbbreviation":"Scientific Reports","page":"12555","title":"Attentional Selection of Social Features Persists Despite Restricted Bottom-Up Information and Affects Temporal Viewing Dynamics","volume":"8","author":[{"family":"Flechsenhar","given":"Aleya"},{"family":"Rösler","given":"Lara"},{"family":"Gamer","given":"Matthias"}],"issued":{"date-parts":[["2018",8,22]]}}}],"schema":"https://github.com/citation-style-language/schema/raw/master/csl-citation.json"} </w:instrText>
      </w:r>
      <w:r w:rsidR="00C808AB">
        <w:rPr>
          <w:rFonts w:eastAsia="Calibri" w:cs="Arial"/>
          <w:sz w:val="21"/>
          <w:szCs w:val="21"/>
          <w:lang w:eastAsia="en-US"/>
        </w:rPr>
        <w:fldChar w:fldCharType="separate"/>
      </w:r>
      <w:r w:rsidR="000B5931" w:rsidRPr="000B5931">
        <w:rPr>
          <w:rFonts w:cs="Arial"/>
          <w:sz w:val="21"/>
        </w:rPr>
        <w:t>(Birmingham, Bischof &amp; Kingstone, 2009; Cerf, Harel, Einhäuser &amp; Koch, 2007; End &amp; Gamer, 2017; Flechsenhar, Rösler &amp; Gamer, 2018)</w:t>
      </w:r>
      <w:r w:rsidR="00C808AB">
        <w:rPr>
          <w:rFonts w:eastAsia="Calibri" w:cs="Arial"/>
          <w:sz w:val="21"/>
          <w:szCs w:val="21"/>
          <w:lang w:eastAsia="en-US"/>
        </w:rPr>
        <w:fldChar w:fldCharType="end"/>
      </w:r>
      <w:r w:rsidR="00C808AB" w:rsidRPr="000B5931">
        <w:rPr>
          <w:rFonts w:eastAsia="Calibri" w:cs="Arial"/>
          <w:sz w:val="21"/>
          <w:szCs w:val="21"/>
          <w:lang w:eastAsia="en-US"/>
        </w:rPr>
        <w:t xml:space="preserve">. </w:t>
      </w:r>
      <w:r w:rsidR="00C808AB">
        <w:rPr>
          <w:rFonts w:eastAsia="Calibri" w:cs="Arial"/>
          <w:sz w:val="21"/>
          <w:szCs w:val="21"/>
          <w:lang w:eastAsia="en-US"/>
        </w:rPr>
        <w:t xml:space="preserve">Diese Verschiebung der Aufmerksamkeit </w:t>
      </w:r>
      <w:r w:rsidR="008B5636">
        <w:rPr>
          <w:rFonts w:eastAsia="Calibri" w:cs="Arial"/>
          <w:sz w:val="21"/>
          <w:szCs w:val="21"/>
          <w:lang w:eastAsia="en-US"/>
        </w:rPr>
        <w:t>tritt</w:t>
      </w:r>
      <w:r w:rsidR="00C808AB">
        <w:rPr>
          <w:rFonts w:eastAsia="Calibri" w:cs="Arial"/>
          <w:sz w:val="21"/>
          <w:szCs w:val="21"/>
          <w:lang w:eastAsia="en-US"/>
        </w:rPr>
        <w:t xml:space="preserve"> schon bei der ersten Fixation </w:t>
      </w:r>
      <w:r w:rsidR="008B5636">
        <w:rPr>
          <w:rFonts w:eastAsia="Calibri" w:cs="Arial"/>
          <w:sz w:val="21"/>
          <w:szCs w:val="21"/>
          <w:lang w:eastAsia="en-US"/>
        </w:rPr>
        <w:t>auf</w:t>
      </w:r>
      <w:r w:rsidR="00C808AB">
        <w:rPr>
          <w:rFonts w:eastAsia="Calibri" w:cs="Arial"/>
          <w:sz w:val="21"/>
          <w:szCs w:val="21"/>
          <w:lang w:eastAsia="en-US"/>
        </w:rPr>
        <w:t xml:space="preserve"> </w:t>
      </w:r>
      <w:r w:rsidR="00C808AB">
        <w:rPr>
          <w:rFonts w:eastAsia="Calibri" w:cs="Arial"/>
          <w:sz w:val="21"/>
          <w:szCs w:val="21"/>
          <w:lang w:eastAsia="en-US"/>
        </w:rPr>
        <w:fldChar w:fldCharType="begin"/>
      </w:r>
      <w:r w:rsidR="000B5931">
        <w:rPr>
          <w:rFonts w:eastAsia="Calibri" w:cs="Arial"/>
          <w:sz w:val="21"/>
          <w:szCs w:val="21"/>
          <w:lang w:eastAsia="en-US"/>
        </w:rPr>
        <w:instrText xml:space="preserve"> ADDIN ZOTERO_ITEM CSL_CITATION {"citationID":"VXfra0r2","properties":{"formattedCitation":"(Birmingham et al., 2009)","plainCitation":"(Birmingham et al., 2009)","noteIndex":0},"citationItems":[{"id":5863,"uris":["http://zotero.org/users/8429722/items/4WW5KA2B"],"itemData":{"id":5863,"type":"article-journal","abstract":"We assessed the role of saliency in driving observers to fixate the eyes in social scenes. Saliency maps (Itti &amp; Koch, 2000) were computed for the scenes from three previous studies. Saliency provided a poor account of the data. The saliency values for the first-fixated locations were extremely low and no greater than what would be expected by chance. In addition, the saliency values for the eye regions were low. Furthermore, whereas saliency was no better at predicting early saccades than late saccades, the average latency to fixate social areas of the scene (e.g., the eyes) was very fast (within 200ms). Thus, visual saliency does not account for observers’ bias to select the eyes within complex social scenes, nor does it account for fixation behavior in general. Instead, it appears that observers’ fixations are driven largely by their default interest in social information.","container-title":"Vision Research","DOI":"10.1016/j.visres.2009.09.014","ISSN":"0042-6989","issue":"24","journalAbbreviation":"Vision Research","page":"2992-3000","title":"Saliency does not account for fixations to eyes within social scenes","volume":"49","author":[{"family":"Birmingham","given":"Elina"},{"family":"Bischof","given":"Walter F."},{"family":"Kingstone","given":"Alan"}],"issued":{"date-parts":[["2009",12,10]]}}}],"schema":"https://github.com/citation-style-language/schema/raw/master/csl-citation.json"} </w:instrText>
      </w:r>
      <w:r w:rsidR="00C808AB">
        <w:rPr>
          <w:rFonts w:eastAsia="Calibri" w:cs="Arial"/>
          <w:sz w:val="21"/>
          <w:szCs w:val="21"/>
          <w:lang w:eastAsia="en-US"/>
        </w:rPr>
        <w:fldChar w:fldCharType="separate"/>
      </w:r>
      <w:r w:rsidR="000B5931" w:rsidRPr="000B5931">
        <w:rPr>
          <w:rFonts w:eastAsia="Calibri" w:cs="Arial"/>
          <w:sz w:val="21"/>
        </w:rPr>
        <w:t>(Birmingham et al., 2009)</w:t>
      </w:r>
      <w:r w:rsidR="00C808AB">
        <w:rPr>
          <w:rFonts w:eastAsia="Calibri" w:cs="Arial"/>
          <w:sz w:val="21"/>
          <w:szCs w:val="21"/>
          <w:lang w:eastAsia="en-US"/>
        </w:rPr>
        <w:fldChar w:fldCharType="end"/>
      </w:r>
      <w:r w:rsidR="00FC3033">
        <w:rPr>
          <w:rFonts w:eastAsia="Calibri" w:cs="Arial"/>
          <w:sz w:val="21"/>
          <w:szCs w:val="21"/>
          <w:lang w:eastAsia="en-US"/>
        </w:rPr>
        <w:t xml:space="preserve"> und der </w:t>
      </w:r>
      <w:r w:rsidR="00E01E1A">
        <w:rPr>
          <w:rFonts w:eastAsia="Calibri" w:cs="Arial"/>
          <w:sz w:val="21"/>
          <w:szCs w:val="21"/>
          <w:lang w:eastAsia="en-US"/>
        </w:rPr>
        <w:t>Effekt ist auch beobachtbar</w:t>
      </w:r>
      <w:r w:rsidR="009A5F0E">
        <w:rPr>
          <w:rFonts w:eastAsia="Calibri" w:cs="Arial"/>
          <w:sz w:val="21"/>
          <w:szCs w:val="21"/>
          <w:lang w:eastAsia="en-US"/>
        </w:rPr>
        <w:t xml:space="preserve">, wenn </w:t>
      </w:r>
      <w:r w:rsidR="00E01E1A">
        <w:rPr>
          <w:rFonts w:eastAsia="Calibri" w:cs="Arial"/>
          <w:sz w:val="21"/>
          <w:szCs w:val="21"/>
          <w:lang w:eastAsia="en-US"/>
        </w:rPr>
        <w:t>ein</w:t>
      </w:r>
      <w:r w:rsidR="00C808AB">
        <w:rPr>
          <w:rFonts w:eastAsia="Calibri" w:cs="Arial"/>
          <w:sz w:val="21"/>
          <w:szCs w:val="21"/>
          <w:lang w:eastAsia="en-US"/>
        </w:rPr>
        <w:t xml:space="preserve"> soziale</w:t>
      </w:r>
      <w:r w:rsidR="00E01E1A">
        <w:rPr>
          <w:rFonts w:eastAsia="Calibri" w:cs="Arial"/>
          <w:sz w:val="21"/>
          <w:szCs w:val="21"/>
          <w:lang w:eastAsia="en-US"/>
        </w:rPr>
        <w:t>r</w:t>
      </w:r>
      <w:r w:rsidR="00C808AB">
        <w:rPr>
          <w:rFonts w:eastAsia="Calibri" w:cs="Arial"/>
          <w:sz w:val="21"/>
          <w:szCs w:val="21"/>
          <w:lang w:eastAsia="en-US"/>
        </w:rPr>
        <w:t xml:space="preserve"> Reiz nur sehr kurz </w:t>
      </w:r>
      <w:r w:rsidR="00E01E1A">
        <w:rPr>
          <w:rFonts w:eastAsia="Calibri" w:cs="Arial"/>
          <w:sz w:val="21"/>
          <w:szCs w:val="21"/>
          <w:lang w:eastAsia="en-US"/>
        </w:rPr>
        <w:t xml:space="preserve">(&lt; 200 </w:t>
      </w:r>
      <w:proofErr w:type="spellStart"/>
      <w:r w:rsidR="00E01E1A">
        <w:rPr>
          <w:rFonts w:eastAsia="Calibri" w:cs="Arial"/>
          <w:sz w:val="21"/>
          <w:szCs w:val="21"/>
          <w:lang w:eastAsia="en-US"/>
        </w:rPr>
        <w:t>ms</w:t>
      </w:r>
      <w:proofErr w:type="spellEnd"/>
      <w:r w:rsidR="00E01E1A">
        <w:rPr>
          <w:rFonts w:eastAsia="Calibri" w:cs="Arial"/>
          <w:sz w:val="21"/>
          <w:szCs w:val="21"/>
          <w:lang w:eastAsia="en-US"/>
        </w:rPr>
        <w:t xml:space="preserve">) </w:t>
      </w:r>
      <w:r w:rsidR="00C808AB">
        <w:rPr>
          <w:rFonts w:eastAsia="Calibri" w:cs="Arial"/>
          <w:sz w:val="21"/>
          <w:szCs w:val="21"/>
          <w:lang w:eastAsia="en-US"/>
        </w:rPr>
        <w:t xml:space="preserve">präsentiert </w:t>
      </w:r>
      <w:r w:rsidR="00C309C1">
        <w:rPr>
          <w:rFonts w:eastAsia="Calibri" w:cs="Arial"/>
          <w:sz w:val="21"/>
          <w:szCs w:val="21"/>
          <w:lang w:eastAsia="en-US"/>
        </w:rPr>
        <w:t>wird</w:t>
      </w:r>
      <w:r w:rsidR="00C808AB">
        <w:rPr>
          <w:rFonts w:eastAsia="Calibri" w:cs="Arial"/>
          <w:sz w:val="21"/>
          <w:szCs w:val="21"/>
          <w:lang w:eastAsia="en-US"/>
        </w:rPr>
        <w:t xml:space="preserve"> – </w:t>
      </w:r>
      <w:r w:rsidR="009A5F0E">
        <w:rPr>
          <w:rFonts w:eastAsia="Calibri" w:cs="Arial"/>
          <w:sz w:val="21"/>
          <w:szCs w:val="21"/>
          <w:lang w:eastAsia="en-US"/>
        </w:rPr>
        <w:t>zu</w:t>
      </w:r>
      <w:r w:rsidR="00C808AB">
        <w:rPr>
          <w:rFonts w:eastAsia="Calibri" w:cs="Arial"/>
          <w:sz w:val="21"/>
          <w:szCs w:val="21"/>
          <w:lang w:eastAsia="en-US"/>
        </w:rPr>
        <w:t xml:space="preserve"> k</w:t>
      </w:r>
      <w:r w:rsidR="009A5F0E">
        <w:rPr>
          <w:rFonts w:eastAsia="Calibri" w:cs="Arial"/>
          <w:sz w:val="21"/>
          <w:szCs w:val="21"/>
          <w:lang w:eastAsia="en-US"/>
        </w:rPr>
        <w:t xml:space="preserve">urz für eine </w:t>
      </w:r>
      <w:r w:rsidR="00E01E1A">
        <w:rPr>
          <w:rFonts w:eastAsia="Calibri" w:cs="Arial"/>
          <w:sz w:val="21"/>
          <w:szCs w:val="21"/>
          <w:lang w:eastAsia="en-US"/>
        </w:rPr>
        <w:t>willentliche, kontrollierte</w:t>
      </w:r>
      <w:r w:rsidR="009A5F0E">
        <w:rPr>
          <w:rFonts w:eastAsia="Calibri" w:cs="Arial"/>
          <w:sz w:val="21"/>
          <w:szCs w:val="21"/>
          <w:lang w:eastAsia="en-US"/>
        </w:rPr>
        <w:t xml:space="preserve"> Augenbewegung </w:t>
      </w:r>
      <w:r w:rsidR="00C808AB">
        <w:rPr>
          <w:rFonts w:eastAsia="Calibri" w:cs="Arial"/>
          <w:sz w:val="21"/>
          <w:szCs w:val="21"/>
          <w:lang w:eastAsia="en-US"/>
        </w:rPr>
        <w:fldChar w:fldCharType="begin"/>
      </w:r>
      <w:r w:rsidR="000B5931">
        <w:rPr>
          <w:rFonts w:eastAsia="Calibri" w:cs="Arial"/>
          <w:sz w:val="21"/>
          <w:szCs w:val="21"/>
          <w:lang w:eastAsia="en-US"/>
        </w:rPr>
        <w:instrText xml:space="preserve"> ADDIN ZOTERO_ITEM CSL_CITATION {"citationID":"AuQjcaMn","properties":{"formattedCitation":"(R\\uc0\\u246{}sler, End &amp; Gamer, 2017)","plainCitation":"(Rösler, End &amp; Gamer, 2017)","noteIndex":0},"citationItems":[{"id":5864,"uris":["http://zotero.org/users/8429722/items/9WTVNX8I"],"itemData":{"id":5864,"type":"article-journal","abstract":"Saliency-based models of visual attention postulate that, when a scene is freely viewed, attention is predominantly allocated to those elements that stand out in terms of their physical properties. However, eye-tracking studies have shown that saliency models fail to predict gaze behavior accurately when social information is included in an image. Notably, gaze pattern analyses revealed that depictions of human beings are heavily prioritized independent of their low-level physical saliency. What remains unknown, however, is whether the prioritization of such social features is a reflexive or a voluntary process. To investigate the early stages of social attention in more detail, participants viewed photographs of naturalistic scenes with and without social features (i.e., human heads or bodies) for 200 ms while their eye movements were being recorded. We observed significantly more first eye movements to regions containing social features than would be expected from a chance level distribution of saccades. Additionally, a generalized linear mixed model analysis revealed that the social content of a region better predicted first saccade direction than its saliency suggesting that social features partially override the impact of low-level physical saliency on gaze patterns. Given the brief image presentation time that precluded visual exploration, our results provide compelling evidence for a reflexive component in social attention. Moreover, the present study emphasizes the importance of considering social influences for a more coherent understanding of human attentional selection.","container-title":"PLOS ONE","DOI":"10.1371/journal.pone.0182037","issue":"7","journalAbbreviation":"PLOS ONE","note":"publisher: Public Library of Science","page":"e0182037","title":"Orienting towards social features in naturalistic scenes is reflexive","volume":"12","author":[{"family":"Rösler","given":"Lara"},{"family":"End","given":"Albert"},{"family":"Gamer","given":"Matthias"}],"issued":{"date-parts":[["2017",7,25]]}}}],"schema":"https://github.com/citation-style-language/schema/raw/master/csl-citation.json"} </w:instrText>
      </w:r>
      <w:r w:rsidR="00C808AB">
        <w:rPr>
          <w:rFonts w:eastAsia="Calibri" w:cs="Arial"/>
          <w:sz w:val="21"/>
          <w:szCs w:val="21"/>
          <w:lang w:eastAsia="en-US"/>
        </w:rPr>
        <w:fldChar w:fldCharType="separate"/>
      </w:r>
      <w:r w:rsidR="000B5931" w:rsidRPr="000B5931">
        <w:rPr>
          <w:rFonts w:cs="Arial"/>
          <w:sz w:val="21"/>
        </w:rPr>
        <w:t>(Rösler, End &amp; Gamer, 2017)</w:t>
      </w:r>
      <w:r w:rsidR="00C808AB">
        <w:rPr>
          <w:rFonts w:eastAsia="Calibri" w:cs="Arial"/>
          <w:sz w:val="21"/>
          <w:szCs w:val="21"/>
          <w:lang w:eastAsia="en-US"/>
        </w:rPr>
        <w:fldChar w:fldCharType="end"/>
      </w:r>
      <w:r w:rsidR="009A5F0E">
        <w:rPr>
          <w:rFonts w:eastAsia="Calibri" w:cs="Arial"/>
          <w:sz w:val="21"/>
          <w:szCs w:val="21"/>
          <w:lang w:eastAsia="en-US"/>
        </w:rPr>
        <w:t>.</w:t>
      </w:r>
      <w:r w:rsidR="00E01E1A">
        <w:rPr>
          <w:rFonts w:eastAsia="Calibri" w:cs="Arial"/>
          <w:sz w:val="21"/>
          <w:szCs w:val="21"/>
          <w:lang w:eastAsia="en-US"/>
        </w:rPr>
        <w:t xml:space="preserve"> </w:t>
      </w:r>
      <w:r w:rsidR="00A50817">
        <w:rPr>
          <w:rFonts w:eastAsia="Calibri" w:cs="Arial"/>
          <w:sz w:val="21"/>
          <w:szCs w:val="21"/>
          <w:lang w:eastAsia="en-US"/>
        </w:rPr>
        <w:t xml:space="preserve">Noch weiter verstärkt wird </w:t>
      </w:r>
      <w:r w:rsidR="008B5636">
        <w:rPr>
          <w:rFonts w:eastAsia="Calibri" w:cs="Arial"/>
          <w:sz w:val="21"/>
          <w:szCs w:val="21"/>
          <w:lang w:eastAsia="en-US"/>
        </w:rPr>
        <w:t>dieser Effekt der reflexiven Aufmerksamkeitsverschiebung</w:t>
      </w:r>
      <w:r w:rsidR="00A50817">
        <w:rPr>
          <w:rFonts w:eastAsia="Calibri" w:cs="Arial"/>
          <w:sz w:val="21"/>
          <w:szCs w:val="21"/>
          <w:lang w:eastAsia="en-US"/>
        </w:rPr>
        <w:t xml:space="preserve"> bei Personen mit hoher soziale Ängstlichkeit, welche </w:t>
      </w:r>
      <w:r w:rsidR="00AF7E43">
        <w:rPr>
          <w:rFonts w:eastAsia="Calibri" w:cs="Arial"/>
          <w:sz w:val="21"/>
          <w:szCs w:val="21"/>
          <w:lang w:eastAsia="en-US"/>
        </w:rPr>
        <w:t xml:space="preserve">Gesichter besonders schnell erkennen und ihre initiale Aufmerksamkeit auf sie richten </w:t>
      </w:r>
      <w:r w:rsidR="00AF7E43">
        <w:rPr>
          <w:rFonts w:eastAsia="Calibri" w:cs="Arial"/>
          <w:sz w:val="21"/>
          <w:szCs w:val="21"/>
          <w:lang w:eastAsia="en-US"/>
        </w:rPr>
        <w:fldChar w:fldCharType="begin"/>
      </w:r>
      <w:r w:rsidR="000B5931">
        <w:rPr>
          <w:rFonts w:eastAsia="Calibri" w:cs="Arial"/>
          <w:sz w:val="21"/>
          <w:szCs w:val="21"/>
          <w:lang w:eastAsia="en-US"/>
        </w:rPr>
        <w:instrText xml:space="preserve"> ADDIN ZOTERO_ITEM CSL_CITATION {"citationID":"rbSkSRpJ","properties":{"formattedCitation":"(Boll, Bartholomaeus, Peter, Lupke &amp; Gamer, 2016; Garner, Moss &amp; Bradley, 2006)","plainCitation":"(Boll, Bartholomaeus, Peter, Lupke &amp; Gamer, 2016; Garner, Moss &amp; Bradley, 2006)","noteIndex":0},"citationItems":[{"id":3619,"uris":["http://zotero.org/users/8429722/items/TEV7W6J6"],"itemData":{"id":3619,"type":"article-journal","abstract":"Previous studies of social phobia have reported an increased vigilance to social threat cues but also an avoidance of socially relevant stimuli such as eye gaze. The primary aim of this study was to examine attentional mechanisms relevant for perceiving social cues by means of abnormalities in scanning of facial features in patients with social phobia. In two novel experimental paradigms, patients with social phobia and healthy controls matched on age, gender and education were compared regarding their gazing behavior towards facial cues. The first experiment was an emotion classification paradigm which allowed for differentiating reflexive attentional shifts from sustained attention towards diagnostically relevant facial features. In the second experiment, attentional orienting by gaze direction was assessed in a gaze-cueing paradigm in which non-predictive gaze cues shifted attention towards or away from subsequently presented targets. We found that patients as compared to controls reflexively oriented their attention more frequently towards the eyes of emotional faces in the emotion classification paradigm. This initial hypervigilance for the eye region was observed at very early attentional stages when faces were presented for 150ms, and persisted when facial stimuli were shown for 3s. Moreover, a delayed attentional orienting into the direction of eye gaze was observed in individuals with social phobia suggesting a differential time course of eye gaze processing in patients and controls. Our findings suggest that basic mechanisms of early attentional exploration of social cues are biased in social phobia and might contribute to the development and maintenance of the disorder. Copyright © 2016 The Authors. Published by Elsevier Ltd.. All rights reserved.","container-title":"Journal of anxiety disorders","DOI":"10.1016/j.janxdis.2016.04.004","page":"83-93","title":"Attentional mechanisms of social perception are biased in social phobia","volume":"40","author":[{"family":"Boll","given":"Sabrina"},{"family":"Bartholomaeus","given":"Marie"},{"family":"Peter","given":"Ulrike"},{"family":"Lupke","given":"Ulrike"},{"family":"Gamer","given":"Matthias"}],"issued":{"date-parts":[["2016"]]}}},{"id":3540,"uris":["http://zotero.org/users/8429722/items/P9ETNLZN"],"itemData":{"id":3540,"type":"article-journal","abstract":"In 2 experiments, the authors tested predictions from cognitive models of social anxiety regarding attentional biases for social and nonsocial cues by monitoring eye movements to pictures of faces and objects in high social anxiety (HSA) and low social anxiety (LSA) individuals. Under no-stress conditions (Experiment 1), HSA individuals initially directed their gaze toward neutral faces, relative to objects, more often than did LSA participants. However, under social-evaluative stress (Experiment 2), HSA individuals showed reduced biases in initial orienting and maintenance of gaze on faces (cf. objects) compared with the LSA group. HSA individuals were also relatively quicker to look at emotional faces than neutral faces but looked at emotional faces for less time, compared with LSA individuals, consistent with a vigilant-avoidant pattern of bias.","container-title":"Journal of abnormal psychology (1965)","issue":"4","page":"760-770","title":"Orienting and maintenance of gaze to facial expressions in social anxiety","volume":"115","author":[{"family":"Garner","given":"Matthew"},{"family":"Moss","given":"Karin"},{"family":"Bradley","given":"Brendan P."}],"issued":{"date-parts":[["2006"]]}}}],"schema":"https://github.com/citation-style-language/schema/raw/master/csl-citation.json"} </w:instrText>
      </w:r>
      <w:r w:rsidR="00AF7E43">
        <w:rPr>
          <w:rFonts w:eastAsia="Calibri" w:cs="Arial"/>
          <w:sz w:val="21"/>
          <w:szCs w:val="21"/>
          <w:lang w:eastAsia="en-US"/>
        </w:rPr>
        <w:fldChar w:fldCharType="separate"/>
      </w:r>
      <w:r w:rsidR="000B5931" w:rsidRPr="000B5931">
        <w:rPr>
          <w:rFonts w:cs="Arial"/>
          <w:sz w:val="21"/>
        </w:rPr>
        <w:t>(Boll, Bartholomaeus, Peter, Lupke &amp; Gamer, 2016; Garner, Moss &amp; Bradley, 2006)</w:t>
      </w:r>
      <w:r w:rsidR="00AF7E43">
        <w:rPr>
          <w:rFonts w:eastAsia="Calibri" w:cs="Arial"/>
          <w:sz w:val="21"/>
          <w:szCs w:val="21"/>
          <w:lang w:eastAsia="en-US"/>
        </w:rPr>
        <w:fldChar w:fldCharType="end"/>
      </w:r>
      <w:r w:rsidR="00AF7E43">
        <w:rPr>
          <w:rFonts w:eastAsia="Calibri" w:cs="Arial"/>
          <w:sz w:val="21"/>
          <w:szCs w:val="21"/>
          <w:lang w:eastAsia="en-US"/>
        </w:rPr>
        <w:t xml:space="preserve">. Man spricht hierbei von </w:t>
      </w:r>
      <w:proofErr w:type="spellStart"/>
      <w:r w:rsidR="00AF7E43">
        <w:rPr>
          <w:rFonts w:eastAsia="Calibri" w:cs="Arial"/>
          <w:sz w:val="21"/>
          <w:szCs w:val="21"/>
          <w:lang w:eastAsia="en-US"/>
        </w:rPr>
        <w:t>Hypervigilanz</w:t>
      </w:r>
      <w:proofErr w:type="spellEnd"/>
      <w:r w:rsidR="00AF7E43">
        <w:rPr>
          <w:rFonts w:eastAsia="Calibri" w:cs="Arial"/>
          <w:sz w:val="21"/>
          <w:szCs w:val="21"/>
          <w:lang w:eastAsia="en-US"/>
        </w:rPr>
        <w:t xml:space="preserve"> gegenüber potenziell bedrohlichen Reizen.</w:t>
      </w:r>
    </w:p>
    <w:p w14:paraId="2951C5C0" w14:textId="60B07447" w:rsidR="001514D9" w:rsidRDefault="00E01E1A" w:rsidP="009A5F0E">
      <w:pPr>
        <w:spacing w:after="160" w:line="259" w:lineRule="auto"/>
        <w:rPr>
          <w:rFonts w:eastAsia="Calibri" w:cs="Arial"/>
          <w:sz w:val="21"/>
          <w:szCs w:val="21"/>
          <w:lang w:eastAsia="en-US"/>
        </w:rPr>
      </w:pPr>
      <w:r>
        <w:rPr>
          <w:rFonts w:eastAsia="Calibri" w:cs="Arial"/>
          <w:sz w:val="21"/>
          <w:szCs w:val="21"/>
          <w:lang w:eastAsia="en-US"/>
        </w:rPr>
        <w:t xml:space="preserve">Mithilfe eines Konditionierungsparadigmas möchten wir dies nun näher untersuchen. </w:t>
      </w:r>
      <w:r w:rsidR="006B7762">
        <w:rPr>
          <w:rFonts w:eastAsia="Calibri" w:cs="Arial"/>
          <w:sz w:val="21"/>
          <w:szCs w:val="21"/>
          <w:lang w:eastAsia="en-US"/>
        </w:rPr>
        <w:t>Dafür</w:t>
      </w:r>
      <w:r>
        <w:rPr>
          <w:rFonts w:eastAsia="Calibri" w:cs="Arial"/>
          <w:sz w:val="21"/>
          <w:szCs w:val="21"/>
          <w:lang w:eastAsia="en-US"/>
        </w:rPr>
        <w:t xml:space="preserve"> </w:t>
      </w:r>
      <w:r w:rsidR="006B7762">
        <w:rPr>
          <w:rFonts w:eastAsia="Calibri" w:cs="Arial"/>
          <w:sz w:val="21"/>
          <w:szCs w:val="21"/>
          <w:lang w:eastAsia="en-US"/>
        </w:rPr>
        <w:t xml:space="preserve">wird jeweils in einem der vier Quadranten </w:t>
      </w:r>
      <w:r w:rsidR="00400E0B">
        <w:rPr>
          <w:rFonts w:eastAsia="Calibri" w:cs="Arial"/>
          <w:sz w:val="21"/>
          <w:szCs w:val="21"/>
          <w:lang w:eastAsia="en-US"/>
        </w:rPr>
        <w:t>eines Bildschirms</w:t>
      </w:r>
      <w:r w:rsidR="006B7762">
        <w:rPr>
          <w:rFonts w:eastAsia="Calibri" w:cs="Arial"/>
          <w:sz w:val="21"/>
          <w:szCs w:val="21"/>
          <w:lang w:eastAsia="en-US"/>
        </w:rPr>
        <w:t xml:space="preserve"> ein Stimulus präsentiert. </w:t>
      </w:r>
      <w:r w:rsidR="00400E0B">
        <w:rPr>
          <w:rFonts w:eastAsia="Calibri" w:cs="Arial"/>
          <w:sz w:val="21"/>
          <w:szCs w:val="21"/>
          <w:lang w:eastAsia="en-US"/>
        </w:rPr>
        <w:t>Hierbei</w:t>
      </w:r>
      <w:r w:rsidR="006B7762">
        <w:rPr>
          <w:rFonts w:eastAsia="Calibri" w:cs="Arial"/>
          <w:sz w:val="21"/>
          <w:szCs w:val="21"/>
          <w:lang w:eastAsia="en-US"/>
        </w:rPr>
        <w:t xml:space="preserve"> handelt es sich entweder um ein Gesicht mit einem neutralen Gesichtsausdruck oder </w:t>
      </w:r>
      <w:r w:rsidR="001514D9">
        <w:rPr>
          <w:rFonts w:eastAsia="Calibri" w:cs="Arial"/>
          <w:sz w:val="21"/>
          <w:szCs w:val="21"/>
          <w:lang w:eastAsia="en-US"/>
        </w:rPr>
        <w:t>um ein unbelebtes Objekt</w:t>
      </w:r>
      <w:r w:rsidR="006B7762">
        <w:rPr>
          <w:rFonts w:eastAsia="Calibri" w:cs="Arial"/>
          <w:sz w:val="21"/>
          <w:szCs w:val="21"/>
          <w:lang w:eastAsia="en-US"/>
        </w:rPr>
        <w:t xml:space="preserve"> mit einer ähnlichen physi</w:t>
      </w:r>
      <w:r w:rsidR="008B5636">
        <w:rPr>
          <w:rFonts w:eastAsia="Calibri" w:cs="Arial"/>
          <w:sz w:val="21"/>
          <w:szCs w:val="21"/>
          <w:lang w:eastAsia="en-US"/>
        </w:rPr>
        <w:t>kali</w:t>
      </w:r>
      <w:r w:rsidR="006B7762">
        <w:rPr>
          <w:rFonts w:eastAsia="Calibri" w:cs="Arial"/>
          <w:sz w:val="21"/>
          <w:szCs w:val="21"/>
          <w:lang w:eastAsia="en-US"/>
        </w:rPr>
        <w:t xml:space="preserve">schen Salienz wie das Gesicht. Es </w:t>
      </w:r>
      <w:r w:rsidR="00400E0B">
        <w:rPr>
          <w:rFonts w:eastAsia="Calibri" w:cs="Arial"/>
          <w:sz w:val="21"/>
          <w:szCs w:val="21"/>
          <w:lang w:eastAsia="en-US"/>
        </w:rPr>
        <w:t>gibt</w:t>
      </w:r>
      <w:r w:rsidR="006B7762">
        <w:rPr>
          <w:rFonts w:eastAsia="Calibri" w:cs="Arial"/>
          <w:sz w:val="21"/>
          <w:szCs w:val="21"/>
          <w:lang w:eastAsia="en-US"/>
        </w:rPr>
        <w:t xml:space="preserve"> zwei Gesichter („soziale Stimuli“) und zwei unbelebte Objekte („nicht-soziale Stimuli“). Jeweils ein</w:t>
      </w:r>
      <w:r w:rsidR="00400E0B">
        <w:rPr>
          <w:rFonts w:eastAsia="Calibri" w:cs="Arial"/>
          <w:sz w:val="21"/>
          <w:szCs w:val="21"/>
          <w:lang w:eastAsia="en-US"/>
        </w:rPr>
        <w:t>es davon wird</w:t>
      </w:r>
      <w:r w:rsidR="006B7762">
        <w:rPr>
          <w:rFonts w:eastAsia="Calibri" w:cs="Arial"/>
          <w:sz w:val="21"/>
          <w:szCs w:val="21"/>
          <w:lang w:eastAsia="en-US"/>
        </w:rPr>
        <w:t xml:space="preserve"> mit einem aversiven unkonditionierten Reiz gepaart</w:t>
      </w:r>
      <w:r w:rsidR="00400E0B">
        <w:rPr>
          <w:rFonts w:eastAsia="Calibri" w:cs="Arial"/>
          <w:sz w:val="21"/>
          <w:szCs w:val="21"/>
          <w:lang w:eastAsia="en-US"/>
        </w:rPr>
        <w:t xml:space="preserve"> (US) und wird damit zum</w:t>
      </w:r>
      <w:r w:rsidR="006B7762">
        <w:rPr>
          <w:rFonts w:eastAsia="Calibri" w:cs="Arial"/>
          <w:sz w:val="21"/>
          <w:szCs w:val="21"/>
          <w:lang w:eastAsia="en-US"/>
        </w:rPr>
        <w:t xml:space="preserve"> CS+, </w:t>
      </w:r>
      <w:r w:rsidR="00400E0B">
        <w:rPr>
          <w:rFonts w:eastAsia="Calibri" w:cs="Arial"/>
          <w:sz w:val="21"/>
          <w:szCs w:val="21"/>
          <w:lang w:eastAsia="en-US"/>
        </w:rPr>
        <w:t>das</w:t>
      </w:r>
      <w:r w:rsidR="006B7762">
        <w:rPr>
          <w:rFonts w:eastAsia="Calibri" w:cs="Arial"/>
          <w:sz w:val="21"/>
          <w:szCs w:val="21"/>
          <w:lang w:eastAsia="en-US"/>
        </w:rPr>
        <w:t xml:space="preserve"> andere wird nie mit dem aversiven Reiz gepaart</w:t>
      </w:r>
      <w:r w:rsidR="00400E0B">
        <w:rPr>
          <w:rFonts w:eastAsia="Calibri" w:cs="Arial"/>
          <w:sz w:val="21"/>
          <w:szCs w:val="21"/>
          <w:lang w:eastAsia="en-US"/>
        </w:rPr>
        <w:t xml:space="preserve"> und ist damit der </w:t>
      </w:r>
      <w:r w:rsidR="006B7762">
        <w:rPr>
          <w:rFonts w:eastAsia="Calibri" w:cs="Arial"/>
          <w:sz w:val="21"/>
          <w:szCs w:val="21"/>
          <w:lang w:eastAsia="en-US"/>
        </w:rPr>
        <w:t>CS</w:t>
      </w:r>
      <w:r w:rsidR="006B7762">
        <w:rPr>
          <w:rFonts w:eastAsia="Calibri" w:cs="Arial"/>
          <w:sz w:val="21"/>
          <w:szCs w:val="21"/>
          <w:lang w:eastAsia="en-US"/>
        </w:rPr>
        <w:softHyphen/>
        <w:t>-.</w:t>
      </w:r>
      <w:r w:rsidR="00400E0B">
        <w:rPr>
          <w:rFonts w:eastAsia="Calibri" w:cs="Arial"/>
          <w:sz w:val="21"/>
          <w:szCs w:val="21"/>
          <w:lang w:eastAsia="en-US"/>
        </w:rPr>
        <w:t xml:space="preserve"> </w:t>
      </w:r>
      <w:r w:rsidR="006B7762">
        <w:rPr>
          <w:rFonts w:eastAsia="Calibri" w:cs="Arial"/>
          <w:sz w:val="21"/>
          <w:szCs w:val="21"/>
          <w:lang w:eastAsia="en-US"/>
        </w:rPr>
        <w:t xml:space="preserve">Schaut die Person </w:t>
      </w:r>
      <w:r w:rsidR="00400E0B">
        <w:rPr>
          <w:rFonts w:eastAsia="Calibri" w:cs="Arial"/>
          <w:sz w:val="21"/>
          <w:szCs w:val="21"/>
          <w:lang w:eastAsia="en-US"/>
        </w:rPr>
        <w:t>bei Präsentation des CS+ mit ihrer Fixation auf diesen Stimulus, wird der US präsentiert (elektrische Stimulation). Der US wird also durch Blickbewegungen ausgelöst („Gaze-</w:t>
      </w:r>
      <w:proofErr w:type="spellStart"/>
      <w:r w:rsidR="00400E0B">
        <w:rPr>
          <w:rFonts w:eastAsia="Calibri" w:cs="Arial"/>
          <w:sz w:val="21"/>
          <w:szCs w:val="21"/>
          <w:lang w:eastAsia="en-US"/>
        </w:rPr>
        <w:t>contingent</w:t>
      </w:r>
      <w:proofErr w:type="spellEnd"/>
      <w:r w:rsidR="00400E0B">
        <w:rPr>
          <w:rFonts w:eastAsia="Calibri" w:cs="Arial"/>
          <w:sz w:val="21"/>
          <w:szCs w:val="21"/>
          <w:lang w:eastAsia="en-US"/>
        </w:rPr>
        <w:t xml:space="preserve">“). </w:t>
      </w:r>
      <w:r w:rsidR="001514D9">
        <w:rPr>
          <w:rFonts w:eastAsia="Calibri" w:cs="Arial"/>
          <w:sz w:val="21"/>
          <w:szCs w:val="21"/>
          <w:lang w:eastAsia="en-US"/>
        </w:rPr>
        <w:t>Durch dieses Vorgehen</w:t>
      </w:r>
      <w:r w:rsidR="00400E0B">
        <w:rPr>
          <w:rFonts w:eastAsia="Calibri" w:cs="Arial"/>
          <w:sz w:val="21"/>
          <w:szCs w:val="21"/>
          <w:lang w:eastAsia="en-US"/>
        </w:rPr>
        <w:t xml:space="preserve"> sollten die Versuchspersonen lernen, den CS+ zu vermeiden, also </w:t>
      </w:r>
      <w:r w:rsidR="001514D9">
        <w:rPr>
          <w:rFonts w:eastAsia="Calibri" w:cs="Arial"/>
          <w:sz w:val="21"/>
          <w:szCs w:val="21"/>
          <w:lang w:eastAsia="en-US"/>
        </w:rPr>
        <w:t xml:space="preserve">bei dessen Präsentation </w:t>
      </w:r>
      <w:r w:rsidR="00400E0B">
        <w:rPr>
          <w:rFonts w:eastAsia="Calibri" w:cs="Arial"/>
          <w:sz w:val="21"/>
          <w:szCs w:val="21"/>
          <w:lang w:eastAsia="en-US"/>
        </w:rPr>
        <w:t xml:space="preserve">nicht </w:t>
      </w:r>
      <w:r w:rsidR="001514D9">
        <w:rPr>
          <w:rFonts w:eastAsia="Calibri" w:cs="Arial"/>
          <w:sz w:val="21"/>
          <w:szCs w:val="21"/>
          <w:lang w:eastAsia="en-US"/>
        </w:rPr>
        <w:t>anzu</w:t>
      </w:r>
      <w:r w:rsidR="00400E0B">
        <w:rPr>
          <w:rFonts w:eastAsia="Calibri" w:cs="Arial"/>
          <w:sz w:val="21"/>
          <w:szCs w:val="21"/>
          <w:lang w:eastAsia="en-US"/>
        </w:rPr>
        <w:t>schauen</w:t>
      </w:r>
      <w:r w:rsidR="001514D9">
        <w:rPr>
          <w:rFonts w:eastAsia="Calibri" w:cs="Arial"/>
          <w:sz w:val="21"/>
          <w:szCs w:val="21"/>
          <w:lang w:eastAsia="en-US"/>
        </w:rPr>
        <w:t xml:space="preserve"> („GC-</w:t>
      </w:r>
      <w:proofErr w:type="spellStart"/>
      <w:r w:rsidR="001514D9">
        <w:rPr>
          <w:rFonts w:eastAsia="Calibri" w:cs="Arial"/>
          <w:sz w:val="21"/>
          <w:szCs w:val="21"/>
          <w:lang w:eastAsia="en-US"/>
        </w:rPr>
        <w:t>avoidance</w:t>
      </w:r>
      <w:proofErr w:type="spellEnd"/>
      <w:r w:rsidR="001514D9">
        <w:rPr>
          <w:rFonts w:eastAsia="Calibri" w:cs="Arial"/>
          <w:sz w:val="21"/>
          <w:szCs w:val="21"/>
          <w:lang w:eastAsia="en-US"/>
        </w:rPr>
        <w:t>“)</w:t>
      </w:r>
      <w:r w:rsidR="00400E0B">
        <w:rPr>
          <w:rFonts w:eastAsia="Calibri" w:cs="Arial"/>
          <w:sz w:val="21"/>
          <w:szCs w:val="21"/>
          <w:lang w:eastAsia="en-US"/>
        </w:rPr>
        <w:t>.</w:t>
      </w:r>
    </w:p>
    <w:p w14:paraId="2186F110" w14:textId="3D93286A" w:rsidR="00592817" w:rsidRDefault="00592817" w:rsidP="00111FD1">
      <w:pPr>
        <w:spacing w:after="160" w:line="259" w:lineRule="auto"/>
        <w:rPr>
          <w:rFonts w:eastAsia="Calibri" w:cs="Arial"/>
          <w:sz w:val="21"/>
          <w:szCs w:val="21"/>
          <w:lang w:eastAsia="en-US"/>
        </w:rPr>
      </w:pPr>
      <w:r>
        <w:rPr>
          <w:rFonts w:eastAsia="Calibri" w:cs="Arial"/>
          <w:sz w:val="21"/>
          <w:szCs w:val="21"/>
          <w:lang w:eastAsia="en-US"/>
        </w:rPr>
        <w:t xml:space="preserve">Diese willentliche Inhibition </w:t>
      </w:r>
      <w:r w:rsidR="00C309C1">
        <w:rPr>
          <w:rFonts w:eastAsia="Calibri" w:cs="Arial"/>
          <w:sz w:val="21"/>
          <w:szCs w:val="21"/>
          <w:lang w:eastAsia="en-US"/>
        </w:rPr>
        <w:t>der Augenbewegungen</w:t>
      </w:r>
      <w:r w:rsidR="000B5931">
        <w:rPr>
          <w:rFonts w:eastAsia="Calibri" w:cs="Arial"/>
          <w:sz w:val="21"/>
          <w:szCs w:val="21"/>
          <w:lang w:eastAsia="en-US"/>
        </w:rPr>
        <w:t xml:space="preserve">, vergleichbar mit den Anforderungen des </w:t>
      </w:r>
      <w:proofErr w:type="spellStart"/>
      <w:r w:rsidR="000B5931">
        <w:rPr>
          <w:rFonts w:eastAsia="Calibri" w:cs="Arial"/>
          <w:sz w:val="21"/>
          <w:szCs w:val="21"/>
          <w:lang w:eastAsia="en-US"/>
        </w:rPr>
        <w:t>Antisakkadentests</w:t>
      </w:r>
      <w:proofErr w:type="spellEnd"/>
      <w:r w:rsidR="00A81B2A">
        <w:rPr>
          <w:rFonts w:eastAsia="Calibri" w:cs="Arial"/>
          <w:sz w:val="21"/>
          <w:szCs w:val="21"/>
          <w:lang w:eastAsia="en-US"/>
        </w:rPr>
        <w:t>,</w:t>
      </w:r>
      <w:r>
        <w:rPr>
          <w:rFonts w:eastAsia="Calibri" w:cs="Arial"/>
          <w:sz w:val="21"/>
          <w:szCs w:val="21"/>
          <w:lang w:eastAsia="en-US"/>
        </w:rPr>
        <w:t xml:space="preserve"> sollte Personen bei unbelebten Objekten deutlich leichter fallen als bei Gesichtern</w:t>
      </w:r>
      <w:r w:rsidR="000B5931">
        <w:rPr>
          <w:rFonts w:eastAsia="Calibri" w:cs="Arial"/>
          <w:sz w:val="21"/>
          <w:szCs w:val="21"/>
          <w:lang w:eastAsia="en-US"/>
        </w:rPr>
        <w:t xml:space="preserve">. Zusätzlich könnte </w:t>
      </w:r>
      <w:r>
        <w:rPr>
          <w:rFonts w:eastAsia="Calibri" w:cs="Arial"/>
          <w:sz w:val="21"/>
          <w:szCs w:val="21"/>
          <w:lang w:eastAsia="en-US"/>
        </w:rPr>
        <w:t>sozial</w:t>
      </w:r>
      <w:r w:rsidR="000B5931">
        <w:rPr>
          <w:rFonts w:eastAsia="Calibri" w:cs="Arial"/>
          <w:sz w:val="21"/>
          <w:szCs w:val="21"/>
          <w:lang w:eastAsia="en-US"/>
        </w:rPr>
        <w:t>e</w:t>
      </w:r>
      <w:r>
        <w:rPr>
          <w:rFonts w:eastAsia="Calibri" w:cs="Arial"/>
          <w:sz w:val="21"/>
          <w:szCs w:val="21"/>
          <w:lang w:eastAsia="en-US"/>
        </w:rPr>
        <w:t xml:space="preserve"> Ängstlichkeit </w:t>
      </w:r>
      <w:r w:rsidR="000B5931">
        <w:rPr>
          <w:rFonts w:eastAsia="Calibri" w:cs="Arial"/>
          <w:sz w:val="21"/>
          <w:szCs w:val="21"/>
          <w:lang w:eastAsia="en-US"/>
        </w:rPr>
        <w:t>den Effekt noch verstärken</w:t>
      </w:r>
      <w:r w:rsidR="00B46CA6">
        <w:rPr>
          <w:rFonts w:eastAsia="Calibri" w:cs="Arial"/>
          <w:sz w:val="21"/>
          <w:szCs w:val="21"/>
          <w:lang w:eastAsia="en-US"/>
        </w:rPr>
        <w:t xml:space="preserve"> </w:t>
      </w:r>
      <w:r w:rsidR="00B46CA6">
        <w:rPr>
          <w:rFonts w:eastAsia="Calibri" w:cs="Arial"/>
          <w:sz w:val="21"/>
          <w:szCs w:val="21"/>
          <w:lang w:eastAsia="en-US"/>
        </w:rPr>
        <w:fldChar w:fldCharType="begin"/>
      </w:r>
      <w:r w:rsidR="000B5931">
        <w:rPr>
          <w:rFonts w:eastAsia="Calibri" w:cs="Arial"/>
          <w:sz w:val="21"/>
          <w:szCs w:val="21"/>
          <w:lang w:eastAsia="en-US"/>
        </w:rPr>
        <w:instrText xml:space="preserve"> ADDIN ZOTERO_ITEM CSL_CITATION {"citationID":"NfqxrhZK","properties":{"formattedCitation":"(Wieser, Pauli &amp; M\\uc0\\u252{}hlberger, 2009)","plainCitation":"(Wieser, Pauli &amp; Mühlberger, 2009)","noteIndex":0},"citationItems":[{"id":3395,"uris":["http://zotero.org/users/8429722/items/5UDPI5DJ"],"itemData":{"id":3395,"type":"article-journal","abstract":"Volitional attentional control has been found to rely on prefrontal neuronal circuits. According to the attentional control theory of anxiety, impairment in the volitional control of attention is a prominent feature in anxiety disorders. The present study investigated this assumption in socially anxious individuals using an emotional saccade task with facial expressions (happy, angry, fearful, sad, neutral). The gaze behavior of participants was recorded during the emotional saccade task, in which participants performed either pro- or antisaccades in response to peripherally presented facial expressions. The results show that socially anxious persons have difficulties in inhibiting themselves to reflexively attend to facial expressions: They made more erratic prosaccades to all facial expressions when an antisaccade was required. Thus, these findings indicate impaired attentional control in social anxiety. Overall, the present study shows a deficit of socially anxious individuals in attentional control-for example, in inhibiting the reflexive orienting to neutral as well as to emotional facial expressions. This result may be due to a dysfunction in the prefrontal areas being involved in attentional control.","container-title":"Cognitive, affective &amp; behavioral neuroscience","DOI":"10.3758/CABN.9.3.314","issue":"3","page":"314-22","title":"Probing the attentional control theory in social anxiety: an emotional saccade task","volume":"9","author":[{"family":"Wieser","given":"Matthias J"},{"family":"Pauli","given":"Paul"},{"family":"Mühlberger","given":"Andreas"}],"issued":{"date-parts":[["2009"]]}}}],"schema":"https://github.com/citation-style-language/schema/raw/master/csl-citation.json"} </w:instrText>
      </w:r>
      <w:r w:rsidR="00B46CA6">
        <w:rPr>
          <w:rFonts w:eastAsia="Calibri" w:cs="Arial"/>
          <w:sz w:val="21"/>
          <w:szCs w:val="21"/>
          <w:lang w:eastAsia="en-US"/>
        </w:rPr>
        <w:fldChar w:fldCharType="separate"/>
      </w:r>
      <w:r w:rsidR="000B5931" w:rsidRPr="000B5931">
        <w:rPr>
          <w:rFonts w:cs="Arial"/>
          <w:sz w:val="21"/>
        </w:rPr>
        <w:t>(Wieser, Pauli &amp; Mühlberger, 2009)</w:t>
      </w:r>
      <w:r w:rsidR="00B46CA6">
        <w:rPr>
          <w:rFonts w:eastAsia="Calibri" w:cs="Arial"/>
          <w:sz w:val="21"/>
          <w:szCs w:val="21"/>
          <w:lang w:eastAsia="en-US"/>
        </w:rPr>
        <w:fldChar w:fldCharType="end"/>
      </w:r>
      <w:r w:rsidR="00AF7E43">
        <w:rPr>
          <w:rFonts w:eastAsia="Calibri" w:cs="Arial"/>
          <w:sz w:val="21"/>
          <w:szCs w:val="21"/>
          <w:lang w:eastAsia="en-US"/>
        </w:rPr>
        <w:t xml:space="preserve">. </w:t>
      </w:r>
    </w:p>
    <w:p w14:paraId="2CE65AA5" w14:textId="01132239" w:rsidR="00111FD1" w:rsidRPr="00111FD1" w:rsidRDefault="00111FD1" w:rsidP="00111FD1">
      <w:pPr>
        <w:spacing w:after="160" w:line="259" w:lineRule="auto"/>
        <w:rPr>
          <w:rFonts w:eastAsia="Calibri" w:cs="Arial"/>
          <w:sz w:val="21"/>
          <w:szCs w:val="21"/>
          <w:lang w:eastAsia="en-US"/>
        </w:rPr>
      </w:pPr>
      <w:r w:rsidRPr="00111FD1">
        <w:rPr>
          <w:rFonts w:eastAsia="Calibri" w:cs="Arial"/>
          <w:sz w:val="21"/>
          <w:szCs w:val="21"/>
          <w:lang w:eastAsia="en-US"/>
        </w:rPr>
        <w:t xml:space="preserve">Siehe Abbildung 1 für eine schematische Darstellung des </w:t>
      </w:r>
      <w:r w:rsidR="00DF16C3" w:rsidRPr="00DF16C3">
        <w:rPr>
          <w:rFonts w:eastAsia="Calibri" w:cs="Arial"/>
          <w:sz w:val="21"/>
          <w:szCs w:val="21"/>
          <w:lang w:eastAsia="en-US"/>
        </w:rPr>
        <w:t>Versuchsablaufs</w:t>
      </w:r>
      <w:r w:rsidRPr="00111FD1">
        <w:rPr>
          <w:rFonts w:eastAsia="Calibri" w:cs="Arial"/>
          <w:sz w:val="21"/>
          <w:szCs w:val="21"/>
          <w:lang w:eastAsia="en-US"/>
        </w:rPr>
        <w:t>.</w:t>
      </w:r>
    </w:p>
    <w:p w14:paraId="1C3044BC" w14:textId="0C18FFC8" w:rsidR="00111FD1" w:rsidRPr="00111FD1" w:rsidRDefault="00111FD1" w:rsidP="00111FD1">
      <w:pPr>
        <w:spacing w:after="160" w:line="259" w:lineRule="auto"/>
        <w:rPr>
          <w:rFonts w:eastAsia="Calibri" w:cs="Arial"/>
          <w:b/>
          <w:bCs/>
          <w:sz w:val="21"/>
          <w:szCs w:val="21"/>
          <w:lang w:eastAsia="en-US"/>
        </w:rPr>
      </w:pPr>
      <w:r w:rsidRPr="00111FD1">
        <w:rPr>
          <w:rFonts w:eastAsia="Calibri" w:cs="Arial"/>
          <w:b/>
          <w:bCs/>
          <w:sz w:val="21"/>
          <w:szCs w:val="21"/>
          <w:lang w:eastAsia="en-US"/>
        </w:rPr>
        <w:t>Abbildung 1</w:t>
      </w:r>
    </w:p>
    <w:p w14:paraId="02C99D25" w14:textId="2071A7E6" w:rsidR="00111FD1" w:rsidRPr="00111FD1" w:rsidRDefault="00111FD1" w:rsidP="00111FD1">
      <w:pPr>
        <w:spacing w:after="160" w:line="259" w:lineRule="auto"/>
        <w:rPr>
          <w:rFonts w:eastAsia="Calibri" w:cs="Arial"/>
          <w:i/>
          <w:iCs/>
          <w:szCs w:val="20"/>
          <w:lang w:eastAsia="en-US"/>
        </w:rPr>
      </w:pPr>
      <w:r w:rsidRPr="00111FD1">
        <w:rPr>
          <w:rFonts w:eastAsia="Calibri" w:cs="Arial"/>
          <w:i/>
          <w:iCs/>
          <w:szCs w:val="20"/>
          <w:lang w:eastAsia="en-US"/>
        </w:rPr>
        <w:t xml:space="preserve">Schematische Darstellung des </w:t>
      </w:r>
      <w:r w:rsidR="00DF16C3">
        <w:rPr>
          <w:rFonts w:eastAsia="Calibri" w:cs="Arial"/>
          <w:i/>
          <w:iCs/>
          <w:szCs w:val="20"/>
          <w:lang w:eastAsia="en-US"/>
        </w:rPr>
        <w:t>Versuchsablaufs</w:t>
      </w:r>
    </w:p>
    <w:p w14:paraId="6F9D84C4" w14:textId="1619A835" w:rsidR="00FC3033" w:rsidRPr="00FC3033" w:rsidRDefault="00111FD1" w:rsidP="00966140">
      <w:pPr>
        <w:spacing w:after="360" w:line="259" w:lineRule="auto"/>
        <w:jc w:val="center"/>
        <w:rPr>
          <w:rFonts w:eastAsia="Calibri" w:cs="Arial"/>
          <w:i/>
          <w:iCs/>
          <w:color w:val="FF0000"/>
          <w:sz w:val="21"/>
          <w:szCs w:val="21"/>
          <w:lang w:eastAsia="en-US"/>
        </w:rPr>
      </w:pPr>
      <w:r>
        <w:rPr>
          <w:rFonts w:eastAsia="Calibri" w:cs="Arial"/>
          <w:b/>
          <w:bCs/>
          <w:noProof/>
          <w:sz w:val="22"/>
          <w:szCs w:val="22"/>
          <w:lang w:eastAsia="en-US"/>
        </w:rPr>
        <w:drawing>
          <wp:inline distT="0" distB="0" distL="0" distR="0" wp14:anchorId="4B3DDBC5" wp14:editId="6D7B4A2F">
            <wp:extent cx="4957872" cy="185318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1484" cy="1865748"/>
                    </a:xfrm>
                    <a:prstGeom prst="rect">
                      <a:avLst/>
                    </a:prstGeom>
                  </pic:spPr>
                </pic:pic>
              </a:graphicData>
            </a:graphic>
          </wp:inline>
        </w:drawing>
      </w:r>
    </w:p>
    <w:p w14:paraId="50A56618" w14:textId="03049C20" w:rsidR="00966140" w:rsidRDefault="00D80B3C" w:rsidP="0039218A">
      <w:pPr>
        <w:spacing w:after="160" w:line="259" w:lineRule="auto"/>
        <w:rPr>
          <w:rFonts w:eastAsia="Calibri" w:cs="Arial"/>
          <w:sz w:val="21"/>
          <w:szCs w:val="21"/>
          <w:lang w:eastAsia="en-US"/>
        </w:rPr>
      </w:pPr>
      <w:r>
        <w:rPr>
          <w:rFonts w:eastAsia="Calibri" w:cs="Arial"/>
          <w:sz w:val="21"/>
          <w:szCs w:val="21"/>
          <w:lang w:eastAsia="en-US"/>
        </w:rPr>
        <w:t xml:space="preserve">Das Studiendesign </w:t>
      </w:r>
      <w:r w:rsidR="000E5548">
        <w:rPr>
          <w:rFonts w:eastAsia="Calibri" w:cs="Arial"/>
          <w:sz w:val="21"/>
          <w:szCs w:val="21"/>
          <w:lang w:eastAsia="en-US"/>
        </w:rPr>
        <w:t xml:space="preserve">beruht – im Gegensatz zu vielen Furchtkonditionierungsstudien </w:t>
      </w:r>
      <w:r w:rsidR="004B2279">
        <w:rPr>
          <w:rFonts w:eastAsia="Calibri" w:cs="Arial"/>
          <w:sz w:val="21"/>
          <w:szCs w:val="21"/>
          <w:lang w:eastAsia="en-US"/>
        </w:rPr>
        <w:fldChar w:fldCharType="begin"/>
      </w:r>
      <w:r w:rsidR="004B2279">
        <w:rPr>
          <w:rFonts w:eastAsia="Calibri" w:cs="Arial"/>
          <w:sz w:val="21"/>
          <w:szCs w:val="21"/>
          <w:lang w:eastAsia="en-US"/>
        </w:rPr>
        <w:instrText xml:space="preserve"> ADDIN ZOTERO_ITEM CSL_CITATION {"citationID":"57p4NJNj","properties":{"formattedCitation":"(Lonsdorf et al., 2017)","plainCitation":"(Lonsdorf et al., 2017)","noteIndex":0},"citationItems":[{"id":5274,"uris":["http://zotero.org/users/8429722/items/UTCZ5P23"],"itemData":{"id":5274,"type":"article-journal","abstract":"The so-called ‘replicability crisis’ has sparked methodological discussions in many areas of science in general, and in psychology in particular. This has led to recent endeavours to promote the transparency, rigour, and ultimately, replicability of research. Originating from this zeitgeist, the challenge to discuss critical issues on terminology, design, methods, and analysis considerations in fear conditioning research is taken up by this work, which involved representatives from fourteen of the major human fear conditioning laboratories in Europe. This compendium is intended to provide a basis for the development of a common procedural and terminology framework for the field of human fear conditioning. Whenever possible, we give general recommendations. When this is not feasible, we provide evidence-based guidance for methodological decisions on study design, outcome measures, and analyses. Importantly, this work is also intended to raise awareness and initiate discussions on crucial questions with respect to data collection, processing, statistical analyses, the impact of subtle procedural changes, and data reporting specifically tailored to the research on fear conditioning.","container-title":"Neuroscience &amp; Biobehavioral Reviews","DOI":"10.1016/j.neubiorev.2017.02.026","ISSN":"0149-7634","journalAbbreviation":"Neuroscience &amp; Biobehavioral Reviews","page":"247-285","title":"Don’t fear ‘fear conditioning’: Methodological considerations for the design and analysis of studies on human fear acquisition, extinction, and return of fear","volume":"77","author":[{"family":"Lonsdorf","given":"Tina B."},{"family":"Menz","given":"Mareike M."},{"family":"Andreatta","given":"Marta"},{"family":"Fullana","given":"Miguel A."},{"family":"Golkar","given":"Armita"},{"family":"Haaker","given":"Jan"},{"family":"Heitland","given":"Ivo"},{"family":"Hermann","given":"Andrea"},{"family":"Kuhn","given":"Manuel"},{"family":"Kruse","given":"Onno"},{"family":"Meir Drexler","given":"Shira"},{"family":"Meulders","given":"Ann"},{"family":"Nees","given":"Frauke"},{"family":"Pittig","given":"Andre"},{"family":"Richter","given":"Jan"},{"family":"Römer","given":"Sonja"},{"family":"Shiban","given":"Youssef"},{"family":"Schmitz","given":"Anja"},{"family":"Straube","given":"Benjamin"},{"family":"Vervliet","given":"Bram"},{"family":"Wendt","given":"Julia"},{"family":"Baas","given":"Johanna M.P."},{"family":"Merz","given":"Christian J."}],"issued":{"date-parts":[["2017",6,1]]}}}],"schema":"https://github.com/citation-style-language/schema/raw/master/csl-citation.json"} </w:instrText>
      </w:r>
      <w:r w:rsidR="004B2279">
        <w:rPr>
          <w:rFonts w:eastAsia="Calibri" w:cs="Arial"/>
          <w:sz w:val="21"/>
          <w:szCs w:val="21"/>
          <w:lang w:eastAsia="en-US"/>
        </w:rPr>
        <w:fldChar w:fldCharType="separate"/>
      </w:r>
      <w:r w:rsidR="004B2279" w:rsidRPr="004B2279">
        <w:rPr>
          <w:rFonts w:eastAsia="Calibri" w:cs="Arial"/>
          <w:sz w:val="21"/>
        </w:rPr>
        <w:t>(Lonsdorf et al., 2017)</w:t>
      </w:r>
      <w:r w:rsidR="004B2279">
        <w:rPr>
          <w:rFonts w:eastAsia="Calibri" w:cs="Arial"/>
          <w:sz w:val="21"/>
          <w:szCs w:val="21"/>
          <w:lang w:eastAsia="en-US"/>
        </w:rPr>
        <w:fldChar w:fldCharType="end"/>
      </w:r>
      <w:r w:rsidR="00955242">
        <w:rPr>
          <w:rFonts w:eastAsia="Calibri" w:cs="Arial"/>
          <w:sz w:val="21"/>
          <w:szCs w:val="21"/>
          <w:lang w:eastAsia="en-US"/>
        </w:rPr>
        <w:t xml:space="preserve"> – auf operanter Konditionierung.</w:t>
      </w:r>
      <w:r w:rsidR="00C71B70">
        <w:rPr>
          <w:rFonts w:eastAsia="Calibri" w:cs="Arial"/>
          <w:sz w:val="21"/>
          <w:szCs w:val="21"/>
          <w:lang w:eastAsia="en-US"/>
        </w:rPr>
        <w:t xml:space="preserve"> </w:t>
      </w:r>
      <w:r w:rsidR="00003876">
        <w:rPr>
          <w:rFonts w:eastAsia="Calibri" w:cs="Arial"/>
          <w:sz w:val="21"/>
          <w:szCs w:val="21"/>
          <w:lang w:eastAsia="en-US"/>
        </w:rPr>
        <w:t xml:space="preserve">Es gibt </w:t>
      </w:r>
      <w:r w:rsidR="006E5A78">
        <w:rPr>
          <w:rFonts w:eastAsia="Calibri" w:cs="Arial"/>
          <w:sz w:val="21"/>
          <w:szCs w:val="21"/>
          <w:lang w:eastAsia="en-US"/>
        </w:rPr>
        <w:t xml:space="preserve">im Bereich der Angstforschung </w:t>
      </w:r>
      <w:r w:rsidR="00003876">
        <w:rPr>
          <w:rFonts w:eastAsia="Calibri" w:cs="Arial"/>
          <w:sz w:val="21"/>
          <w:szCs w:val="21"/>
          <w:lang w:eastAsia="en-US"/>
        </w:rPr>
        <w:t>eine</w:t>
      </w:r>
      <w:r w:rsidR="0039218A">
        <w:rPr>
          <w:rFonts w:eastAsia="Calibri" w:cs="Arial"/>
          <w:sz w:val="21"/>
          <w:szCs w:val="21"/>
          <w:lang w:eastAsia="en-US"/>
        </w:rPr>
        <w:t xml:space="preserve"> anhaltende Debatte über die zugrundeliegenden Lernprozesse bei der Entstehung und Aufrechterhaltung von (sozialen) Angststörungen</w:t>
      </w:r>
      <w:r w:rsidR="00C71B70">
        <w:rPr>
          <w:rFonts w:eastAsia="Calibri" w:cs="Arial"/>
          <w:sz w:val="21"/>
          <w:szCs w:val="21"/>
          <w:lang w:eastAsia="en-US"/>
        </w:rPr>
        <w:t xml:space="preserve"> </w:t>
      </w:r>
      <w:r w:rsidR="00C71B70">
        <w:rPr>
          <w:rFonts w:eastAsia="Calibri" w:cs="Arial"/>
          <w:sz w:val="21"/>
          <w:szCs w:val="21"/>
          <w:lang w:eastAsia="en-US"/>
        </w:rPr>
        <w:fldChar w:fldCharType="begin"/>
      </w:r>
      <w:r w:rsidR="00C71B70">
        <w:rPr>
          <w:rFonts w:eastAsia="Calibri" w:cs="Arial"/>
          <w:sz w:val="21"/>
          <w:szCs w:val="21"/>
          <w:lang w:eastAsia="en-US"/>
        </w:rPr>
        <w:instrText xml:space="preserve"> ADDIN ZOTERO_ITEM CSL_CITATION {"citationID":"xFSah8rJ","properties":{"formattedCitation":"(Cain &amp; LeDoux, 2008; Krypotos, Effting, Kindt &amp; Beckers, 2015)","plainCitation":"(Cain &amp; LeDoux, 2008; Krypotos, Effting, Kindt &amp; Beckers, 2015)","noteIndex":0},"citationItems":[{"id":5875,"uris":["http://zotero.org/users/8429722/items/TV7N5S7Y"],"itemData":{"id":5875,"type":"chapter","abstract":"Fear learning can be broadly divided into two categories: the acquisition of fear reactions, modeled by Pavlovian conditioning, and the acquisition of fear actions, modeled by instrumental avoidance/escape conditioning. Brain research on Pavlovian conditioning has been especially successful at delineating the cellular and molecular mechanisms of fear-reaction learning. Instrumental conditioning research is beginning to shed light on fear-action learning at the brain systems level. In the present chapter we review recent advances in both fields and suggest that the Escape from Fear (EFF) paradigm is an excellent model for studying how these two types of learning interact to subserve fear behavior. The mechanisms of such learning may be related to passive versus active coping strategies in humans suffering from pathological fear and understanding these mechanisms may have important treatment implications.","container-title":"Handbook of Behavioral Neuroscience","ISBN":"1569-7339","note":"DOI: 10.1016/S1569-7339(07)00007-0","page":"103-124","publisher":"Elsevier","title":"Chapter 3.1 Brain mechanisms of Pavlovian and instrumental aversive conditioning","URL":"https://www.sciencedirect.com/science/article/pii/S1569733907000070","volume":"17","author":[{"family":"Cain","given":"Christopher K."},{"family":"LeDoux","given":"Joseph E."}],"editor":[{"family":"Blanchard","given":"Robert J."},{"family":"Blanchard","given":"D. Caroline"},{"family":"Griebel","given":"Guy"},{"family":"Nutt","given":"David"}],"issued":{"date-parts":[["2008",1,1]]}}},{"id":5876,"uris":["http://zotero.org/users/8429722/items/SIJZX2U3"],"itemData":{"id":5876,"type":"article-journal","abstract":"Avoidance is a key characteristic of adaptive and maladaptive fear. Here, we review past and contemporary theories of avoidance learning. Based on the theories, experimental findings and clinical observations reviewed, we distill key principles of how adaptive and maladaptive avoidance behavior is acquired and maintained. We highlight clinical implications of avoidance learning theories and describe intervention strategies that could reduce maladaptive avoidance and prevent its return. We end with a brief overview of recent developments and avenues for further research.","container-title":"Frontiers in Behavioral Neuroscience","ISSN":"1662-5153","journalAbbreviation":"Frontiers in Behavioral Neuroscience","title":"Avoidance learning: a review of theoretical models and recent developments","URL":"https://www.frontiersin.org/articles/10.3389/fnbeh.2015.00189","volume":"9","author":[{"family":"Krypotos","given":"Angelos-Miltiadis"},{"family":"Effting","given":"Marieke"},{"family":"Kindt","given":"Merel"},{"family":"Beckers","given":"Tom"}],"issued":{"date-parts":[["2015"]]}}}],"schema":"https://github.com/citation-style-language/schema/raw/master/csl-citation.json"} </w:instrText>
      </w:r>
      <w:r w:rsidR="00C71B70">
        <w:rPr>
          <w:rFonts w:eastAsia="Calibri" w:cs="Arial"/>
          <w:sz w:val="21"/>
          <w:szCs w:val="21"/>
          <w:lang w:eastAsia="en-US"/>
        </w:rPr>
        <w:fldChar w:fldCharType="separate"/>
      </w:r>
      <w:r w:rsidR="00C71B70" w:rsidRPr="00C71B70">
        <w:rPr>
          <w:rFonts w:eastAsia="Calibri" w:cs="Arial"/>
          <w:sz w:val="21"/>
        </w:rPr>
        <w:t>(Cain &amp; LeDoux, 2008; Krypotos, Effting, Kindt &amp; Beckers, 2015)</w:t>
      </w:r>
      <w:r w:rsidR="00C71B70">
        <w:rPr>
          <w:rFonts w:eastAsia="Calibri" w:cs="Arial"/>
          <w:sz w:val="21"/>
          <w:szCs w:val="21"/>
          <w:lang w:eastAsia="en-US"/>
        </w:rPr>
        <w:fldChar w:fldCharType="end"/>
      </w:r>
      <w:r w:rsidR="00003876">
        <w:rPr>
          <w:rFonts w:eastAsia="Calibri" w:cs="Arial"/>
          <w:sz w:val="21"/>
          <w:szCs w:val="21"/>
          <w:lang w:eastAsia="en-US"/>
        </w:rPr>
        <w:t xml:space="preserve">. Mit </w:t>
      </w:r>
      <w:r w:rsidR="00F4022C">
        <w:rPr>
          <w:rFonts w:eastAsia="Calibri" w:cs="Arial"/>
          <w:sz w:val="21"/>
          <w:szCs w:val="21"/>
          <w:lang w:eastAsia="en-US"/>
        </w:rPr>
        <w:t xml:space="preserve">dieser Studie können wir dazu beitragen </w:t>
      </w:r>
      <w:r w:rsidR="00894FAE">
        <w:rPr>
          <w:rFonts w:eastAsia="Calibri" w:cs="Arial"/>
          <w:sz w:val="21"/>
          <w:szCs w:val="21"/>
          <w:lang w:eastAsia="en-US"/>
        </w:rPr>
        <w:t xml:space="preserve">das </w:t>
      </w:r>
      <w:r w:rsidR="0004554F">
        <w:rPr>
          <w:rFonts w:eastAsia="Calibri" w:cs="Arial"/>
          <w:sz w:val="21"/>
          <w:szCs w:val="21"/>
          <w:lang w:eastAsia="en-US"/>
        </w:rPr>
        <w:t xml:space="preserve">von Erlernen von </w:t>
      </w:r>
      <w:r w:rsidR="00867F16">
        <w:rPr>
          <w:rFonts w:eastAsia="Calibri" w:cs="Arial"/>
          <w:sz w:val="21"/>
          <w:szCs w:val="21"/>
          <w:lang w:eastAsia="en-US"/>
        </w:rPr>
        <w:t>(Blick-)V</w:t>
      </w:r>
      <w:r w:rsidR="0004554F">
        <w:rPr>
          <w:rFonts w:eastAsia="Calibri" w:cs="Arial"/>
          <w:sz w:val="21"/>
          <w:szCs w:val="21"/>
          <w:lang w:eastAsia="en-US"/>
        </w:rPr>
        <w:t xml:space="preserve">ermeidungsverhalten </w:t>
      </w:r>
      <w:r w:rsidR="00867F16">
        <w:rPr>
          <w:rFonts w:eastAsia="Calibri" w:cs="Arial"/>
          <w:sz w:val="21"/>
          <w:szCs w:val="21"/>
          <w:lang w:eastAsia="en-US"/>
        </w:rPr>
        <w:t>besser</w:t>
      </w:r>
      <w:r w:rsidR="0004554F">
        <w:rPr>
          <w:rFonts w:eastAsia="Calibri" w:cs="Arial"/>
          <w:sz w:val="21"/>
          <w:szCs w:val="21"/>
          <w:lang w:eastAsia="en-US"/>
        </w:rPr>
        <w:t xml:space="preserve"> zu</w:t>
      </w:r>
      <w:r w:rsidR="00867F16">
        <w:rPr>
          <w:rFonts w:eastAsia="Calibri" w:cs="Arial"/>
          <w:sz w:val="21"/>
          <w:szCs w:val="21"/>
          <w:lang w:eastAsia="en-US"/>
        </w:rPr>
        <w:t xml:space="preserve"> verstehen.</w:t>
      </w:r>
      <w:r w:rsidR="0004554F">
        <w:rPr>
          <w:rFonts w:eastAsia="Calibri" w:cs="Arial"/>
          <w:sz w:val="21"/>
          <w:szCs w:val="21"/>
          <w:lang w:eastAsia="en-US"/>
        </w:rPr>
        <w:t xml:space="preserve"> </w:t>
      </w:r>
    </w:p>
    <w:p w14:paraId="58F1EAD8" w14:textId="77777777" w:rsidR="000B5931" w:rsidRDefault="000B5931">
      <w:pPr>
        <w:rPr>
          <w:rFonts w:cs="Arial"/>
          <w:b/>
          <w:sz w:val="21"/>
          <w:szCs w:val="21"/>
        </w:rPr>
      </w:pPr>
      <w:r>
        <w:rPr>
          <w:rFonts w:cs="Arial"/>
          <w:b/>
          <w:sz w:val="21"/>
          <w:szCs w:val="21"/>
        </w:rPr>
        <w:br w:type="page"/>
      </w:r>
    </w:p>
    <w:p w14:paraId="63B02F5B" w14:textId="14D8B705" w:rsidR="000B5931" w:rsidRDefault="000B5931" w:rsidP="000B5931">
      <w:pPr>
        <w:tabs>
          <w:tab w:val="left" w:pos="4500"/>
          <w:tab w:val="left" w:pos="6300"/>
        </w:tabs>
        <w:rPr>
          <w:rFonts w:cs="Arial"/>
          <w:b/>
          <w:sz w:val="21"/>
          <w:szCs w:val="21"/>
        </w:rPr>
      </w:pPr>
      <w:r w:rsidRPr="00160390">
        <w:rPr>
          <w:rFonts w:cs="Arial"/>
          <w:b/>
          <w:sz w:val="21"/>
          <w:szCs w:val="21"/>
        </w:rPr>
        <w:lastRenderedPageBreak/>
        <w:t>Aufstellung der Finanzen</w:t>
      </w:r>
    </w:p>
    <w:p w14:paraId="3D0983AC" w14:textId="77777777" w:rsidR="000B5931" w:rsidRPr="000B5931" w:rsidRDefault="000B5931" w:rsidP="000B5931">
      <w:pPr>
        <w:tabs>
          <w:tab w:val="left" w:pos="4500"/>
          <w:tab w:val="left" w:pos="6300"/>
        </w:tabs>
        <w:rPr>
          <w:rFonts w:cs="Arial"/>
          <w:b/>
          <w:sz w:val="21"/>
          <w:szCs w:val="21"/>
        </w:rPr>
      </w:pPr>
    </w:p>
    <w:p w14:paraId="70A74159" w14:textId="727515EC" w:rsidR="000B5931" w:rsidRDefault="00C65DB4" w:rsidP="00C65DB4">
      <w:pPr>
        <w:spacing w:after="160" w:line="259" w:lineRule="auto"/>
        <w:rPr>
          <w:rFonts w:eastAsia="Calibri" w:cs="Arial"/>
          <w:sz w:val="21"/>
          <w:szCs w:val="21"/>
          <w:lang w:eastAsia="en-US"/>
        </w:rPr>
      </w:pPr>
      <w:r>
        <w:rPr>
          <w:rFonts w:eastAsia="Calibri" w:cs="Arial"/>
          <w:sz w:val="21"/>
          <w:szCs w:val="21"/>
          <w:lang w:eastAsia="en-US"/>
        </w:rPr>
        <w:t xml:space="preserve">Für die Erhebungen möchte ich mich </w:t>
      </w:r>
      <w:r w:rsidR="003748A6">
        <w:rPr>
          <w:rFonts w:eastAsia="Calibri" w:cs="Arial"/>
          <w:sz w:val="21"/>
          <w:szCs w:val="21"/>
          <w:lang w:eastAsia="en-US"/>
        </w:rPr>
        <w:t>bei Ihnen</w:t>
      </w:r>
      <w:r>
        <w:rPr>
          <w:rFonts w:eastAsia="Calibri" w:cs="Arial"/>
          <w:sz w:val="21"/>
          <w:szCs w:val="21"/>
          <w:lang w:eastAsia="en-US"/>
        </w:rPr>
        <w:t xml:space="preserve"> um </w:t>
      </w:r>
      <w:r w:rsidR="00E72CCD" w:rsidRPr="00160390">
        <w:rPr>
          <w:rFonts w:eastAsia="Calibri" w:cs="Arial"/>
          <w:sz w:val="21"/>
          <w:szCs w:val="21"/>
          <w:lang w:eastAsia="en-US"/>
        </w:rPr>
        <w:t xml:space="preserve">Mittel für </w:t>
      </w:r>
      <w:r>
        <w:rPr>
          <w:rFonts w:eastAsia="Calibri" w:cs="Arial"/>
          <w:sz w:val="21"/>
          <w:szCs w:val="21"/>
          <w:lang w:eastAsia="en-US"/>
        </w:rPr>
        <w:t>Bezahlung</w:t>
      </w:r>
      <w:r w:rsidR="00E72CCD" w:rsidRPr="00160390">
        <w:rPr>
          <w:rFonts w:eastAsia="Calibri" w:cs="Arial"/>
          <w:sz w:val="21"/>
          <w:szCs w:val="21"/>
          <w:lang w:eastAsia="en-US"/>
        </w:rPr>
        <w:t xml:space="preserve"> der </w:t>
      </w:r>
      <w:proofErr w:type="spellStart"/>
      <w:proofErr w:type="gramStart"/>
      <w:r w:rsidR="00E72CCD" w:rsidRPr="00160390">
        <w:rPr>
          <w:rFonts w:eastAsia="Calibri" w:cs="Arial"/>
          <w:sz w:val="21"/>
          <w:szCs w:val="21"/>
          <w:lang w:eastAsia="en-US"/>
        </w:rPr>
        <w:t>Proband:innen</w:t>
      </w:r>
      <w:proofErr w:type="spellEnd"/>
      <w:proofErr w:type="gramEnd"/>
      <w:r w:rsidR="00E72CCD" w:rsidRPr="00160390">
        <w:rPr>
          <w:rFonts w:eastAsia="Calibri" w:cs="Arial"/>
          <w:sz w:val="21"/>
          <w:szCs w:val="21"/>
          <w:lang w:eastAsia="en-US"/>
        </w:rPr>
        <w:t xml:space="preserve"> </w:t>
      </w:r>
      <w:r>
        <w:rPr>
          <w:rFonts w:eastAsia="Calibri" w:cs="Arial"/>
          <w:sz w:val="21"/>
          <w:szCs w:val="21"/>
          <w:lang w:eastAsia="en-US"/>
        </w:rPr>
        <w:t>bewerben.</w:t>
      </w:r>
      <w:r w:rsidR="000B5931">
        <w:rPr>
          <w:rFonts w:eastAsia="Calibri" w:cs="Arial"/>
          <w:sz w:val="21"/>
          <w:szCs w:val="21"/>
          <w:lang w:eastAsia="en-US"/>
        </w:rPr>
        <w:t xml:space="preserve"> Die Fördermittel würden es ermöglichen vor allem auch Personen mit besonders niedriger und hoher </w:t>
      </w:r>
      <w:r w:rsidR="000B5931" w:rsidRPr="00160390">
        <w:rPr>
          <w:rFonts w:eastAsia="Calibri" w:cs="Arial"/>
          <w:sz w:val="21"/>
          <w:szCs w:val="21"/>
          <w:lang w:eastAsia="en-US"/>
        </w:rPr>
        <w:t>soziale</w:t>
      </w:r>
      <w:r w:rsidR="000B5931">
        <w:rPr>
          <w:rFonts w:eastAsia="Calibri" w:cs="Arial"/>
          <w:sz w:val="21"/>
          <w:szCs w:val="21"/>
          <w:lang w:eastAsia="en-US"/>
        </w:rPr>
        <w:t>r</w:t>
      </w:r>
      <w:r w:rsidR="000B5931" w:rsidRPr="00160390">
        <w:rPr>
          <w:rFonts w:eastAsia="Calibri" w:cs="Arial"/>
          <w:sz w:val="21"/>
          <w:szCs w:val="21"/>
          <w:lang w:eastAsia="en-US"/>
        </w:rPr>
        <w:t xml:space="preserve"> Ängstlichkeit</w:t>
      </w:r>
      <w:r w:rsidR="000B5931">
        <w:rPr>
          <w:rFonts w:eastAsia="Calibri" w:cs="Arial"/>
          <w:sz w:val="21"/>
          <w:szCs w:val="21"/>
          <w:lang w:eastAsia="en-US"/>
        </w:rPr>
        <w:t xml:space="preserve"> einzuschließen.</w:t>
      </w:r>
    </w:p>
    <w:tbl>
      <w:tblPr>
        <w:tblStyle w:val="Tabellenraster"/>
        <w:tblW w:w="0" w:type="auto"/>
        <w:tblBorders>
          <w:top w:val="none" w:sz="0" w:space="0" w:color="auto"/>
          <w:left w:val="none" w:sz="0" w:space="0" w:color="auto"/>
          <w:bottom w:val="none" w:sz="0" w:space="0" w:color="auto"/>
          <w:right w:val="none" w:sz="0" w:space="0" w:color="auto"/>
        </w:tblBorders>
        <w:tblLayout w:type="fixed"/>
        <w:tblCellMar>
          <w:left w:w="28" w:type="dxa"/>
        </w:tblCellMar>
        <w:tblLook w:val="04A0" w:firstRow="1" w:lastRow="0" w:firstColumn="1" w:lastColumn="0" w:noHBand="0" w:noVBand="1"/>
      </w:tblPr>
      <w:tblGrid>
        <w:gridCol w:w="4536"/>
        <w:gridCol w:w="851"/>
        <w:gridCol w:w="709"/>
        <w:gridCol w:w="992"/>
        <w:gridCol w:w="850"/>
        <w:gridCol w:w="993"/>
      </w:tblGrid>
      <w:tr w:rsidR="00400E0B" w:rsidRPr="00160390" w14:paraId="3A6C38FD" w14:textId="77777777" w:rsidTr="0015767D">
        <w:trPr>
          <w:trHeight w:val="255"/>
        </w:trPr>
        <w:tc>
          <w:tcPr>
            <w:tcW w:w="4536" w:type="dxa"/>
          </w:tcPr>
          <w:p w14:paraId="4AC8CE5A" w14:textId="77777777" w:rsidR="00400E0B" w:rsidRPr="00160390" w:rsidRDefault="00400E0B" w:rsidP="0015767D">
            <w:pPr>
              <w:rPr>
                <w:rFonts w:eastAsia="Calibri" w:cs="Arial"/>
                <w:b/>
                <w:bCs/>
                <w:sz w:val="21"/>
                <w:szCs w:val="21"/>
                <w:lang w:eastAsia="en-US"/>
              </w:rPr>
            </w:pPr>
          </w:p>
        </w:tc>
        <w:tc>
          <w:tcPr>
            <w:tcW w:w="1560" w:type="dxa"/>
            <w:gridSpan w:val="2"/>
          </w:tcPr>
          <w:p w14:paraId="14A134EE" w14:textId="77777777" w:rsidR="00400E0B" w:rsidRPr="00160390" w:rsidRDefault="00400E0B" w:rsidP="0015767D">
            <w:pPr>
              <w:rPr>
                <w:rFonts w:eastAsia="Calibri" w:cs="Arial"/>
                <w:b/>
                <w:bCs/>
                <w:sz w:val="21"/>
                <w:szCs w:val="21"/>
                <w:lang w:eastAsia="en-US"/>
              </w:rPr>
            </w:pPr>
            <w:r w:rsidRPr="00160390">
              <w:rPr>
                <w:rFonts w:eastAsia="Calibri" w:cs="Arial"/>
                <w:b/>
                <w:bCs/>
                <w:sz w:val="21"/>
                <w:szCs w:val="21"/>
                <w:lang w:eastAsia="en-US"/>
              </w:rPr>
              <w:t>Einzelpreis</w:t>
            </w:r>
          </w:p>
        </w:tc>
        <w:tc>
          <w:tcPr>
            <w:tcW w:w="992" w:type="dxa"/>
          </w:tcPr>
          <w:p w14:paraId="077846F6" w14:textId="77777777" w:rsidR="00400E0B" w:rsidRPr="00160390" w:rsidRDefault="00400E0B" w:rsidP="0015767D">
            <w:pPr>
              <w:rPr>
                <w:rFonts w:eastAsia="Calibri" w:cs="Arial"/>
                <w:b/>
                <w:bCs/>
                <w:sz w:val="21"/>
                <w:szCs w:val="21"/>
                <w:lang w:eastAsia="en-US"/>
              </w:rPr>
            </w:pPr>
            <w:r w:rsidRPr="00160390">
              <w:rPr>
                <w:rFonts w:eastAsia="Calibri" w:cs="Arial"/>
                <w:b/>
                <w:bCs/>
                <w:sz w:val="21"/>
                <w:szCs w:val="21"/>
                <w:lang w:eastAsia="en-US"/>
              </w:rPr>
              <w:t>Anzahl</w:t>
            </w:r>
          </w:p>
        </w:tc>
        <w:tc>
          <w:tcPr>
            <w:tcW w:w="1843" w:type="dxa"/>
            <w:gridSpan w:val="2"/>
          </w:tcPr>
          <w:p w14:paraId="2C46FD32" w14:textId="77777777" w:rsidR="00400E0B" w:rsidRPr="00160390" w:rsidRDefault="00400E0B" w:rsidP="0015767D">
            <w:pPr>
              <w:rPr>
                <w:rFonts w:eastAsia="Calibri" w:cs="Arial"/>
                <w:b/>
                <w:bCs/>
                <w:sz w:val="21"/>
                <w:szCs w:val="21"/>
                <w:lang w:eastAsia="en-US"/>
              </w:rPr>
            </w:pPr>
            <w:r w:rsidRPr="00160390">
              <w:rPr>
                <w:rFonts w:eastAsia="Calibri" w:cs="Arial"/>
                <w:b/>
                <w:bCs/>
                <w:sz w:val="21"/>
                <w:szCs w:val="21"/>
                <w:lang w:eastAsia="en-US"/>
              </w:rPr>
              <w:t>Gesamtpreis</w:t>
            </w:r>
          </w:p>
        </w:tc>
      </w:tr>
      <w:tr w:rsidR="00400E0B" w:rsidRPr="00160390" w14:paraId="2E9F423D" w14:textId="77777777" w:rsidTr="0015767D">
        <w:trPr>
          <w:trHeight w:val="255"/>
        </w:trPr>
        <w:tc>
          <w:tcPr>
            <w:tcW w:w="4536" w:type="dxa"/>
            <w:tcBorders>
              <w:top w:val="single" w:sz="4" w:space="0" w:color="auto"/>
              <w:bottom w:val="double" w:sz="4" w:space="0" w:color="auto"/>
            </w:tcBorders>
            <w:shd w:val="clear" w:color="auto" w:fill="F2F2F2" w:themeFill="background1" w:themeFillShade="F2"/>
            <w:vAlign w:val="center"/>
          </w:tcPr>
          <w:p w14:paraId="20C1EC10" w14:textId="77777777" w:rsidR="00400E0B" w:rsidRPr="00160390" w:rsidRDefault="00400E0B" w:rsidP="0015767D">
            <w:pPr>
              <w:rPr>
                <w:rFonts w:eastAsia="Calibri" w:cs="Arial"/>
                <w:b/>
                <w:bCs/>
                <w:sz w:val="21"/>
                <w:szCs w:val="21"/>
                <w:lang w:eastAsia="en-US"/>
              </w:rPr>
            </w:pPr>
            <w:r w:rsidRPr="00160390">
              <w:rPr>
                <w:rFonts w:eastAsia="Calibri" w:cs="Arial"/>
                <w:b/>
                <w:bCs/>
                <w:sz w:val="21"/>
                <w:szCs w:val="21"/>
                <w:lang w:eastAsia="en-US"/>
              </w:rPr>
              <w:t>Versuchspersonengelder</w:t>
            </w:r>
          </w:p>
        </w:tc>
        <w:tc>
          <w:tcPr>
            <w:tcW w:w="851" w:type="dxa"/>
            <w:tcBorders>
              <w:top w:val="single" w:sz="4" w:space="0" w:color="auto"/>
              <w:bottom w:val="double" w:sz="4" w:space="0" w:color="auto"/>
              <w:right w:val="nil"/>
            </w:tcBorders>
            <w:shd w:val="clear" w:color="auto" w:fill="F2F2F2" w:themeFill="background1" w:themeFillShade="F2"/>
            <w:vAlign w:val="center"/>
          </w:tcPr>
          <w:p w14:paraId="4A89DF2E" w14:textId="77777777" w:rsidR="00400E0B" w:rsidRPr="00160390" w:rsidRDefault="00400E0B" w:rsidP="0015767D">
            <w:pPr>
              <w:jc w:val="right"/>
              <w:rPr>
                <w:rFonts w:eastAsia="Calibri" w:cs="Arial"/>
                <w:sz w:val="21"/>
                <w:szCs w:val="21"/>
                <w:lang w:eastAsia="en-US"/>
              </w:rPr>
            </w:pPr>
            <w:r w:rsidRPr="00160390">
              <w:rPr>
                <w:rFonts w:eastAsia="Calibri" w:cs="Arial"/>
                <w:sz w:val="21"/>
                <w:szCs w:val="21"/>
                <w:lang w:eastAsia="en-US"/>
              </w:rPr>
              <w:t>1</w:t>
            </w:r>
            <w:r>
              <w:rPr>
                <w:rFonts w:eastAsia="Calibri" w:cs="Arial"/>
                <w:sz w:val="21"/>
                <w:szCs w:val="21"/>
                <w:lang w:eastAsia="en-US"/>
              </w:rPr>
              <w:t>2</w:t>
            </w:r>
            <w:r w:rsidRPr="00160390">
              <w:rPr>
                <w:rFonts w:eastAsia="Calibri" w:cs="Arial"/>
                <w:sz w:val="21"/>
                <w:szCs w:val="21"/>
                <w:lang w:eastAsia="en-US"/>
              </w:rPr>
              <w:t>,0</w:t>
            </w:r>
          </w:p>
        </w:tc>
        <w:tc>
          <w:tcPr>
            <w:tcW w:w="709" w:type="dxa"/>
            <w:tcBorders>
              <w:top w:val="single" w:sz="4" w:space="0" w:color="auto"/>
              <w:left w:val="nil"/>
              <w:bottom w:val="double" w:sz="4" w:space="0" w:color="auto"/>
            </w:tcBorders>
            <w:shd w:val="clear" w:color="auto" w:fill="F2F2F2" w:themeFill="background1" w:themeFillShade="F2"/>
            <w:vAlign w:val="center"/>
          </w:tcPr>
          <w:p w14:paraId="2643B87C" w14:textId="77777777" w:rsidR="00400E0B" w:rsidRPr="00160390" w:rsidRDefault="00400E0B" w:rsidP="0015767D">
            <w:pPr>
              <w:rPr>
                <w:rFonts w:eastAsia="Calibri" w:cs="Arial"/>
                <w:sz w:val="21"/>
                <w:szCs w:val="21"/>
                <w:lang w:eastAsia="en-US"/>
              </w:rPr>
            </w:pPr>
            <w:r w:rsidRPr="00160390">
              <w:rPr>
                <w:rFonts w:eastAsia="Calibri" w:cs="Arial"/>
                <w:sz w:val="21"/>
                <w:szCs w:val="21"/>
                <w:lang w:eastAsia="en-US"/>
              </w:rPr>
              <w:t>€</w:t>
            </w:r>
          </w:p>
        </w:tc>
        <w:tc>
          <w:tcPr>
            <w:tcW w:w="992" w:type="dxa"/>
            <w:tcBorders>
              <w:top w:val="single" w:sz="4" w:space="0" w:color="auto"/>
              <w:bottom w:val="double" w:sz="4" w:space="0" w:color="auto"/>
            </w:tcBorders>
            <w:shd w:val="clear" w:color="auto" w:fill="F2F2F2" w:themeFill="background1" w:themeFillShade="F2"/>
            <w:vAlign w:val="center"/>
          </w:tcPr>
          <w:p w14:paraId="0F093F8C" w14:textId="635023B5" w:rsidR="00400E0B" w:rsidRPr="00160390" w:rsidRDefault="006E13E8" w:rsidP="00FC3033">
            <w:pPr>
              <w:jc w:val="center"/>
              <w:rPr>
                <w:rFonts w:eastAsia="Calibri" w:cs="Arial"/>
                <w:sz w:val="21"/>
                <w:szCs w:val="21"/>
                <w:lang w:eastAsia="en-US"/>
              </w:rPr>
            </w:pPr>
            <w:r>
              <w:rPr>
                <w:rFonts w:eastAsia="Calibri" w:cs="Arial"/>
                <w:sz w:val="21"/>
                <w:szCs w:val="21"/>
                <w:lang w:eastAsia="en-US"/>
              </w:rPr>
              <w:t>5</w:t>
            </w:r>
            <w:r w:rsidR="00400E0B">
              <w:rPr>
                <w:rFonts w:eastAsia="Calibri" w:cs="Arial"/>
                <w:sz w:val="21"/>
                <w:szCs w:val="21"/>
                <w:lang w:eastAsia="en-US"/>
              </w:rPr>
              <w:t>0</w:t>
            </w:r>
          </w:p>
        </w:tc>
        <w:tc>
          <w:tcPr>
            <w:tcW w:w="850" w:type="dxa"/>
            <w:tcBorders>
              <w:top w:val="single" w:sz="4" w:space="0" w:color="auto"/>
              <w:bottom w:val="double" w:sz="4" w:space="0" w:color="auto"/>
              <w:right w:val="nil"/>
            </w:tcBorders>
            <w:shd w:val="clear" w:color="auto" w:fill="F2F2F2" w:themeFill="background1" w:themeFillShade="F2"/>
            <w:vAlign w:val="center"/>
          </w:tcPr>
          <w:p w14:paraId="70D790CF" w14:textId="77777777" w:rsidR="00400E0B" w:rsidRPr="00160390" w:rsidRDefault="00400E0B" w:rsidP="0015767D">
            <w:pPr>
              <w:jc w:val="right"/>
              <w:rPr>
                <w:rFonts w:eastAsia="Calibri" w:cs="Arial"/>
                <w:sz w:val="21"/>
                <w:szCs w:val="21"/>
                <w:lang w:eastAsia="en-US"/>
              </w:rPr>
            </w:pPr>
            <w:r>
              <w:rPr>
                <w:rFonts w:eastAsia="Calibri" w:cs="Arial"/>
                <w:sz w:val="21"/>
                <w:szCs w:val="21"/>
                <w:lang w:eastAsia="en-US"/>
              </w:rPr>
              <w:t>6</w:t>
            </w:r>
            <w:r w:rsidRPr="00160390">
              <w:rPr>
                <w:rFonts w:eastAsia="Calibri" w:cs="Arial"/>
                <w:sz w:val="21"/>
                <w:szCs w:val="21"/>
                <w:lang w:eastAsia="en-US"/>
              </w:rPr>
              <w:t>00</w:t>
            </w:r>
          </w:p>
        </w:tc>
        <w:tc>
          <w:tcPr>
            <w:tcW w:w="993" w:type="dxa"/>
            <w:tcBorders>
              <w:top w:val="single" w:sz="4" w:space="0" w:color="auto"/>
              <w:left w:val="nil"/>
              <w:bottom w:val="double" w:sz="4" w:space="0" w:color="auto"/>
            </w:tcBorders>
            <w:shd w:val="clear" w:color="auto" w:fill="F2F2F2" w:themeFill="background1" w:themeFillShade="F2"/>
            <w:vAlign w:val="center"/>
          </w:tcPr>
          <w:p w14:paraId="18DB42D2" w14:textId="77777777" w:rsidR="00400E0B" w:rsidRPr="00160390" w:rsidRDefault="00400E0B" w:rsidP="0015767D">
            <w:pPr>
              <w:rPr>
                <w:rFonts w:eastAsia="Calibri" w:cs="Arial"/>
                <w:sz w:val="21"/>
                <w:szCs w:val="21"/>
                <w:lang w:eastAsia="en-US"/>
              </w:rPr>
            </w:pPr>
            <w:r w:rsidRPr="00160390">
              <w:rPr>
                <w:rFonts w:eastAsia="Calibri" w:cs="Arial"/>
                <w:sz w:val="21"/>
                <w:szCs w:val="21"/>
                <w:lang w:eastAsia="en-US"/>
              </w:rPr>
              <w:t>€</w:t>
            </w:r>
          </w:p>
        </w:tc>
      </w:tr>
    </w:tbl>
    <w:p w14:paraId="0B6B8E12" w14:textId="5B82E1A0" w:rsidR="00FC3033" w:rsidRDefault="00FC3033">
      <w:pPr>
        <w:rPr>
          <w:rFonts w:eastAsia="Calibri" w:cs="Arial"/>
          <w:b/>
          <w:bCs/>
          <w:sz w:val="22"/>
          <w:szCs w:val="22"/>
          <w:lang w:eastAsia="en-US"/>
        </w:rPr>
      </w:pPr>
    </w:p>
    <w:p w14:paraId="1FC05463" w14:textId="77777777" w:rsidR="006E5A78" w:rsidRDefault="006E5A78" w:rsidP="00C41D98">
      <w:pPr>
        <w:suppressAutoHyphens/>
        <w:spacing w:after="160" w:line="259" w:lineRule="auto"/>
        <w:rPr>
          <w:rFonts w:eastAsia="Calibri" w:cs="Arial"/>
          <w:b/>
          <w:bCs/>
          <w:sz w:val="22"/>
          <w:szCs w:val="22"/>
          <w:lang w:eastAsia="en-US"/>
        </w:rPr>
      </w:pPr>
    </w:p>
    <w:p w14:paraId="0BFC8C9A" w14:textId="10D6E949" w:rsidR="000C7AA7" w:rsidRPr="000C7AA7" w:rsidRDefault="000C7AA7" w:rsidP="00C41D98">
      <w:pPr>
        <w:suppressAutoHyphens/>
        <w:spacing w:after="160" w:line="259" w:lineRule="auto"/>
        <w:rPr>
          <w:rFonts w:eastAsia="Calibri" w:cs="Arial"/>
          <w:b/>
          <w:bCs/>
          <w:sz w:val="22"/>
          <w:szCs w:val="22"/>
          <w:lang w:eastAsia="en-US"/>
        </w:rPr>
      </w:pPr>
      <w:r w:rsidRPr="000C7AA7">
        <w:rPr>
          <w:rFonts w:eastAsia="Calibri" w:cs="Arial"/>
          <w:b/>
          <w:bCs/>
          <w:sz w:val="22"/>
          <w:szCs w:val="22"/>
          <w:lang w:eastAsia="en-US"/>
        </w:rPr>
        <w:t>Literaturangaben</w:t>
      </w:r>
    </w:p>
    <w:p w14:paraId="60EA827B" w14:textId="77777777" w:rsidR="00C71B70" w:rsidRPr="0039218A" w:rsidRDefault="00C808AB" w:rsidP="00C71B70">
      <w:pPr>
        <w:pStyle w:val="Literaturverzeichnis"/>
        <w:rPr>
          <w:rFonts w:cs="Arial"/>
          <w:sz w:val="21"/>
        </w:rPr>
      </w:pPr>
      <w:r>
        <w:fldChar w:fldCharType="begin"/>
      </w:r>
      <w:r w:rsidR="000B5931" w:rsidRPr="0039218A">
        <w:instrText xml:space="preserve"> ADDIN ZOTERO_BIBL {"uncited":[],"omitted":[],"custom":[]} CSL_BIBLIOGRAPHY </w:instrText>
      </w:r>
      <w:r>
        <w:fldChar w:fldCharType="separate"/>
      </w:r>
      <w:r w:rsidR="00C71B70" w:rsidRPr="0039218A">
        <w:rPr>
          <w:rFonts w:cs="Arial"/>
          <w:sz w:val="21"/>
        </w:rPr>
        <w:t xml:space="preserve">Birmingham, E., Bischof, W. F. &amp; Kingstone, A. (2009). Saliency does not account for fixations to eyes within social scenes. </w:t>
      </w:r>
      <w:r w:rsidR="00C71B70" w:rsidRPr="0039218A">
        <w:rPr>
          <w:rFonts w:cs="Arial"/>
          <w:i/>
          <w:iCs/>
          <w:sz w:val="21"/>
        </w:rPr>
        <w:t>Vision Research</w:t>
      </w:r>
      <w:r w:rsidR="00C71B70" w:rsidRPr="0039218A">
        <w:rPr>
          <w:rFonts w:cs="Arial"/>
          <w:sz w:val="21"/>
        </w:rPr>
        <w:t xml:space="preserve">, </w:t>
      </w:r>
      <w:r w:rsidR="00C71B70" w:rsidRPr="0039218A">
        <w:rPr>
          <w:rFonts w:cs="Arial"/>
          <w:i/>
          <w:iCs/>
          <w:sz w:val="21"/>
        </w:rPr>
        <w:t>49</w:t>
      </w:r>
      <w:r w:rsidR="00C71B70" w:rsidRPr="0039218A">
        <w:rPr>
          <w:rFonts w:cs="Arial"/>
          <w:sz w:val="21"/>
        </w:rPr>
        <w:t>(24), 2992–3000. https://doi.org/10.1016/j.visres.2009.09.014</w:t>
      </w:r>
    </w:p>
    <w:p w14:paraId="1F9C8213" w14:textId="77777777" w:rsidR="00C71B70" w:rsidRPr="0039218A" w:rsidRDefault="00C71B70" w:rsidP="00C71B70">
      <w:pPr>
        <w:pStyle w:val="Literaturverzeichnis"/>
        <w:rPr>
          <w:rFonts w:cs="Arial"/>
          <w:sz w:val="21"/>
        </w:rPr>
      </w:pPr>
      <w:r w:rsidRPr="0039218A">
        <w:rPr>
          <w:rFonts w:cs="Arial"/>
          <w:sz w:val="21"/>
        </w:rPr>
        <w:t xml:space="preserve">Birmingham, E. &amp; Kingstone, A. (2009). Human Social Attention. </w:t>
      </w:r>
      <w:r w:rsidRPr="0039218A">
        <w:rPr>
          <w:rFonts w:cs="Arial"/>
          <w:i/>
          <w:iCs/>
          <w:sz w:val="21"/>
        </w:rPr>
        <w:t>Annals of the New York Academy of Sciences</w:t>
      </w:r>
      <w:r w:rsidRPr="0039218A">
        <w:rPr>
          <w:rFonts w:cs="Arial"/>
          <w:sz w:val="21"/>
        </w:rPr>
        <w:t xml:space="preserve">, </w:t>
      </w:r>
      <w:r w:rsidRPr="0039218A">
        <w:rPr>
          <w:rFonts w:cs="Arial"/>
          <w:i/>
          <w:iCs/>
          <w:sz w:val="21"/>
        </w:rPr>
        <w:t>1156</w:t>
      </w:r>
      <w:r w:rsidRPr="0039218A">
        <w:rPr>
          <w:rFonts w:cs="Arial"/>
          <w:sz w:val="21"/>
        </w:rPr>
        <w:t>(1), 118–140. John Wiley &amp; Sons, Ltd. https://doi.org/10.1111/j.1749-6632.2009.04468.x</w:t>
      </w:r>
    </w:p>
    <w:p w14:paraId="5236E120" w14:textId="77777777" w:rsidR="00C71B70" w:rsidRPr="0039218A" w:rsidRDefault="00C71B70" w:rsidP="00C71B70">
      <w:pPr>
        <w:pStyle w:val="Literaturverzeichnis"/>
        <w:rPr>
          <w:rFonts w:cs="Arial"/>
          <w:sz w:val="21"/>
        </w:rPr>
      </w:pPr>
      <w:r w:rsidRPr="0039218A">
        <w:rPr>
          <w:rFonts w:cs="Arial"/>
          <w:sz w:val="21"/>
        </w:rPr>
        <w:t xml:space="preserve">Boll, S., Bartholomaeus, M., Peter, U., Lupke, U. &amp; Gamer, M. (2016). Attentional mechanisms of social perception are biased in social phobia. </w:t>
      </w:r>
      <w:r w:rsidRPr="0039218A">
        <w:rPr>
          <w:rFonts w:cs="Arial"/>
          <w:i/>
          <w:iCs/>
          <w:sz w:val="21"/>
        </w:rPr>
        <w:t>Journal of anxiety disorders</w:t>
      </w:r>
      <w:r w:rsidRPr="0039218A">
        <w:rPr>
          <w:rFonts w:cs="Arial"/>
          <w:sz w:val="21"/>
        </w:rPr>
        <w:t xml:space="preserve">, </w:t>
      </w:r>
      <w:r w:rsidRPr="0039218A">
        <w:rPr>
          <w:rFonts w:cs="Arial"/>
          <w:i/>
          <w:iCs/>
          <w:sz w:val="21"/>
        </w:rPr>
        <w:t>40</w:t>
      </w:r>
      <w:r w:rsidRPr="0039218A">
        <w:rPr>
          <w:rFonts w:cs="Arial"/>
          <w:sz w:val="21"/>
        </w:rPr>
        <w:t>, 83–93. https://doi.org/10.1016/j.janxdis.2016.04.004</w:t>
      </w:r>
    </w:p>
    <w:p w14:paraId="1E677ABE" w14:textId="77777777" w:rsidR="00C71B70" w:rsidRPr="00C71B70" w:rsidRDefault="00C71B70" w:rsidP="00C71B70">
      <w:pPr>
        <w:pStyle w:val="Literaturverzeichnis"/>
        <w:rPr>
          <w:rFonts w:cs="Arial"/>
          <w:sz w:val="21"/>
        </w:rPr>
      </w:pPr>
      <w:r w:rsidRPr="0039218A">
        <w:rPr>
          <w:rFonts w:cs="Arial"/>
          <w:sz w:val="21"/>
        </w:rPr>
        <w:t>Cain, C. K. &amp; LeDoux, J. E. (2008</w:t>
      </w:r>
      <w:r w:rsidRPr="00003876">
        <w:rPr>
          <w:rFonts w:cs="Arial"/>
          <w:sz w:val="21"/>
        </w:rPr>
        <w:t>). Chapter 3.1 Brain mechanisms of Pavlovian and instrumental aversive conditioning. In R.J. Blanchard, D.C. Blanchard, G. Griebel &amp; D. Nut</w:t>
      </w:r>
      <w:r w:rsidRPr="0039218A">
        <w:rPr>
          <w:rFonts w:cs="Arial"/>
          <w:sz w:val="21"/>
          <w:lang w:val="en-US"/>
        </w:rPr>
        <w:t xml:space="preserve">t (Hrsg.), </w:t>
      </w:r>
      <w:r w:rsidRPr="0039218A">
        <w:rPr>
          <w:rFonts w:cs="Arial"/>
          <w:i/>
          <w:iCs/>
          <w:sz w:val="21"/>
          <w:lang w:val="en-US"/>
        </w:rPr>
        <w:t>Handbook of Behavioral Neuroscience</w:t>
      </w:r>
      <w:r w:rsidRPr="0039218A">
        <w:rPr>
          <w:rFonts w:cs="Arial"/>
          <w:sz w:val="21"/>
          <w:lang w:val="en-US"/>
        </w:rPr>
        <w:t xml:space="preserve"> (Band 17, S. 103–124). </w:t>
      </w:r>
      <w:r w:rsidRPr="00C71B70">
        <w:rPr>
          <w:rFonts w:cs="Arial"/>
          <w:sz w:val="21"/>
        </w:rPr>
        <w:t>Elsevier. https://doi.org/10.1016/S1569-7339(07)00007-0</w:t>
      </w:r>
    </w:p>
    <w:p w14:paraId="02DC9701" w14:textId="77777777" w:rsidR="00C71B70" w:rsidRPr="00C71B70" w:rsidRDefault="00C71B70" w:rsidP="00C71B70">
      <w:pPr>
        <w:pStyle w:val="Literaturverzeichnis"/>
        <w:rPr>
          <w:rFonts w:cs="Arial"/>
          <w:sz w:val="21"/>
        </w:rPr>
      </w:pPr>
      <w:r w:rsidRPr="00C71B70">
        <w:rPr>
          <w:rFonts w:cs="Arial"/>
          <w:sz w:val="21"/>
        </w:rPr>
        <w:t xml:space="preserve">Cerf, M., Harel, J., Einhäuser, W. &amp; Koch, C. (2007). </w:t>
      </w:r>
      <w:r w:rsidRPr="0039218A">
        <w:rPr>
          <w:rFonts w:cs="Arial"/>
          <w:sz w:val="21"/>
          <w:lang w:val="en-US"/>
        </w:rPr>
        <w:t xml:space="preserve">Predicting human gaze using low-level saliency combined with face detection. </w:t>
      </w:r>
      <w:r w:rsidRPr="00C71B70">
        <w:rPr>
          <w:rFonts w:cs="Arial"/>
          <w:i/>
          <w:iCs/>
          <w:sz w:val="21"/>
        </w:rPr>
        <w:t>Advances in neural information processing systems</w:t>
      </w:r>
      <w:r w:rsidRPr="00C71B70">
        <w:rPr>
          <w:rFonts w:cs="Arial"/>
          <w:sz w:val="21"/>
        </w:rPr>
        <w:t xml:space="preserve"> (Band 20). Gehalten auf der NeurIPS, Vancouver. Verfügbar unter: https://proceedings.neurips.cc/paper/2007/file/708f3cf8100d5e71834b1db77dfa15d6-Paper.pdf</w:t>
      </w:r>
    </w:p>
    <w:p w14:paraId="6399BBE1" w14:textId="77777777" w:rsidR="00C71B70" w:rsidRPr="0039218A" w:rsidRDefault="00C71B70" w:rsidP="00C71B70">
      <w:pPr>
        <w:pStyle w:val="Literaturverzeichnis"/>
        <w:rPr>
          <w:rFonts w:cs="Arial"/>
          <w:sz w:val="21"/>
          <w:lang w:val="en-US"/>
        </w:rPr>
      </w:pPr>
      <w:r w:rsidRPr="0039218A">
        <w:rPr>
          <w:rFonts w:cs="Arial"/>
          <w:sz w:val="21"/>
          <w:lang w:val="en-US"/>
        </w:rPr>
        <w:t xml:space="preserve">End, A. &amp; Gamer, M. (2017). Preferential Processing of Social Features and Their Interplay with Physical Saliency in Complex Naturalistic Scenes. </w:t>
      </w:r>
      <w:r w:rsidRPr="0039218A">
        <w:rPr>
          <w:rFonts w:cs="Arial"/>
          <w:i/>
          <w:iCs/>
          <w:sz w:val="21"/>
          <w:lang w:val="en-US"/>
        </w:rPr>
        <w:t>Frontiers in Psychology</w:t>
      </w:r>
      <w:r w:rsidRPr="0039218A">
        <w:rPr>
          <w:rFonts w:cs="Arial"/>
          <w:sz w:val="21"/>
          <w:lang w:val="en-US"/>
        </w:rPr>
        <w:t xml:space="preserve">, </w:t>
      </w:r>
      <w:r w:rsidRPr="0039218A">
        <w:rPr>
          <w:rFonts w:cs="Arial"/>
          <w:i/>
          <w:iCs/>
          <w:sz w:val="21"/>
          <w:lang w:val="en-US"/>
        </w:rPr>
        <w:t>8</w:t>
      </w:r>
      <w:r w:rsidRPr="0039218A">
        <w:rPr>
          <w:rFonts w:cs="Arial"/>
          <w:sz w:val="21"/>
          <w:lang w:val="en-US"/>
        </w:rPr>
        <w:t>.</w:t>
      </w:r>
    </w:p>
    <w:p w14:paraId="1BC9A1A0" w14:textId="77777777" w:rsidR="00C71B70" w:rsidRPr="0039218A" w:rsidRDefault="00C71B70" w:rsidP="00C71B70">
      <w:pPr>
        <w:pStyle w:val="Literaturverzeichnis"/>
        <w:rPr>
          <w:rFonts w:cs="Arial"/>
          <w:sz w:val="21"/>
          <w:lang w:val="en-US"/>
        </w:rPr>
      </w:pPr>
      <w:r w:rsidRPr="0039218A">
        <w:rPr>
          <w:rFonts w:cs="Arial"/>
          <w:sz w:val="21"/>
          <w:lang w:val="en-US"/>
        </w:rPr>
        <w:t xml:space="preserve">Flechsenhar, A., Rösler, L. &amp; Gamer, M. (2018). Attentional Selection of Social Features Persists Despite Restricted Bottom-Up Information and Affects Temporal Viewing Dynamics. </w:t>
      </w:r>
      <w:r w:rsidRPr="0039218A">
        <w:rPr>
          <w:rFonts w:cs="Arial"/>
          <w:i/>
          <w:iCs/>
          <w:sz w:val="21"/>
          <w:lang w:val="en-US"/>
        </w:rPr>
        <w:t>Scientific Reports</w:t>
      </w:r>
      <w:r w:rsidRPr="0039218A">
        <w:rPr>
          <w:rFonts w:cs="Arial"/>
          <w:sz w:val="21"/>
          <w:lang w:val="en-US"/>
        </w:rPr>
        <w:t xml:space="preserve">, </w:t>
      </w:r>
      <w:r w:rsidRPr="0039218A">
        <w:rPr>
          <w:rFonts w:cs="Arial"/>
          <w:i/>
          <w:iCs/>
          <w:sz w:val="21"/>
          <w:lang w:val="en-US"/>
        </w:rPr>
        <w:t>8</w:t>
      </w:r>
      <w:r w:rsidRPr="0039218A">
        <w:rPr>
          <w:rFonts w:cs="Arial"/>
          <w:sz w:val="21"/>
          <w:lang w:val="en-US"/>
        </w:rPr>
        <w:t>(1), 12555. https://doi.org/10.1038/s41598-018-30736-8</w:t>
      </w:r>
    </w:p>
    <w:p w14:paraId="214A3D69" w14:textId="77777777" w:rsidR="00C71B70" w:rsidRPr="0039218A" w:rsidRDefault="00C71B70" w:rsidP="00C71B70">
      <w:pPr>
        <w:pStyle w:val="Literaturverzeichnis"/>
        <w:rPr>
          <w:rFonts w:cs="Arial"/>
          <w:sz w:val="21"/>
          <w:lang w:val="en-US"/>
        </w:rPr>
      </w:pPr>
      <w:r w:rsidRPr="0039218A">
        <w:rPr>
          <w:rFonts w:cs="Arial"/>
          <w:sz w:val="21"/>
          <w:lang w:val="en-US"/>
        </w:rPr>
        <w:t xml:space="preserve">Garner, M., Moss, K. &amp; Bradley, B. P. (2006). Orienting and maintenance of gaze to facial expressions in social anxiety. </w:t>
      </w:r>
      <w:r w:rsidRPr="0039218A">
        <w:rPr>
          <w:rFonts w:cs="Arial"/>
          <w:i/>
          <w:iCs/>
          <w:sz w:val="21"/>
          <w:lang w:val="en-US"/>
        </w:rPr>
        <w:t>Journal of abnormal psychology (1965)</w:t>
      </w:r>
      <w:r w:rsidRPr="0039218A">
        <w:rPr>
          <w:rFonts w:cs="Arial"/>
          <w:sz w:val="21"/>
          <w:lang w:val="en-US"/>
        </w:rPr>
        <w:t xml:space="preserve">, </w:t>
      </w:r>
      <w:r w:rsidRPr="0039218A">
        <w:rPr>
          <w:rFonts w:cs="Arial"/>
          <w:i/>
          <w:iCs/>
          <w:sz w:val="21"/>
          <w:lang w:val="en-US"/>
        </w:rPr>
        <w:t>115</w:t>
      </w:r>
      <w:r w:rsidRPr="0039218A">
        <w:rPr>
          <w:rFonts w:cs="Arial"/>
          <w:sz w:val="21"/>
          <w:lang w:val="en-US"/>
        </w:rPr>
        <w:t>(4), 760–770.</w:t>
      </w:r>
    </w:p>
    <w:p w14:paraId="3822A728" w14:textId="77777777" w:rsidR="00C71B70" w:rsidRPr="0039218A" w:rsidRDefault="00C71B70" w:rsidP="00C71B70">
      <w:pPr>
        <w:pStyle w:val="Literaturverzeichnis"/>
        <w:rPr>
          <w:rFonts w:cs="Arial"/>
          <w:sz w:val="21"/>
          <w:lang w:val="en-US"/>
        </w:rPr>
      </w:pPr>
      <w:r w:rsidRPr="0039218A">
        <w:rPr>
          <w:rFonts w:cs="Arial"/>
          <w:sz w:val="21"/>
          <w:lang w:val="en-US"/>
        </w:rPr>
        <w:t xml:space="preserve">Krypotos, A.-M., Effting, M., Kindt, M. &amp; Beckers, T. (2015). Avoidance learning: a review of theoretical models and recent developments. </w:t>
      </w:r>
      <w:r w:rsidRPr="0039218A">
        <w:rPr>
          <w:rFonts w:cs="Arial"/>
          <w:i/>
          <w:iCs/>
          <w:sz w:val="21"/>
          <w:lang w:val="en-US"/>
        </w:rPr>
        <w:t>Frontiers in Behavioral Neuroscience</w:t>
      </w:r>
      <w:r w:rsidRPr="0039218A">
        <w:rPr>
          <w:rFonts w:cs="Arial"/>
          <w:sz w:val="21"/>
          <w:lang w:val="en-US"/>
        </w:rPr>
        <w:t xml:space="preserve">, </w:t>
      </w:r>
      <w:r w:rsidRPr="0039218A">
        <w:rPr>
          <w:rFonts w:cs="Arial"/>
          <w:i/>
          <w:iCs/>
          <w:sz w:val="21"/>
          <w:lang w:val="en-US"/>
        </w:rPr>
        <w:t>9</w:t>
      </w:r>
      <w:r w:rsidRPr="0039218A">
        <w:rPr>
          <w:rFonts w:cs="Arial"/>
          <w:sz w:val="21"/>
          <w:lang w:val="en-US"/>
        </w:rPr>
        <w:t>.</w:t>
      </w:r>
    </w:p>
    <w:p w14:paraId="24738459" w14:textId="77777777" w:rsidR="00C71B70" w:rsidRPr="0039218A" w:rsidRDefault="00C71B70" w:rsidP="00C71B70">
      <w:pPr>
        <w:pStyle w:val="Literaturverzeichnis"/>
        <w:rPr>
          <w:rFonts w:cs="Arial"/>
          <w:sz w:val="21"/>
          <w:lang w:val="en-US"/>
        </w:rPr>
      </w:pPr>
      <w:r w:rsidRPr="0039218A">
        <w:rPr>
          <w:rFonts w:cs="Arial"/>
          <w:sz w:val="21"/>
          <w:lang w:val="en-US"/>
        </w:rPr>
        <w:t xml:space="preserve">Lonsdorf, T. B., Menz, M. M., Andreatta, M., Fullana, M. A., Golkar, A., Haaker, J. et al. (2017). Don’t fear ‘fear conditioning’: Methodological considerations for the design and analysis of studies on human fear acquisition, extinction, and return of fear. </w:t>
      </w:r>
      <w:r w:rsidRPr="0039218A">
        <w:rPr>
          <w:rFonts w:cs="Arial"/>
          <w:i/>
          <w:iCs/>
          <w:sz w:val="21"/>
          <w:lang w:val="en-US"/>
        </w:rPr>
        <w:t>Neuroscience &amp; Biobehavioral Reviews</w:t>
      </w:r>
      <w:r w:rsidRPr="0039218A">
        <w:rPr>
          <w:rFonts w:cs="Arial"/>
          <w:sz w:val="21"/>
          <w:lang w:val="en-US"/>
        </w:rPr>
        <w:t xml:space="preserve">, </w:t>
      </w:r>
      <w:r w:rsidRPr="0039218A">
        <w:rPr>
          <w:rFonts w:cs="Arial"/>
          <w:i/>
          <w:iCs/>
          <w:sz w:val="21"/>
          <w:lang w:val="en-US"/>
        </w:rPr>
        <w:t>77</w:t>
      </w:r>
      <w:r w:rsidRPr="0039218A">
        <w:rPr>
          <w:rFonts w:cs="Arial"/>
          <w:sz w:val="21"/>
          <w:lang w:val="en-US"/>
        </w:rPr>
        <w:t>, 247–285. https://doi.org/10.1016/j.neubiorev.2017.02.026</w:t>
      </w:r>
    </w:p>
    <w:p w14:paraId="7EA90380" w14:textId="77777777" w:rsidR="00C71B70" w:rsidRPr="0039218A" w:rsidRDefault="00C71B70" w:rsidP="00C71B70">
      <w:pPr>
        <w:pStyle w:val="Literaturverzeichnis"/>
        <w:rPr>
          <w:rFonts w:cs="Arial"/>
          <w:sz w:val="21"/>
          <w:lang w:val="en-US"/>
        </w:rPr>
      </w:pPr>
      <w:r w:rsidRPr="0039218A">
        <w:rPr>
          <w:rFonts w:cs="Arial"/>
          <w:sz w:val="21"/>
          <w:lang w:val="en-US"/>
        </w:rPr>
        <w:t xml:space="preserve">Rösler, L., End, A. &amp; Gamer, M. (2017). Orienting towards social features in naturalistic scenes is reflexive. </w:t>
      </w:r>
      <w:r w:rsidRPr="0039218A">
        <w:rPr>
          <w:rFonts w:cs="Arial"/>
          <w:i/>
          <w:iCs/>
          <w:sz w:val="21"/>
          <w:lang w:val="en-US"/>
        </w:rPr>
        <w:t>PLOS ONE</w:t>
      </w:r>
      <w:r w:rsidRPr="0039218A">
        <w:rPr>
          <w:rFonts w:cs="Arial"/>
          <w:sz w:val="21"/>
          <w:lang w:val="en-US"/>
        </w:rPr>
        <w:t xml:space="preserve">, </w:t>
      </w:r>
      <w:r w:rsidRPr="0039218A">
        <w:rPr>
          <w:rFonts w:cs="Arial"/>
          <w:i/>
          <w:iCs/>
          <w:sz w:val="21"/>
          <w:lang w:val="en-US"/>
        </w:rPr>
        <w:t>12</w:t>
      </w:r>
      <w:r w:rsidRPr="0039218A">
        <w:rPr>
          <w:rFonts w:cs="Arial"/>
          <w:sz w:val="21"/>
          <w:lang w:val="en-US"/>
        </w:rPr>
        <w:t>(7), e0182037. Public Library of Science. https://doi.org/10.1371/journal.pone.0182037</w:t>
      </w:r>
    </w:p>
    <w:p w14:paraId="34F8360B" w14:textId="77777777" w:rsidR="00C71B70" w:rsidRPr="00C71B70" w:rsidRDefault="00C71B70" w:rsidP="00C71B70">
      <w:pPr>
        <w:pStyle w:val="Literaturverzeichnis"/>
        <w:rPr>
          <w:rFonts w:cs="Arial"/>
          <w:sz w:val="21"/>
        </w:rPr>
      </w:pPr>
      <w:r w:rsidRPr="00C71B70">
        <w:rPr>
          <w:rFonts w:cs="Arial"/>
          <w:sz w:val="21"/>
        </w:rPr>
        <w:t xml:space="preserve">Wieser, M. J., Pauli, P. &amp; Mühlberger, A. (2009). </w:t>
      </w:r>
      <w:r w:rsidRPr="0039218A">
        <w:rPr>
          <w:rFonts w:cs="Arial"/>
          <w:sz w:val="21"/>
          <w:lang w:val="en-US"/>
        </w:rPr>
        <w:t xml:space="preserve">Probing the attentional control theory in social anxiety: an emotional saccade task. </w:t>
      </w:r>
      <w:r w:rsidRPr="00C71B70">
        <w:rPr>
          <w:rFonts w:cs="Arial"/>
          <w:i/>
          <w:iCs/>
          <w:sz w:val="21"/>
        </w:rPr>
        <w:t>Cognitive, affective &amp; behavioral neuroscience</w:t>
      </w:r>
      <w:r w:rsidRPr="00C71B70">
        <w:rPr>
          <w:rFonts w:cs="Arial"/>
          <w:sz w:val="21"/>
        </w:rPr>
        <w:t xml:space="preserve">, </w:t>
      </w:r>
      <w:r w:rsidRPr="00C71B70">
        <w:rPr>
          <w:rFonts w:cs="Arial"/>
          <w:i/>
          <w:iCs/>
          <w:sz w:val="21"/>
        </w:rPr>
        <w:t>9</w:t>
      </w:r>
      <w:r w:rsidRPr="00C71B70">
        <w:rPr>
          <w:rFonts w:cs="Arial"/>
          <w:sz w:val="21"/>
        </w:rPr>
        <w:t>(3), 314–22. https://doi.org/10.3758/CABN.9.3.314</w:t>
      </w:r>
    </w:p>
    <w:p w14:paraId="25E95F31" w14:textId="64169184" w:rsidR="00490A36" w:rsidRPr="00160390" w:rsidRDefault="00C808AB" w:rsidP="00C41D98">
      <w:pPr>
        <w:suppressAutoHyphens/>
        <w:spacing w:after="160" w:line="259" w:lineRule="auto"/>
        <w:ind w:left="709" w:hanging="709"/>
        <w:rPr>
          <w:rFonts w:eastAsia="Calibri" w:cs="Arial"/>
          <w:sz w:val="21"/>
          <w:szCs w:val="21"/>
          <w:lang w:val="en-US" w:eastAsia="en-US"/>
        </w:rPr>
      </w:pPr>
      <w:r>
        <w:rPr>
          <w:rFonts w:eastAsia="Calibri" w:cs="Arial"/>
          <w:sz w:val="21"/>
          <w:szCs w:val="21"/>
          <w:lang w:val="en-US" w:eastAsia="en-US"/>
        </w:rPr>
        <w:fldChar w:fldCharType="end"/>
      </w:r>
    </w:p>
    <w:p w14:paraId="2CF89A09" w14:textId="3ED20A20" w:rsidR="004C10D2" w:rsidRPr="00AE1BA2" w:rsidRDefault="004C10D2" w:rsidP="00AE1BA2">
      <w:pPr>
        <w:rPr>
          <w:rFonts w:eastAsia="Calibri" w:cs="Arial"/>
          <w:b/>
          <w:bCs/>
          <w:sz w:val="22"/>
          <w:szCs w:val="22"/>
          <w:lang w:eastAsia="en-US"/>
        </w:rPr>
      </w:pPr>
    </w:p>
    <w:sectPr w:rsidR="004C10D2" w:rsidRPr="00AE1BA2" w:rsidSect="00160390">
      <w:headerReference w:type="even" r:id="rId10"/>
      <w:headerReference w:type="default" r:id="rId11"/>
      <w:headerReference w:type="first" r:id="rId12"/>
      <w:type w:val="continuous"/>
      <w:pgSz w:w="11906" w:h="16838" w:code="9"/>
      <w:pgMar w:top="709" w:right="1287" w:bottom="709" w:left="1077"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D9F3B" w14:textId="77777777" w:rsidR="00E14892" w:rsidRDefault="00E14892">
      <w:r>
        <w:separator/>
      </w:r>
    </w:p>
  </w:endnote>
  <w:endnote w:type="continuationSeparator" w:id="0">
    <w:p w14:paraId="2E79FA04" w14:textId="77777777" w:rsidR="00E14892" w:rsidRDefault="00E14892">
      <w:r>
        <w:continuationSeparator/>
      </w:r>
    </w:p>
  </w:endnote>
  <w:endnote w:type="continuationNotice" w:id="1">
    <w:p w14:paraId="61802818" w14:textId="77777777" w:rsidR="003B4C22" w:rsidRDefault="003B4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8804D" w14:textId="77777777" w:rsidR="00E14892" w:rsidRDefault="00E14892">
      <w:r>
        <w:separator/>
      </w:r>
    </w:p>
  </w:footnote>
  <w:footnote w:type="continuationSeparator" w:id="0">
    <w:p w14:paraId="6218E847" w14:textId="77777777" w:rsidR="00E14892" w:rsidRDefault="00E14892">
      <w:r>
        <w:continuationSeparator/>
      </w:r>
    </w:p>
  </w:footnote>
  <w:footnote w:type="continuationNotice" w:id="1">
    <w:p w14:paraId="6EAC0C1D" w14:textId="77777777" w:rsidR="003B4C22" w:rsidRDefault="003B4C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441A" w14:textId="77777777" w:rsidR="006D56E7" w:rsidRDefault="006D56E7" w:rsidP="00D902F0">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0A040A2" w14:textId="77777777" w:rsidR="006D56E7" w:rsidRDefault="006D56E7" w:rsidP="00FE7829">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581A" w14:textId="77777777" w:rsidR="006D56E7" w:rsidRDefault="006D56E7" w:rsidP="00D902F0">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066AC">
      <w:rPr>
        <w:rStyle w:val="Seitenzahl"/>
        <w:noProof/>
      </w:rPr>
      <w:t>2</w:t>
    </w:r>
    <w:r>
      <w:rPr>
        <w:rStyle w:val="Seitenzahl"/>
      </w:rPr>
      <w:fldChar w:fldCharType="end"/>
    </w:r>
  </w:p>
  <w:p w14:paraId="7F07BAF4" w14:textId="77777777" w:rsidR="006D56E7" w:rsidRDefault="006D56E7" w:rsidP="00FE7829">
    <w:pPr>
      <w:pStyle w:val="Kopfzeile"/>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9EE9" w14:textId="0B2C1AE3" w:rsidR="006D56E7" w:rsidRDefault="007D63CC">
    <w:pPr>
      <w:pStyle w:val="Kopfzeile"/>
      <w:jc w:val="center"/>
    </w:pPr>
    <w:r>
      <w:rPr>
        <w:noProof/>
      </w:rPr>
      <mc:AlternateContent>
        <mc:Choice Requires="wps">
          <w:drawing>
            <wp:anchor distT="0" distB="0" distL="114300" distR="114300" simplePos="0" relativeHeight="251658240" behindDoc="0" locked="0" layoutInCell="1" allowOverlap="1" wp14:anchorId="1D975E48" wp14:editId="3006AD1E">
              <wp:simplePos x="0" y="0"/>
              <wp:positionH relativeFrom="column">
                <wp:posOffset>-914400</wp:posOffset>
              </wp:positionH>
              <wp:positionV relativeFrom="page">
                <wp:posOffset>1800225</wp:posOffset>
              </wp:positionV>
              <wp:extent cx="344805" cy="114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E836D" w14:textId="77777777" w:rsidR="006D56E7" w:rsidRDefault="006D56E7">
                          <w:pPr>
                            <w:pStyle w:val="Kopfzeile"/>
                            <w:rPr>
                              <w:noProof/>
                              <w:vanish/>
                              <w:sz w:val="16"/>
                              <w:szCs w:val="16"/>
                            </w:rPr>
                          </w:pPr>
                          <w:r>
                            <w:rPr>
                              <w:noProof/>
                              <w:vanish/>
                              <w:sz w:val="16"/>
                              <w:szCs w:val="16"/>
                            </w:rPr>
                            <w:t>Fenster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975E48" id="_x0000_t202" coordsize="21600,21600" o:spt="202" path="m,l,21600r21600,l21600,xe">
              <v:stroke joinstyle="miter"/>
              <v:path gradientshapeok="t" o:connecttype="rect"/>
            </v:shapetype>
            <v:shape id="Text Box 2" o:spid="_x0000_s1026" type="#_x0000_t202" style="position:absolute;left:0;text-align:left;margin-left:-1in;margin-top:141.75pt;width:27.1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" filled="f" stroked="f">
              <v:textbox inset="0,0,0,0">
                <w:txbxContent>
                  <w:p w14:paraId="114E836D" w14:textId="77777777" w:rsidR="006D56E7" w:rsidRDefault="006D56E7">
                    <w:pPr>
                      <w:pStyle w:val="Kopfzeile"/>
                      <w:rPr>
                        <w:noProof/>
                        <w:vanish/>
                        <w:sz w:val="16"/>
                        <w:szCs w:val="16"/>
                      </w:rPr>
                    </w:pPr>
                    <w:r>
                      <w:rPr>
                        <w:noProof/>
                        <w:vanish/>
                        <w:sz w:val="16"/>
                        <w:szCs w:val="16"/>
                      </w:rPr>
                      <w:t>Fenster</w:t>
                    </w:r>
                  </w:p>
                </w:txbxContent>
              </v:textbox>
              <w10:wrap type="square" anchory="page"/>
            </v:shape>
          </w:pict>
        </mc:Fallback>
      </mc:AlternateContent>
    </w:r>
    <w:r>
      <w:rPr>
        <w:noProof/>
      </w:rPr>
      <w:drawing>
        <wp:anchor distT="0" distB="0" distL="114300" distR="114300" simplePos="0" relativeHeight="251658241" behindDoc="1" locked="1" layoutInCell="1" allowOverlap="0" wp14:anchorId="5308BD2F" wp14:editId="18FF73BF">
          <wp:simplePos x="0" y="0"/>
          <wp:positionH relativeFrom="column">
            <wp:align>left</wp:align>
          </wp:positionH>
          <wp:positionV relativeFrom="page">
            <wp:posOffset>431800</wp:posOffset>
          </wp:positionV>
          <wp:extent cx="6285865" cy="899795"/>
          <wp:effectExtent l="0" t="0" r="0" b="0"/>
          <wp:wrapNone/>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45055"/>
                  <a:stretch>
                    <a:fillRect/>
                  </a:stretch>
                </pic:blipFill>
                <pic:spPr bwMode="auto">
                  <a:xfrm>
                    <a:off x="0" y="0"/>
                    <a:ext cx="6285865" cy="8997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4C2AE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0A3582"/>
    <w:multiLevelType w:val="hybridMultilevel"/>
    <w:tmpl w:val="FD4E6528"/>
    <w:lvl w:ilvl="0" w:tplc="1C426F26">
      <w:start w:val="1"/>
      <w:numFmt w:val="bullet"/>
      <w:lvlText w:val="•"/>
      <w:lvlJc w:val="left"/>
      <w:pPr>
        <w:tabs>
          <w:tab w:val="num" w:pos="720"/>
        </w:tabs>
        <w:ind w:left="720" w:hanging="360"/>
      </w:pPr>
      <w:rPr>
        <w:rFonts w:ascii="Arial" w:hAnsi="Arial" w:hint="default"/>
      </w:rPr>
    </w:lvl>
    <w:lvl w:ilvl="1" w:tplc="638A1608" w:tentative="1">
      <w:start w:val="1"/>
      <w:numFmt w:val="bullet"/>
      <w:lvlText w:val="•"/>
      <w:lvlJc w:val="left"/>
      <w:pPr>
        <w:tabs>
          <w:tab w:val="num" w:pos="1440"/>
        </w:tabs>
        <w:ind w:left="1440" w:hanging="360"/>
      </w:pPr>
      <w:rPr>
        <w:rFonts w:ascii="Arial" w:hAnsi="Arial" w:hint="default"/>
      </w:rPr>
    </w:lvl>
    <w:lvl w:ilvl="2" w:tplc="71A2CF9C" w:tentative="1">
      <w:start w:val="1"/>
      <w:numFmt w:val="bullet"/>
      <w:lvlText w:val="•"/>
      <w:lvlJc w:val="left"/>
      <w:pPr>
        <w:tabs>
          <w:tab w:val="num" w:pos="2160"/>
        </w:tabs>
        <w:ind w:left="2160" w:hanging="360"/>
      </w:pPr>
      <w:rPr>
        <w:rFonts w:ascii="Arial" w:hAnsi="Arial" w:hint="default"/>
      </w:rPr>
    </w:lvl>
    <w:lvl w:ilvl="3" w:tplc="253CDB10" w:tentative="1">
      <w:start w:val="1"/>
      <w:numFmt w:val="bullet"/>
      <w:lvlText w:val="•"/>
      <w:lvlJc w:val="left"/>
      <w:pPr>
        <w:tabs>
          <w:tab w:val="num" w:pos="2880"/>
        </w:tabs>
        <w:ind w:left="2880" w:hanging="360"/>
      </w:pPr>
      <w:rPr>
        <w:rFonts w:ascii="Arial" w:hAnsi="Arial" w:hint="default"/>
      </w:rPr>
    </w:lvl>
    <w:lvl w:ilvl="4" w:tplc="97A28EEC" w:tentative="1">
      <w:start w:val="1"/>
      <w:numFmt w:val="bullet"/>
      <w:lvlText w:val="•"/>
      <w:lvlJc w:val="left"/>
      <w:pPr>
        <w:tabs>
          <w:tab w:val="num" w:pos="3600"/>
        </w:tabs>
        <w:ind w:left="3600" w:hanging="360"/>
      </w:pPr>
      <w:rPr>
        <w:rFonts w:ascii="Arial" w:hAnsi="Arial" w:hint="default"/>
      </w:rPr>
    </w:lvl>
    <w:lvl w:ilvl="5" w:tplc="973452DC" w:tentative="1">
      <w:start w:val="1"/>
      <w:numFmt w:val="bullet"/>
      <w:lvlText w:val="•"/>
      <w:lvlJc w:val="left"/>
      <w:pPr>
        <w:tabs>
          <w:tab w:val="num" w:pos="4320"/>
        </w:tabs>
        <w:ind w:left="4320" w:hanging="360"/>
      </w:pPr>
      <w:rPr>
        <w:rFonts w:ascii="Arial" w:hAnsi="Arial" w:hint="default"/>
      </w:rPr>
    </w:lvl>
    <w:lvl w:ilvl="6" w:tplc="39A6E79E" w:tentative="1">
      <w:start w:val="1"/>
      <w:numFmt w:val="bullet"/>
      <w:lvlText w:val="•"/>
      <w:lvlJc w:val="left"/>
      <w:pPr>
        <w:tabs>
          <w:tab w:val="num" w:pos="5040"/>
        </w:tabs>
        <w:ind w:left="5040" w:hanging="360"/>
      </w:pPr>
      <w:rPr>
        <w:rFonts w:ascii="Arial" w:hAnsi="Arial" w:hint="default"/>
      </w:rPr>
    </w:lvl>
    <w:lvl w:ilvl="7" w:tplc="4100F700" w:tentative="1">
      <w:start w:val="1"/>
      <w:numFmt w:val="bullet"/>
      <w:lvlText w:val="•"/>
      <w:lvlJc w:val="left"/>
      <w:pPr>
        <w:tabs>
          <w:tab w:val="num" w:pos="5760"/>
        </w:tabs>
        <w:ind w:left="5760" w:hanging="360"/>
      </w:pPr>
      <w:rPr>
        <w:rFonts w:ascii="Arial" w:hAnsi="Arial" w:hint="default"/>
      </w:rPr>
    </w:lvl>
    <w:lvl w:ilvl="8" w:tplc="507E76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59648E"/>
    <w:multiLevelType w:val="hybridMultilevel"/>
    <w:tmpl w:val="BE7AC47A"/>
    <w:lvl w:ilvl="0" w:tplc="95381E96">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1A2A0B"/>
    <w:multiLevelType w:val="singleLevel"/>
    <w:tmpl w:val="623E58BA"/>
    <w:lvl w:ilvl="0">
      <w:start w:val="13"/>
      <w:numFmt w:val="bullet"/>
      <w:lvlText w:val="-"/>
      <w:lvlJc w:val="left"/>
      <w:pPr>
        <w:tabs>
          <w:tab w:val="num" w:pos="360"/>
        </w:tabs>
        <w:ind w:left="360" w:hanging="360"/>
      </w:pPr>
      <w:rPr>
        <w:rFonts w:hint="default"/>
        <w:b/>
      </w:rPr>
    </w:lvl>
  </w:abstractNum>
  <w:abstractNum w:abstractNumId="4" w15:restartNumberingAfterBreak="0">
    <w:nsid w:val="2FE76977"/>
    <w:multiLevelType w:val="hybridMultilevel"/>
    <w:tmpl w:val="753CFD30"/>
    <w:lvl w:ilvl="0" w:tplc="C7521BEA">
      <w:start w:val="1"/>
      <w:numFmt w:val="bullet"/>
      <w:lvlText w:val="-"/>
      <w:lvlJc w:val="left"/>
      <w:pPr>
        <w:ind w:left="720" w:hanging="360"/>
      </w:pPr>
      <w:rPr>
        <w:rFonts w:ascii="Calibri" w:hAnsi="Calibri" w:cs="Times New Roman" w:hint="default"/>
      </w:rPr>
    </w:lvl>
    <w:lvl w:ilvl="1" w:tplc="204433D4">
      <w:start w:val="1"/>
      <w:numFmt w:val="bullet"/>
      <w:lvlText w:val="o"/>
      <w:lvlJc w:val="left"/>
      <w:pPr>
        <w:ind w:left="1440" w:hanging="360"/>
      </w:pPr>
      <w:rPr>
        <w:rFonts w:ascii="Courier New" w:hAnsi="Courier New" w:cs="Times New Roman" w:hint="default"/>
      </w:rPr>
    </w:lvl>
    <w:lvl w:ilvl="2" w:tplc="C98A506C">
      <w:start w:val="1"/>
      <w:numFmt w:val="bullet"/>
      <w:lvlText w:val=""/>
      <w:lvlJc w:val="left"/>
      <w:pPr>
        <w:ind w:left="2160" w:hanging="360"/>
      </w:pPr>
      <w:rPr>
        <w:rFonts w:ascii="Wingdings" w:hAnsi="Wingdings" w:hint="default"/>
      </w:rPr>
    </w:lvl>
    <w:lvl w:ilvl="3" w:tplc="CB0C46D6">
      <w:start w:val="1"/>
      <w:numFmt w:val="bullet"/>
      <w:lvlText w:val=""/>
      <w:lvlJc w:val="left"/>
      <w:pPr>
        <w:ind w:left="2880" w:hanging="360"/>
      </w:pPr>
      <w:rPr>
        <w:rFonts w:ascii="Symbol" w:hAnsi="Symbol" w:hint="default"/>
      </w:rPr>
    </w:lvl>
    <w:lvl w:ilvl="4" w:tplc="D024A452">
      <w:start w:val="1"/>
      <w:numFmt w:val="bullet"/>
      <w:lvlText w:val="o"/>
      <w:lvlJc w:val="left"/>
      <w:pPr>
        <w:ind w:left="3600" w:hanging="360"/>
      </w:pPr>
      <w:rPr>
        <w:rFonts w:ascii="Courier New" w:hAnsi="Courier New" w:cs="Times New Roman" w:hint="default"/>
      </w:rPr>
    </w:lvl>
    <w:lvl w:ilvl="5" w:tplc="8BC0D1C6">
      <w:start w:val="1"/>
      <w:numFmt w:val="bullet"/>
      <w:lvlText w:val=""/>
      <w:lvlJc w:val="left"/>
      <w:pPr>
        <w:ind w:left="4320" w:hanging="360"/>
      </w:pPr>
      <w:rPr>
        <w:rFonts w:ascii="Wingdings" w:hAnsi="Wingdings" w:hint="default"/>
      </w:rPr>
    </w:lvl>
    <w:lvl w:ilvl="6" w:tplc="46E2BB2E">
      <w:start w:val="1"/>
      <w:numFmt w:val="bullet"/>
      <w:lvlText w:val=""/>
      <w:lvlJc w:val="left"/>
      <w:pPr>
        <w:ind w:left="5040" w:hanging="360"/>
      </w:pPr>
      <w:rPr>
        <w:rFonts w:ascii="Symbol" w:hAnsi="Symbol" w:hint="default"/>
      </w:rPr>
    </w:lvl>
    <w:lvl w:ilvl="7" w:tplc="8D241EF4">
      <w:start w:val="1"/>
      <w:numFmt w:val="bullet"/>
      <w:lvlText w:val="o"/>
      <w:lvlJc w:val="left"/>
      <w:pPr>
        <w:ind w:left="5760" w:hanging="360"/>
      </w:pPr>
      <w:rPr>
        <w:rFonts w:ascii="Courier New" w:hAnsi="Courier New" w:cs="Times New Roman" w:hint="default"/>
      </w:rPr>
    </w:lvl>
    <w:lvl w:ilvl="8" w:tplc="D8D01C6E">
      <w:start w:val="1"/>
      <w:numFmt w:val="bullet"/>
      <w:lvlText w:val=""/>
      <w:lvlJc w:val="left"/>
      <w:pPr>
        <w:ind w:left="6480" w:hanging="360"/>
      </w:pPr>
      <w:rPr>
        <w:rFonts w:ascii="Wingdings" w:hAnsi="Wingdings" w:hint="default"/>
      </w:rPr>
    </w:lvl>
  </w:abstractNum>
  <w:abstractNum w:abstractNumId="5" w15:restartNumberingAfterBreak="0">
    <w:nsid w:val="31E72A73"/>
    <w:multiLevelType w:val="hybridMultilevel"/>
    <w:tmpl w:val="D2208D96"/>
    <w:lvl w:ilvl="0" w:tplc="ECE24A2C">
      <w:start w:val="9"/>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DB3E31"/>
    <w:multiLevelType w:val="hybridMultilevel"/>
    <w:tmpl w:val="CEEE3CAE"/>
    <w:lvl w:ilvl="0" w:tplc="70B8D4DE">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F67CDA"/>
    <w:multiLevelType w:val="hybridMultilevel"/>
    <w:tmpl w:val="F4D2D08A"/>
    <w:lvl w:ilvl="0" w:tplc="EE525382">
      <w:start w:val="1"/>
      <w:numFmt w:val="bullet"/>
      <w:lvlText w:val="•"/>
      <w:lvlJc w:val="left"/>
      <w:pPr>
        <w:tabs>
          <w:tab w:val="num" w:pos="720"/>
        </w:tabs>
        <w:ind w:left="720" w:hanging="360"/>
      </w:pPr>
      <w:rPr>
        <w:rFonts w:ascii="Arial" w:hAnsi="Arial" w:hint="default"/>
      </w:rPr>
    </w:lvl>
    <w:lvl w:ilvl="1" w:tplc="1BB094B2" w:tentative="1">
      <w:start w:val="1"/>
      <w:numFmt w:val="bullet"/>
      <w:lvlText w:val="•"/>
      <w:lvlJc w:val="left"/>
      <w:pPr>
        <w:tabs>
          <w:tab w:val="num" w:pos="1440"/>
        </w:tabs>
        <w:ind w:left="1440" w:hanging="360"/>
      </w:pPr>
      <w:rPr>
        <w:rFonts w:ascii="Arial" w:hAnsi="Arial" w:hint="default"/>
      </w:rPr>
    </w:lvl>
    <w:lvl w:ilvl="2" w:tplc="F42C05C4" w:tentative="1">
      <w:start w:val="1"/>
      <w:numFmt w:val="bullet"/>
      <w:lvlText w:val="•"/>
      <w:lvlJc w:val="left"/>
      <w:pPr>
        <w:tabs>
          <w:tab w:val="num" w:pos="2160"/>
        </w:tabs>
        <w:ind w:left="2160" w:hanging="360"/>
      </w:pPr>
      <w:rPr>
        <w:rFonts w:ascii="Arial" w:hAnsi="Arial" w:hint="default"/>
      </w:rPr>
    </w:lvl>
    <w:lvl w:ilvl="3" w:tplc="A9BE5F68" w:tentative="1">
      <w:start w:val="1"/>
      <w:numFmt w:val="bullet"/>
      <w:lvlText w:val="•"/>
      <w:lvlJc w:val="left"/>
      <w:pPr>
        <w:tabs>
          <w:tab w:val="num" w:pos="2880"/>
        </w:tabs>
        <w:ind w:left="2880" w:hanging="360"/>
      </w:pPr>
      <w:rPr>
        <w:rFonts w:ascii="Arial" w:hAnsi="Arial" w:hint="default"/>
      </w:rPr>
    </w:lvl>
    <w:lvl w:ilvl="4" w:tplc="7F0A298E" w:tentative="1">
      <w:start w:val="1"/>
      <w:numFmt w:val="bullet"/>
      <w:lvlText w:val="•"/>
      <w:lvlJc w:val="left"/>
      <w:pPr>
        <w:tabs>
          <w:tab w:val="num" w:pos="3600"/>
        </w:tabs>
        <w:ind w:left="3600" w:hanging="360"/>
      </w:pPr>
      <w:rPr>
        <w:rFonts w:ascii="Arial" w:hAnsi="Arial" w:hint="default"/>
      </w:rPr>
    </w:lvl>
    <w:lvl w:ilvl="5" w:tplc="935E0758" w:tentative="1">
      <w:start w:val="1"/>
      <w:numFmt w:val="bullet"/>
      <w:lvlText w:val="•"/>
      <w:lvlJc w:val="left"/>
      <w:pPr>
        <w:tabs>
          <w:tab w:val="num" w:pos="4320"/>
        </w:tabs>
        <w:ind w:left="4320" w:hanging="360"/>
      </w:pPr>
      <w:rPr>
        <w:rFonts w:ascii="Arial" w:hAnsi="Arial" w:hint="default"/>
      </w:rPr>
    </w:lvl>
    <w:lvl w:ilvl="6" w:tplc="246A5A32" w:tentative="1">
      <w:start w:val="1"/>
      <w:numFmt w:val="bullet"/>
      <w:lvlText w:val="•"/>
      <w:lvlJc w:val="left"/>
      <w:pPr>
        <w:tabs>
          <w:tab w:val="num" w:pos="5040"/>
        </w:tabs>
        <w:ind w:left="5040" w:hanging="360"/>
      </w:pPr>
      <w:rPr>
        <w:rFonts w:ascii="Arial" w:hAnsi="Arial" w:hint="default"/>
      </w:rPr>
    </w:lvl>
    <w:lvl w:ilvl="7" w:tplc="9D96EE30" w:tentative="1">
      <w:start w:val="1"/>
      <w:numFmt w:val="bullet"/>
      <w:lvlText w:val="•"/>
      <w:lvlJc w:val="left"/>
      <w:pPr>
        <w:tabs>
          <w:tab w:val="num" w:pos="5760"/>
        </w:tabs>
        <w:ind w:left="5760" w:hanging="360"/>
      </w:pPr>
      <w:rPr>
        <w:rFonts w:ascii="Arial" w:hAnsi="Arial" w:hint="default"/>
      </w:rPr>
    </w:lvl>
    <w:lvl w:ilvl="8" w:tplc="663A5F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D94E8E"/>
    <w:multiLevelType w:val="hybridMultilevel"/>
    <w:tmpl w:val="230831AC"/>
    <w:lvl w:ilvl="0" w:tplc="9BEAE05E">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925CD2"/>
    <w:multiLevelType w:val="hybridMultilevel"/>
    <w:tmpl w:val="5C26AE6E"/>
    <w:lvl w:ilvl="0" w:tplc="BE428DD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81962956">
    <w:abstractNumId w:val="8"/>
  </w:num>
  <w:num w:numId="2" w16cid:durableId="451560777">
    <w:abstractNumId w:val="3"/>
  </w:num>
  <w:num w:numId="3" w16cid:durableId="609119160">
    <w:abstractNumId w:val="0"/>
  </w:num>
  <w:num w:numId="4" w16cid:durableId="1363164237">
    <w:abstractNumId w:val="6"/>
  </w:num>
  <w:num w:numId="5" w16cid:durableId="61025443">
    <w:abstractNumId w:val="2"/>
  </w:num>
  <w:num w:numId="6" w16cid:durableId="1263412833">
    <w:abstractNumId w:val="9"/>
  </w:num>
  <w:num w:numId="7" w16cid:durableId="1649088451">
    <w:abstractNumId w:val="5"/>
  </w:num>
  <w:num w:numId="8" w16cid:durableId="906846413">
    <w:abstractNumId w:val="4"/>
  </w:num>
  <w:num w:numId="9" w16cid:durableId="539629728">
    <w:abstractNumId w:val="1"/>
  </w:num>
  <w:num w:numId="10" w16cid:durableId="190609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oNotHyphenateCaps/>
  <w:drawingGridHorizontalSpacing w:val="78"/>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99"/>
    <w:rsid w:val="00003876"/>
    <w:rsid w:val="000060A5"/>
    <w:rsid w:val="00006819"/>
    <w:rsid w:val="000071C0"/>
    <w:rsid w:val="00017701"/>
    <w:rsid w:val="00017D6B"/>
    <w:rsid w:val="0004328B"/>
    <w:rsid w:val="0004554F"/>
    <w:rsid w:val="00060F4F"/>
    <w:rsid w:val="0006412A"/>
    <w:rsid w:val="00073093"/>
    <w:rsid w:val="0007509B"/>
    <w:rsid w:val="00082198"/>
    <w:rsid w:val="000838F4"/>
    <w:rsid w:val="0009332D"/>
    <w:rsid w:val="000A081C"/>
    <w:rsid w:val="000A3871"/>
    <w:rsid w:val="000B123F"/>
    <w:rsid w:val="000B5931"/>
    <w:rsid w:val="000C099A"/>
    <w:rsid w:val="000C3E71"/>
    <w:rsid w:val="000C59D6"/>
    <w:rsid w:val="000C7AA7"/>
    <w:rsid w:val="000E156F"/>
    <w:rsid w:val="000E1782"/>
    <w:rsid w:val="000E18F2"/>
    <w:rsid w:val="000E2333"/>
    <w:rsid w:val="000E4DAF"/>
    <w:rsid w:val="000E5548"/>
    <w:rsid w:val="000F7340"/>
    <w:rsid w:val="000F7772"/>
    <w:rsid w:val="001037EF"/>
    <w:rsid w:val="00111FD1"/>
    <w:rsid w:val="00113A4F"/>
    <w:rsid w:val="0011722E"/>
    <w:rsid w:val="00117FB5"/>
    <w:rsid w:val="00121787"/>
    <w:rsid w:val="00132B64"/>
    <w:rsid w:val="0013640F"/>
    <w:rsid w:val="001373CF"/>
    <w:rsid w:val="001420E7"/>
    <w:rsid w:val="001514D9"/>
    <w:rsid w:val="0015767D"/>
    <w:rsid w:val="00160390"/>
    <w:rsid w:val="001716DE"/>
    <w:rsid w:val="00187EBB"/>
    <w:rsid w:val="001A7071"/>
    <w:rsid w:val="001C5045"/>
    <w:rsid w:val="001D34D3"/>
    <w:rsid w:val="001F5264"/>
    <w:rsid w:val="001F58D6"/>
    <w:rsid w:val="002045AA"/>
    <w:rsid w:val="00205946"/>
    <w:rsid w:val="002066AC"/>
    <w:rsid w:val="00216A37"/>
    <w:rsid w:val="00217782"/>
    <w:rsid w:val="0022215F"/>
    <w:rsid w:val="00223CB2"/>
    <w:rsid w:val="002476FF"/>
    <w:rsid w:val="00272D1F"/>
    <w:rsid w:val="00290319"/>
    <w:rsid w:val="002A5289"/>
    <w:rsid w:val="002B0A1D"/>
    <w:rsid w:val="002B1955"/>
    <w:rsid w:val="002B242C"/>
    <w:rsid w:val="002C60F9"/>
    <w:rsid w:val="002D3161"/>
    <w:rsid w:val="002E2436"/>
    <w:rsid w:val="002E6466"/>
    <w:rsid w:val="002F260A"/>
    <w:rsid w:val="003053F0"/>
    <w:rsid w:val="00313839"/>
    <w:rsid w:val="0032038B"/>
    <w:rsid w:val="0032660C"/>
    <w:rsid w:val="003417B4"/>
    <w:rsid w:val="00344A5C"/>
    <w:rsid w:val="00347360"/>
    <w:rsid w:val="0036058A"/>
    <w:rsid w:val="00361202"/>
    <w:rsid w:val="00361A84"/>
    <w:rsid w:val="00364028"/>
    <w:rsid w:val="00370BBE"/>
    <w:rsid w:val="00373620"/>
    <w:rsid w:val="003748A6"/>
    <w:rsid w:val="003829E4"/>
    <w:rsid w:val="003831F9"/>
    <w:rsid w:val="0038379D"/>
    <w:rsid w:val="0039218A"/>
    <w:rsid w:val="003A6FE4"/>
    <w:rsid w:val="003B259B"/>
    <w:rsid w:val="003B4C22"/>
    <w:rsid w:val="003B7168"/>
    <w:rsid w:val="003C03AE"/>
    <w:rsid w:val="003E58DC"/>
    <w:rsid w:val="003F6CF9"/>
    <w:rsid w:val="00400561"/>
    <w:rsid w:val="0040057A"/>
    <w:rsid w:val="00400E0B"/>
    <w:rsid w:val="0040683A"/>
    <w:rsid w:val="00411C2A"/>
    <w:rsid w:val="004138BD"/>
    <w:rsid w:val="00417C96"/>
    <w:rsid w:val="00440661"/>
    <w:rsid w:val="00442ABB"/>
    <w:rsid w:val="00444DB0"/>
    <w:rsid w:val="004767E9"/>
    <w:rsid w:val="00485C23"/>
    <w:rsid w:val="00487223"/>
    <w:rsid w:val="00490A36"/>
    <w:rsid w:val="00494354"/>
    <w:rsid w:val="00496C75"/>
    <w:rsid w:val="004A491F"/>
    <w:rsid w:val="004A58B2"/>
    <w:rsid w:val="004B2279"/>
    <w:rsid w:val="004B2517"/>
    <w:rsid w:val="004B4B42"/>
    <w:rsid w:val="004C0E8C"/>
    <w:rsid w:val="004C10D2"/>
    <w:rsid w:val="004C5C85"/>
    <w:rsid w:val="004D12DC"/>
    <w:rsid w:val="004D417D"/>
    <w:rsid w:val="004D7BF6"/>
    <w:rsid w:val="004E0FD9"/>
    <w:rsid w:val="004F14DA"/>
    <w:rsid w:val="004F45B9"/>
    <w:rsid w:val="00517347"/>
    <w:rsid w:val="0052517A"/>
    <w:rsid w:val="00525CDF"/>
    <w:rsid w:val="00532709"/>
    <w:rsid w:val="005336CA"/>
    <w:rsid w:val="005428BC"/>
    <w:rsid w:val="00544464"/>
    <w:rsid w:val="00550107"/>
    <w:rsid w:val="00555C92"/>
    <w:rsid w:val="00555DDF"/>
    <w:rsid w:val="00556637"/>
    <w:rsid w:val="0055684D"/>
    <w:rsid w:val="0056136A"/>
    <w:rsid w:val="00576950"/>
    <w:rsid w:val="00577290"/>
    <w:rsid w:val="00582F1D"/>
    <w:rsid w:val="005844EB"/>
    <w:rsid w:val="00585178"/>
    <w:rsid w:val="005873FE"/>
    <w:rsid w:val="005920FB"/>
    <w:rsid w:val="00592817"/>
    <w:rsid w:val="005944BD"/>
    <w:rsid w:val="00594C27"/>
    <w:rsid w:val="00596CC4"/>
    <w:rsid w:val="005A60AA"/>
    <w:rsid w:val="005A7A88"/>
    <w:rsid w:val="005B25ED"/>
    <w:rsid w:val="005B4FA1"/>
    <w:rsid w:val="005B5CF2"/>
    <w:rsid w:val="005C7390"/>
    <w:rsid w:val="005D3679"/>
    <w:rsid w:val="005E413A"/>
    <w:rsid w:val="005E55EF"/>
    <w:rsid w:val="00605BAC"/>
    <w:rsid w:val="0061079B"/>
    <w:rsid w:val="00611099"/>
    <w:rsid w:val="00612EC0"/>
    <w:rsid w:val="00616E1D"/>
    <w:rsid w:val="006212BE"/>
    <w:rsid w:val="00627815"/>
    <w:rsid w:val="00635744"/>
    <w:rsid w:val="00636A85"/>
    <w:rsid w:val="00636F45"/>
    <w:rsid w:val="00651FAC"/>
    <w:rsid w:val="00656100"/>
    <w:rsid w:val="00661AB7"/>
    <w:rsid w:val="00673F94"/>
    <w:rsid w:val="006756E0"/>
    <w:rsid w:val="006A2FCB"/>
    <w:rsid w:val="006B274A"/>
    <w:rsid w:val="006B6046"/>
    <w:rsid w:val="006B7762"/>
    <w:rsid w:val="006C25EA"/>
    <w:rsid w:val="006C6046"/>
    <w:rsid w:val="006D4068"/>
    <w:rsid w:val="006D56E7"/>
    <w:rsid w:val="006E13E8"/>
    <w:rsid w:val="006E44C2"/>
    <w:rsid w:val="006E5A78"/>
    <w:rsid w:val="006F5668"/>
    <w:rsid w:val="006F797D"/>
    <w:rsid w:val="006F7B8E"/>
    <w:rsid w:val="00716C98"/>
    <w:rsid w:val="00722E6F"/>
    <w:rsid w:val="00723E28"/>
    <w:rsid w:val="0072707A"/>
    <w:rsid w:val="00736D79"/>
    <w:rsid w:val="00741C89"/>
    <w:rsid w:val="007464E8"/>
    <w:rsid w:val="00747C05"/>
    <w:rsid w:val="00763096"/>
    <w:rsid w:val="007717F7"/>
    <w:rsid w:val="007727B7"/>
    <w:rsid w:val="007846D7"/>
    <w:rsid w:val="007B1DC0"/>
    <w:rsid w:val="007B5869"/>
    <w:rsid w:val="007C6600"/>
    <w:rsid w:val="007D63CC"/>
    <w:rsid w:val="00801497"/>
    <w:rsid w:val="008038BE"/>
    <w:rsid w:val="00810288"/>
    <w:rsid w:val="00814742"/>
    <w:rsid w:val="0082028E"/>
    <w:rsid w:val="008275BE"/>
    <w:rsid w:val="008314B1"/>
    <w:rsid w:val="00831818"/>
    <w:rsid w:val="0083413A"/>
    <w:rsid w:val="0085480E"/>
    <w:rsid w:val="008636F5"/>
    <w:rsid w:val="00867F16"/>
    <w:rsid w:val="008728A8"/>
    <w:rsid w:val="00887F0C"/>
    <w:rsid w:val="008919EF"/>
    <w:rsid w:val="00894813"/>
    <w:rsid w:val="00894FAE"/>
    <w:rsid w:val="00897D87"/>
    <w:rsid w:val="008A237B"/>
    <w:rsid w:val="008A7234"/>
    <w:rsid w:val="008B5636"/>
    <w:rsid w:val="008B7358"/>
    <w:rsid w:val="008C04B5"/>
    <w:rsid w:val="008C15FD"/>
    <w:rsid w:val="008D4234"/>
    <w:rsid w:val="008D53EA"/>
    <w:rsid w:val="00914F21"/>
    <w:rsid w:val="009168C9"/>
    <w:rsid w:val="009224DA"/>
    <w:rsid w:val="009260BA"/>
    <w:rsid w:val="00934B73"/>
    <w:rsid w:val="00953A8C"/>
    <w:rsid w:val="00955242"/>
    <w:rsid w:val="00961509"/>
    <w:rsid w:val="00966140"/>
    <w:rsid w:val="009760F6"/>
    <w:rsid w:val="00997F27"/>
    <w:rsid w:val="009A58DA"/>
    <w:rsid w:val="009A5F0E"/>
    <w:rsid w:val="009A77FF"/>
    <w:rsid w:val="009B0190"/>
    <w:rsid w:val="009C4A10"/>
    <w:rsid w:val="009D2555"/>
    <w:rsid w:val="009E168A"/>
    <w:rsid w:val="009F1043"/>
    <w:rsid w:val="009F2361"/>
    <w:rsid w:val="00A1016B"/>
    <w:rsid w:val="00A23014"/>
    <w:rsid w:val="00A315AB"/>
    <w:rsid w:val="00A339C0"/>
    <w:rsid w:val="00A50817"/>
    <w:rsid w:val="00A5090D"/>
    <w:rsid w:val="00A578B7"/>
    <w:rsid w:val="00A777DA"/>
    <w:rsid w:val="00A81B2A"/>
    <w:rsid w:val="00A846F3"/>
    <w:rsid w:val="00A942BD"/>
    <w:rsid w:val="00A95C7E"/>
    <w:rsid w:val="00AA20F8"/>
    <w:rsid w:val="00AB0956"/>
    <w:rsid w:val="00AD7A2A"/>
    <w:rsid w:val="00AE1BA2"/>
    <w:rsid w:val="00AE24D8"/>
    <w:rsid w:val="00AE57A2"/>
    <w:rsid w:val="00AF2E77"/>
    <w:rsid w:val="00AF3EF4"/>
    <w:rsid w:val="00AF6132"/>
    <w:rsid w:val="00AF7E43"/>
    <w:rsid w:val="00B019F0"/>
    <w:rsid w:val="00B0703F"/>
    <w:rsid w:val="00B14E00"/>
    <w:rsid w:val="00B3108A"/>
    <w:rsid w:val="00B46CA6"/>
    <w:rsid w:val="00B50822"/>
    <w:rsid w:val="00B51270"/>
    <w:rsid w:val="00B53EC2"/>
    <w:rsid w:val="00B70EC1"/>
    <w:rsid w:val="00B751A4"/>
    <w:rsid w:val="00B95EE3"/>
    <w:rsid w:val="00BB0EA7"/>
    <w:rsid w:val="00BC11D6"/>
    <w:rsid w:val="00BE506B"/>
    <w:rsid w:val="00C23872"/>
    <w:rsid w:val="00C2545E"/>
    <w:rsid w:val="00C309C1"/>
    <w:rsid w:val="00C30EB9"/>
    <w:rsid w:val="00C412B8"/>
    <w:rsid w:val="00C41D98"/>
    <w:rsid w:val="00C43251"/>
    <w:rsid w:val="00C570F7"/>
    <w:rsid w:val="00C64890"/>
    <w:rsid w:val="00C65DB4"/>
    <w:rsid w:val="00C71B70"/>
    <w:rsid w:val="00C808AB"/>
    <w:rsid w:val="00C85046"/>
    <w:rsid w:val="00C91F57"/>
    <w:rsid w:val="00C94C8B"/>
    <w:rsid w:val="00CC4DCF"/>
    <w:rsid w:val="00CD486D"/>
    <w:rsid w:val="00CD641D"/>
    <w:rsid w:val="00CE438B"/>
    <w:rsid w:val="00CE69FB"/>
    <w:rsid w:val="00CF24A9"/>
    <w:rsid w:val="00CF2AEA"/>
    <w:rsid w:val="00D018B4"/>
    <w:rsid w:val="00D01966"/>
    <w:rsid w:val="00D07470"/>
    <w:rsid w:val="00D14F59"/>
    <w:rsid w:val="00D17B7A"/>
    <w:rsid w:val="00D4373C"/>
    <w:rsid w:val="00D451BA"/>
    <w:rsid w:val="00D47312"/>
    <w:rsid w:val="00D610D2"/>
    <w:rsid w:val="00D80B3C"/>
    <w:rsid w:val="00D85FC8"/>
    <w:rsid w:val="00D902F0"/>
    <w:rsid w:val="00D91EAC"/>
    <w:rsid w:val="00DA5598"/>
    <w:rsid w:val="00DB2244"/>
    <w:rsid w:val="00DB4D03"/>
    <w:rsid w:val="00DB53B5"/>
    <w:rsid w:val="00DB5E3F"/>
    <w:rsid w:val="00DC1559"/>
    <w:rsid w:val="00DC5AA1"/>
    <w:rsid w:val="00DD7599"/>
    <w:rsid w:val="00DE2A24"/>
    <w:rsid w:val="00DE3739"/>
    <w:rsid w:val="00DF16C3"/>
    <w:rsid w:val="00DF7125"/>
    <w:rsid w:val="00DF74F2"/>
    <w:rsid w:val="00E00271"/>
    <w:rsid w:val="00E00F9A"/>
    <w:rsid w:val="00E01E1A"/>
    <w:rsid w:val="00E055E6"/>
    <w:rsid w:val="00E063B1"/>
    <w:rsid w:val="00E12745"/>
    <w:rsid w:val="00E136A4"/>
    <w:rsid w:val="00E14892"/>
    <w:rsid w:val="00E40A75"/>
    <w:rsid w:val="00E445CB"/>
    <w:rsid w:val="00E55372"/>
    <w:rsid w:val="00E62AD1"/>
    <w:rsid w:val="00E65048"/>
    <w:rsid w:val="00E67099"/>
    <w:rsid w:val="00E71C43"/>
    <w:rsid w:val="00E72CCD"/>
    <w:rsid w:val="00E81749"/>
    <w:rsid w:val="00E8465E"/>
    <w:rsid w:val="00EA3721"/>
    <w:rsid w:val="00EC1B3E"/>
    <w:rsid w:val="00ED3749"/>
    <w:rsid w:val="00EE124A"/>
    <w:rsid w:val="00EE7A94"/>
    <w:rsid w:val="00EF48B5"/>
    <w:rsid w:val="00EF5595"/>
    <w:rsid w:val="00EF7A95"/>
    <w:rsid w:val="00F0697B"/>
    <w:rsid w:val="00F15010"/>
    <w:rsid w:val="00F252FD"/>
    <w:rsid w:val="00F25F9B"/>
    <w:rsid w:val="00F35B40"/>
    <w:rsid w:val="00F4022C"/>
    <w:rsid w:val="00F42DC1"/>
    <w:rsid w:val="00F46EC5"/>
    <w:rsid w:val="00F56606"/>
    <w:rsid w:val="00F611BA"/>
    <w:rsid w:val="00F644AA"/>
    <w:rsid w:val="00F657E7"/>
    <w:rsid w:val="00F663D6"/>
    <w:rsid w:val="00F73A83"/>
    <w:rsid w:val="00F81730"/>
    <w:rsid w:val="00F855E6"/>
    <w:rsid w:val="00F8626B"/>
    <w:rsid w:val="00F95862"/>
    <w:rsid w:val="00F978F5"/>
    <w:rsid w:val="00FB7EC9"/>
    <w:rsid w:val="00FC3033"/>
    <w:rsid w:val="00FC3D69"/>
    <w:rsid w:val="00FC6A74"/>
    <w:rsid w:val="00FE0C02"/>
    <w:rsid w:val="00FE0CC4"/>
    <w:rsid w:val="00FE14A2"/>
    <w:rsid w:val="00FE251B"/>
    <w:rsid w:val="00FE7829"/>
    <w:rsid w:val="00FF383A"/>
    <w:rsid w:val="00FF74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D98913"/>
  <w15:chartTrackingRefBased/>
  <w15:docId w15:val="{83ACB44C-9669-4120-AAB7-3A2AFC35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B5931"/>
    <w:rPr>
      <w:rFonts w:ascii="Arial" w:hAnsi="Arial"/>
      <w:szCs w:val="24"/>
      <w:lang w:val="de-DE" w:eastAsia="de-DE"/>
    </w:rPr>
  </w:style>
  <w:style w:type="paragraph" w:styleId="berschrift1">
    <w:name w:val="heading 1"/>
    <w:basedOn w:val="Standard"/>
    <w:next w:val="Standard"/>
    <w:link w:val="berschrift1Zchn"/>
    <w:qFormat/>
    <w:pPr>
      <w:keepNext/>
      <w:framePr w:hSpace="141" w:wrap="around" w:vAnchor="page" w:hAnchor="margin" w:y="681"/>
      <w:tabs>
        <w:tab w:val="left" w:pos="4500"/>
      </w:tabs>
      <w:jc w:val="right"/>
      <w:outlineLvl w:val="0"/>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FF"/>
      <w:u w:val="single"/>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character" w:styleId="Seitenzahl">
    <w:name w:val="page number"/>
    <w:basedOn w:val="Absatz-Standardschriftart"/>
  </w:style>
  <w:style w:type="paragraph" w:styleId="Sprechblasentext">
    <w:name w:val="Balloon Text"/>
    <w:basedOn w:val="Standard"/>
    <w:semiHidden/>
    <w:rsid w:val="00A23014"/>
    <w:rPr>
      <w:rFonts w:ascii="Tahoma" w:hAnsi="Tahoma" w:cs="Tahoma"/>
      <w:sz w:val="16"/>
      <w:szCs w:val="16"/>
    </w:rPr>
  </w:style>
  <w:style w:type="character" w:customStyle="1" w:styleId="FuzeileZchn">
    <w:name w:val="Fußzeile Zchn"/>
    <w:link w:val="Fuzeile"/>
    <w:rsid w:val="002B0A1D"/>
    <w:rPr>
      <w:rFonts w:ascii="Arial" w:hAnsi="Arial"/>
      <w:szCs w:val="24"/>
    </w:rPr>
  </w:style>
  <w:style w:type="table" w:styleId="Tabellenraster">
    <w:name w:val="Table Grid"/>
    <w:basedOn w:val="NormaleTabelle"/>
    <w:uiPriority w:val="59"/>
    <w:rsid w:val="002B0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zugszeile">
    <w:name w:val="Bezugszeile"/>
    <w:basedOn w:val="Standard"/>
    <w:rsid w:val="002B0A1D"/>
    <w:pPr>
      <w:framePr w:hSpace="142" w:wrap="around" w:vAnchor="page" w:hAnchor="margin" w:y="5473"/>
      <w:suppressOverlap/>
    </w:pPr>
    <w:rPr>
      <w:sz w:val="12"/>
      <w:szCs w:val="22"/>
    </w:rPr>
  </w:style>
  <w:style w:type="paragraph" w:customStyle="1" w:styleId="Betreff">
    <w:name w:val="Betreff"/>
    <w:basedOn w:val="Standard"/>
    <w:rsid w:val="002B0A1D"/>
    <w:pPr>
      <w:spacing w:before="480" w:after="360"/>
    </w:pPr>
    <w:rPr>
      <w:b/>
      <w:sz w:val="16"/>
      <w:szCs w:val="22"/>
    </w:rPr>
  </w:style>
  <w:style w:type="character" w:styleId="Kommentarzeichen">
    <w:name w:val="annotation reference"/>
    <w:rsid w:val="008636F5"/>
    <w:rPr>
      <w:sz w:val="16"/>
      <w:szCs w:val="16"/>
    </w:rPr>
  </w:style>
  <w:style w:type="paragraph" w:styleId="Kommentartext">
    <w:name w:val="annotation text"/>
    <w:basedOn w:val="Standard"/>
    <w:link w:val="KommentartextZchn"/>
    <w:rsid w:val="008636F5"/>
    <w:rPr>
      <w:szCs w:val="20"/>
    </w:rPr>
  </w:style>
  <w:style w:type="character" w:customStyle="1" w:styleId="KommentartextZchn">
    <w:name w:val="Kommentartext Zchn"/>
    <w:link w:val="Kommentartext"/>
    <w:rsid w:val="008636F5"/>
    <w:rPr>
      <w:rFonts w:ascii="Arial" w:hAnsi="Arial"/>
    </w:rPr>
  </w:style>
  <w:style w:type="paragraph" w:styleId="Kommentarthema">
    <w:name w:val="annotation subject"/>
    <w:basedOn w:val="Kommentartext"/>
    <w:next w:val="Kommentartext"/>
    <w:link w:val="KommentarthemaZchn"/>
    <w:rsid w:val="008636F5"/>
    <w:rPr>
      <w:b/>
      <w:bCs/>
    </w:rPr>
  </w:style>
  <w:style w:type="character" w:customStyle="1" w:styleId="KommentarthemaZchn">
    <w:name w:val="Kommentarthema Zchn"/>
    <w:link w:val="Kommentarthema"/>
    <w:rsid w:val="008636F5"/>
    <w:rPr>
      <w:rFonts w:ascii="Arial" w:hAnsi="Arial"/>
      <w:b/>
      <w:bCs/>
    </w:rPr>
  </w:style>
  <w:style w:type="paragraph" w:customStyle="1" w:styleId="Default">
    <w:name w:val="Default"/>
    <w:rsid w:val="008636F5"/>
    <w:pPr>
      <w:autoSpaceDE w:val="0"/>
      <w:autoSpaceDN w:val="0"/>
      <w:adjustRightInd w:val="0"/>
    </w:pPr>
    <w:rPr>
      <w:rFonts w:ascii="Corbel" w:hAnsi="Corbel" w:cs="Corbel"/>
      <w:color w:val="000000"/>
      <w:sz w:val="24"/>
      <w:szCs w:val="24"/>
      <w:lang w:val="de-DE" w:eastAsia="de-DE"/>
    </w:rPr>
  </w:style>
  <w:style w:type="character" w:customStyle="1" w:styleId="fits-Hedding">
    <w:name w:val="fits-Hedding"/>
    <w:uiPriority w:val="1"/>
    <w:qFormat/>
    <w:rsid w:val="00CE69FB"/>
    <w:rPr>
      <w:rFonts w:ascii="Microsoft New Tai Lue" w:hAnsi="Microsoft New Tai Lue" w:cs="Microsoft New Tai Lue"/>
      <w:sz w:val="22"/>
      <w:szCs w:val="22"/>
      <w:lang w:val="en-GB"/>
    </w:rPr>
  </w:style>
  <w:style w:type="character" w:customStyle="1" w:styleId="berschrift1Zchn">
    <w:name w:val="Überschrift 1 Zchn"/>
    <w:link w:val="berschrift1"/>
    <w:rsid w:val="004767E9"/>
    <w:rPr>
      <w:rFonts w:ascii="Arial" w:hAnsi="Arial"/>
      <w:b/>
      <w:szCs w:val="24"/>
    </w:rPr>
  </w:style>
  <w:style w:type="paragraph" w:customStyle="1" w:styleId="bodytext">
    <w:name w:val="bodytext"/>
    <w:basedOn w:val="Standard"/>
    <w:rsid w:val="00E67099"/>
    <w:pPr>
      <w:spacing w:before="100" w:beforeAutospacing="1" w:after="100" w:afterAutospacing="1"/>
    </w:pPr>
    <w:rPr>
      <w:rFonts w:ascii="Times New Roman" w:hAnsi="Times New Roman"/>
      <w:sz w:val="24"/>
    </w:rPr>
  </w:style>
  <w:style w:type="table" w:customStyle="1" w:styleId="Tabellenraster1">
    <w:name w:val="Tabellenraster1"/>
    <w:basedOn w:val="NormaleTabelle"/>
    <w:next w:val="Tabellenraster"/>
    <w:uiPriority w:val="39"/>
    <w:rsid w:val="0040683A"/>
    <w:rPr>
      <w:rFonts w:ascii="Calibri" w:eastAsia="Calibri" w:hAnsi="Calibri" w:cs="Arial"/>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ichtaufgelsteErwhnung">
    <w:name w:val="Unresolved Mention"/>
    <w:uiPriority w:val="99"/>
    <w:semiHidden/>
    <w:unhideWhenUsed/>
    <w:rsid w:val="00AE24D8"/>
    <w:rPr>
      <w:color w:val="605E5C"/>
      <w:shd w:val="clear" w:color="auto" w:fill="E1DFDD"/>
    </w:rPr>
  </w:style>
  <w:style w:type="character" w:styleId="Platzhaltertext">
    <w:name w:val="Placeholder Text"/>
    <w:basedOn w:val="Absatz-Standardschriftart"/>
    <w:uiPriority w:val="99"/>
    <w:semiHidden/>
    <w:rsid w:val="00E72CCD"/>
    <w:rPr>
      <w:color w:val="808080"/>
    </w:rPr>
  </w:style>
  <w:style w:type="paragraph" w:styleId="KeinLeerraum">
    <w:name w:val="No Spacing"/>
    <w:uiPriority w:val="1"/>
    <w:qFormat/>
    <w:rsid w:val="00160390"/>
    <w:rPr>
      <w:rFonts w:ascii="Calibri" w:eastAsia="Calibri" w:hAnsi="Calibri"/>
      <w:sz w:val="22"/>
      <w:szCs w:val="22"/>
      <w:lang w:val="en-GB"/>
    </w:rPr>
  </w:style>
  <w:style w:type="table" w:styleId="EinfacheTabelle4">
    <w:name w:val="Plain Table 4"/>
    <w:basedOn w:val="NormaleTabelle"/>
    <w:uiPriority w:val="44"/>
    <w:rsid w:val="00C65D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iteraturverzeichnis1">
    <w:name w:val="Literaturverzeichnis1"/>
    <w:basedOn w:val="Standard"/>
    <w:link w:val="BibliographyZchn"/>
    <w:rsid w:val="00C808AB"/>
    <w:pPr>
      <w:suppressAutoHyphens/>
      <w:spacing w:line="480" w:lineRule="auto"/>
      <w:ind w:left="720" w:hanging="720"/>
    </w:pPr>
    <w:rPr>
      <w:rFonts w:eastAsia="Calibri" w:cs="Arial"/>
      <w:sz w:val="21"/>
      <w:szCs w:val="21"/>
      <w:lang w:val="en-US" w:eastAsia="en-US"/>
    </w:rPr>
  </w:style>
  <w:style w:type="character" w:customStyle="1" w:styleId="BibliographyZchn">
    <w:name w:val="Bibliography Zchn"/>
    <w:basedOn w:val="Absatz-Standardschriftart"/>
    <w:link w:val="Literaturverzeichnis1"/>
    <w:rsid w:val="00C808AB"/>
    <w:rPr>
      <w:rFonts w:ascii="Arial" w:eastAsia="Calibri" w:hAnsi="Arial" w:cs="Arial"/>
      <w:sz w:val="21"/>
      <w:szCs w:val="21"/>
    </w:rPr>
  </w:style>
  <w:style w:type="paragraph" w:styleId="Literaturverzeichnis">
    <w:name w:val="Bibliography"/>
    <w:basedOn w:val="Standard"/>
    <w:next w:val="Standard"/>
    <w:uiPriority w:val="37"/>
    <w:unhideWhenUsed/>
    <w:rsid w:val="00E01E1A"/>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3177">
      <w:bodyDiv w:val="1"/>
      <w:marLeft w:val="0"/>
      <w:marRight w:val="0"/>
      <w:marTop w:val="0"/>
      <w:marBottom w:val="0"/>
      <w:divBdr>
        <w:top w:val="none" w:sz="0" w:space="0" w:color="auto"/>
        <w:left w:val="none" w:sz="0" w:space="0" w:color="auto"/>
        <w:bottom w:val="none" w:sz="0" w:space="0" w:color="auto"/>
        <w:right w:val="none" w:sz="0" w:space="0" w:color="auto"/>
      </w:divBdr>
      <w:divsChild>
        <w:div w:id="1583637608">
          <w:marLeft w:val="0"/>
          <w:marRight w:val="0"/>
          <w:marTop w:val="0"/>
          <w:marBottom w:val="0"/>
          <w:divBdr>
            <w:top w:val="none" w:sz="0" w:space="0" w:color="auto"/>
            <w:left w:val="none" w:sz="0" w:space="0" w:color="auto"/>
            <w:bottom w:val="none" w:sz="0" w:space="0" w:color="auto"/>
            <w:right w:val="none" w:sz="0" w:space="0" w:color="auto"/>
          </w:divBdr>
          <w:divsChild>
            <w:div w:id="398791957">
              <w:marLeft w:val="0"/>
              <w:marRight w:val="0"/>
              <w:marTop w:val="0"/>
              <w:marBottom w:val="0"/>
              <w:divBdr>
                <w:top w:val="none" w:sz="0" w:space="0" w:color="auto"/>
                <w:left w:val="none" w:sz="0" w:space="0" w:color="auto"/>
                <w:bottom w:val="none" w:sz="0" w:space="0" w:color="auto"/>
                <w:right w:val="none" w:sz="0" w:space="0" w:color="auto"/>
              </w:divBdr>
            </w:div>
            <w:div w:id="13459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539">
      <w:bodyDiv w:val="1"/>
      <w:marLeft w:val="0"/>
      <w:marRight w:val="0"/>
      <w:marTop w:val="0"/>
      <w:marBottom w:val="0"/>
      <w:divBdr>
        <w:top w:val="none" w:sz="0" w:space="0" w:color="auto"/>
        <w:left w:val="none" w:sz="0" w:space="0" w:color="auto"/>
        <w:bottom w:val="none" w:sz="0" w:space="0" w:color="auto"/>
        <w:right w:val="none" w:sz="0" w:space="0" w:color="auto"/>
      </w:divBdr>
    </w:div>
    <w:div w:id="599264448">
      <w:bodyDiv w:val="1"/>
      <w:marLeft w:val="0"/>
      <w:marRight w:val="0"/>
      <w:marTop w:val="0"/>
      <w:marBottom w:val="0"/>
      <w:divBdr>
        <w:top w:val="none" w:sz="0" w:space="0" w:color="auto"/>
        <w:left w:val="none" w:sz="0" w:space="0" w:color="auto"/>
        <w:bottom w:val="none" w:sz="0" w:space="0" w:color="auto"/>
        <w:right w:val="none" w:sz="0" w:space="0" w:color="auto"/>
      </w:divBdr>
    </w:div>
    <w:div w:id="876041408">
      <w:bodyDiv w:val="1"/>
      <w:marLeft w:val="0"/>
      <w:marRight w:val="0"/>
      <w:marTop w:val="0"/>
      <w:marBottom w:val="0"/>
      <w:divBdr>
        <w:top w:val="none" w:sz="0" w:space="0" w:color="auto"/>
        <w:left w:val="none" w:sz="0" w:space="0" w:color="auto"/>
        <w:bottom w:val="none" w:sz="0" w:space="0" w:color="auto"/>
        <w:right w:val="none" w:sz="0" w:space="0" w:color="auto"/>
      </w:divBdr>
    </w:div>
    <w:div w:id="909390024">
      <w:bodyDiv w:val="1"/>
      <w:marLeft w:val="0"/>
      <w:marRight w:val="0"/>
      <w:marTop w:val="0"/>
      <w:marBottom w:val="0"/>
      <w:divBdr>
        <w:top w:val="none" w:sz="0" w:space="0" w:color="auto"/>
        <w:left w:val="none" w:sz="0" w:space="0" w:color="auto"/>
        <w:bottom w:val="none" w:sz="0" w:space="0" w:color="auto"/>
        <w:right w:val="none" w:sz="0" w:space="0" w:color="auto"/>
      </w:divBdr>
      <w:divsChild>
        <w:div w:id="107165781">
          <w:marLeft w:val="0"/>
          <w:marRight w:val="0"/>
          <w:marTop w:val="0"/>
          <w:marBottom w:val="0"/>
          <w:divBdr>
            <w:top w:val="none" w:sz="0" w:space="0" w:color="auto"/>
            <w:left w:val="none" w:sz="0" w:space="0" w:color="auto"/>
            <w:bottom w:val="none" w:sz="0" w:space="0" w:color="auto"/>
            <w:right w:val="none" w:sz="0" w:space="0" w:color="auto"/>
          </w:divBdr>
        </w:div>
        <w:div w:id="819884552">
          <w:marLeft w:val="0"/>
          <w:marRight w:val="0"/>
          <w:marTop w:val="0"/>
          <w:marBottom w:val="0"/>
          <w:divBdr>
            <w:top w:val="none" w:sz="0" w:space="0" w:color="auto"/>
            <w:left w:val="none" w:sz="0" w:space="0" w:color="auto"/>
            <w:bottom w:val="none" w:sz="0" w:space="0" w:color="auto"/>
            <w:right w:val="none" w:sz="0" w:space="0" w:color="auto"/>
          </w:divBdr>
        </w:div>
      </w:divsChild>
    </w:div>
    <w:div w:id="989404876">
      <w:bodyDiv w:val="1"/>
      <w:marLeft w:val="0"/>
      <w:marRight w:val="0"/>
      <w:marTop w:val="0"/>
      <w:marBottom w:val="0"/>
      <w:divBdr>
        <w:top w:val="none" w:sz="0" w:space="0" w:color="auto"/>
        <w:left w:val="none" w:sz="0" w:space="0" w:color="auto"/>
        <w:bottom w:val="none" w:sz="0" w:space="0" w:color="auto"/>
        <w:right w:val="none" w:sz="0" w:space="0" w:color="auto"/>
      </w:divBdr>
      <w:divsChild>
        <w:div w:id="196309525">
          <w:marLeft w:val="360"/>
          <w:marRight w:val="0"/>
          <w:marTop w:val="120"/>
          <w:marBottom w:val="0"/>
          <w:divBdr>
            <w:top w:val="none" w:sz="0" w:space="0" w:color="auto"/>
            <w:left w:val="none" w:sz="0" w:space="0" w:color="auto"/>
            <w:bottom w:val="none" w:sz="0" w:space="0" w:color="auto"/>
            <w:right w:val="none" w:sz="0" w:space="0" w:color="auto"/>
          </w:divBdr>
        </w:div>
        <w:div w:id="229969937">
          <w:marLeft w:val="360"/>
          <w:marRight w:val="0"/>
          <w:marTop w:val="120"/>
          <w:marBottom w:val="0"/>
          <w:divBdr>
            <w:top w:val="none" w:sz="0" w:space="0" w:color="auto"/>
            <w:left w:val="none" w:sz="0" w:space="0" w:color="auto"/>
            <w:bottom w:val="none" w:sz="0" w:space="0" w:color="auto"/>
            <w:right w:val="none" w:sz="0" w:space="0" w:color="auto"/>
          </w:divBdr>
        </w:div>
        <w:div w:id="417751502">
          <w:marLeft w:val="360"/>
          <w:marRight w:val="0"/>
          <w:marTop w:val="120"/>
          <w:marBottom w:val="0"/>
          <w:divBdr>
            <w:top w:val="none" w:sz="0" w:space="0" w:color="auto"/>
            <w:left w:val="none" w:sz="0" w:space="0" w:color="auto"/>
            <w:bottom w:val="none" w:sz="0" w:space="0" w:color="auto"/>
            <w:right w:val="none" w:sz="0" w:space="0" w:color="auto"/>
          </w:divBdr>
        </w:div>
        <w:div w:id="855654702">
          <w:marLeft w:val="360"/>
          <w:marRight w:val="0"/>
          <w:marTop w:val="120"/>
          <w:marBottom w:val="0"/>
          <w:divBdr>
            <w:top w:val="none" w:sz="0" w:space="0" w:color="auto"/>
            <w:left w:val="none" w:sz="0" w:space="0" w:color="auto"/>
            <w:bottom w:val="none" w:sz="0" w:space="0" w:color="auto"/>
            <w:right w:val="none" w:sz="0" w:space="0" w:color="auto"/>
          </w:divBdr>
        </w:div>
        <w:div w:id="1182085438">
          <w:marLeft w:val="360"/>
          <w:marRight w:val="0"/>
          <w:marTop w:val="120"/>
          <w:marBottom w:val="0"/>
          <w:divBdr>
            <w:top w:val="none" w:sz="0" w:space="0" w:color="auto"/>
            <w:left w:val="none" w:sz="0" w:space="0" w:color="auto"/>
            <w:bottom w:val="none" w:sz="0" w:space="0" w:color="auto"/>
            <w:right w:val="none" w:sz="0" w:space="0" w:color="auto"/>
          </w:divBdr>
        </w:div>
        <w:div w:id="1657562315">
          <w:marLeft w:val="360"/>
          <w:marRight w:val="0"/>
          <w:marTop w:val="120"/>
          <w:marBottom w:val="0"/>
          <w:divBdr>
            <w:top w:val="none" w:sz="0" w:space="0" w:color="auto"/>
            <w:left w:val="none" w:sz="0" w:space="0" w:color="auto"/>
            <w:bottom w:val="none" w:sz="0" w:space="0" w:color="auto"/>
            <w:right w:val="none" w:sz="0" w:space="0" w:color="auto"/>
          </w:divBdr>
        </w:div>
        <w:div w:id="1686785213">
          <w:marLeft w:val="360"/>
          <w:marRight w:val="0"/>
          <w:marTop w:val="120"/>
          <w:marBottom w:val="0"/>
          <w:divBdr>
            <w:top w:val="none" w:sz="0" w:space="0" w:color="auto"/>
            <w:left w:val="none" w:sz="0" w:space="0" w:color="auto"/>
            <w:bottom w:val="none" w:sz="0" w:space="0" w:color="auto"/>
            <w:right w:val="none" w:sz="0" w:space="0" w:color="auto"/>
          </w:divBdr>
        </w:div>
        <w:div w:id="1892769824">
          <w:marLeft w:val="360"/>
          <w:marRight w:val="0"/>
          <w:marTop w:val="120"/>
          <w:marBottom w:val="0"/>
          <w:divBdr>
            <w:top w:val="none" w:sz="0" w:space="0" w:color="auto"/>
            <w:left w:val="none" w:sz="0" w:space="0" w:color="auto"/>
            <w:bottom w:val="none" w:sz="0" w:space="0" w:color="auto"/>
            <w:right w:val="none" w:sz="0" w:space="0" w:color="auto"/>
          </w:divBdr>
        </w:div>
      </w:divsChild>
    </w:div>
    <w:div w:id="1058674035">
      <w:bodyDiv w:val="1"/>
      <w:marLeft w:val="0"/>
      <w:marRight w:val="0"/>
      <w:marTop w:val="0"/>
      <w:marBottom w:val="0"/>
      <w:divBdr>
        <w:top w:val="none" w:sz="0" w:space="0" w:color="auto"/>
        <w:left w:val="none" w:sz="0" w:space="0" w:color="auto"/>
        <w:bottom w:val="none" w:sz="0" w:space="0" w:color="auto"/>
        <w:right w:val="none" w:sz="0" w:space="0" w:color="auto"/>
      </w:divBdr>
      <w:divsChild>
        <w:div w:id="326593992">
          <w:marLeft w:val="0"/>
          <w:marRight w:val="0"/>
          <w:marTop w:val="0"/>
          <w:marBottom w:val="0"/>
          <w:divBdr>
            <w:top w:val="none" w:sz="0" w:space="0" w:color="auto"/>
            <w:left w:val="none" w:sz="0" w:space="0" w:color="auto"/>
            <w:bottom w:val="none" w:sz="0" w:space="0" w:color="auto"/>
            <w:right w:val="none" w:sz="0" w:space="0" w:color="auto"/>
          </w:divBdr>
        </w:div>
        <w:div w:id="1764909924">
          <w:marLeft w:val="0"/>
          <w:marRight w:val="0"/>
          <w:marTop w:val="0"/>
          <w:marBottom w:val="0"/>
          <w:divBdr>
            <w:top w:val="none" w:sz="0" w:space="0" w:color="auto"/>
            <w:left w:val="none" w:sz="0" w:space="0" w:color="auto"/>
            <w:bottom w:val="none" w:sz="0" w:space="0" w:color="auto"/>
            <w:right w:val="none" w:sz="0" w:space="0" w:color="auto"/>
          </w:divBdr>
        </w:div>
      </w:divsChild>
    </w:div>
    <w:div w:id="1395852401">
      <w:bodyDiv w:val="1"/>
      <w:marLeft w:val="0"/>
      <w:marRight w:val="0"/>
      <w:marTop w:val="0"/>
      <w:marBottom w:val="0"/>
      <w:divBdr>
        <w:top w:val="none" w:sz="0" w:space="0" w:color="auto"/>
        <w:left w:val="none" w:sz="0" w:space="0" w:color="auto"/>
        <w:bottom w:val="none" w:sz="0" w:space="0" w:color="auto"/>
        <w:right w:val="none" w:sz="0" w:space="0" w:color="auto"/>
      </w:divBdr>
      <w:divsChild>
        <w:div w:id="1615096832">
          <w:marLeft w:val="360"/>
          <w:marRight w:val="0"/>
          <w:marTop w:val="120"/>
          <w:marBottom w:val="0"/>
          <w:divBdr>
            <w:top w:val="none" w:sz="0" w:space="0" w:color="auto"/>
            <w:left w:val="none" w:sz="0" w:space="0" w:color="auto"/>
            <w:bottom w:val="none" w:sz="0" w:space="0" w:color="auto"/>
            <w:right w:val="none" w:sz="0" w:space="0" w:color="auto"/>
          </w:divBdr>
        </w:div>
      </w:divsChild>
    </w:div>
    <w:div w:id="1875188773">
      <w:bodyDiv w:val="1"/>
      <w:marLeft w:val="0"/>
      <w:marRight w:val="0"/>
      <w:marTop w:val="0"/>
      <w:marBottom w:val="0"/>
      <w:divBdr>
        <w:top w:val="none" w:sz="0" w:space="0" w:color="auto"/>
        <w:left w:val="none" w:sz="0" w:space="0" w:color="auto"/>
        <w:bottom w:val="none" w:sz="0" w:space="0" w:color="auto"/>
        <w:right w:val="none" w:sz="0" w:space="0" w:color="auto"/>
      </w:divBdr>
    </w:div>
    <w:div w:id="201799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g22id\Documents\Benutzerdefinierte%20Office-Vorlagen\Brief_deutsch_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AD2E32-EEE7-42C9-A492-05D5D85C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Brief_deutsch_Vorlage.dotx</Template>
  <TotalTime>0</TotalTime>
  <Pages>3</Pages>
  <Words>5008</Words>
  <Characters>28551</Characters>
  <Application>Microsoft Office Word</Application>
  <DocSecurity>0</DocSecurity>
  <Lines>237</Lines>
  <Paragraphs>66</Paragraphs>
  <ScaleCrop>false</ScaleCrop>
  <HeadingPairs>
    <vt:vector size="2" baseType="variant">
      <vt:variant>
        <vt:lpstr>Titel</vt:lpstr>
      </vt:variant>
      <vt:variant>
        <vt:i4>1</vt:i4>
      </vt:variant>
    </vt:vector>
  </HeadingPairs>
  <TitlesOfParts>
    <vt:vector size="1" baseType="lpstr">
      <vt:lpstr> </vt:lpstr>
    </vt:vector>
  </TitlesOfParts>
  <Company>Universitaet Wuerzburg</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Sabrina Gado</dc:creator>
  <cp:keywords/>
  <dc:description/>
  <cp:lastModifiedBy>Yannik Stegmann</cp:lastModifiedBy>
  <cp:revision>2</cp:revision>
  <cp:lastPrinted>2023-01-05T03:06:00Z</cp:lastPrinted>
  <dcterms:created xsi:type="dcterms:W3CDTF">2023-07-12T08:48:00Z</dcterms:created>
  <dcterms:modified xsi:type="dcterms:W3CDTF">2023-07-12T08:48:00Z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8c92479e3f22c5b8a94aa8731d83de0b043f68980e2e45c05ca4b4d0a7503653</vt:lpwstr>
  </property>
  <property fmtid="{D5CDD505-2E9C-101B-9397-08002B2CF9AE}" pid="3" name="ZOTERO_PREF_1">
    <vt:lpwstr>&lt;data data-version="3" zotero-version="6.0.23"&gt;&lt;session id="mPgJq2Nu"/&gt;&lt;style id="http://www.zotero.org/styles/deutsche-gesellschaft-fur-psychologie" hasBibliography="1" bibliographyStyleHasBeenSet="1"/&gt;&lt;prefs&gt;&lt;pref name="fieldType" value="Field"/&gt;&lt;/prefs</vt:lpwstr>
  </property>
  <property fmtid="{D5CDD505-2E9C-101B-9397-08002B2CF9AE}" pid="4" name="ZOTERO_PREF_2">
    <vt:lpwstr>&gt;&lt;/data&gt;</vt:lpwstr>
  </property>
</Properties>
</file>