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RQ1: Logistic Regression — Dropout by Condition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961"/>
        <w:gridCol w:w="1756"/>
        <w:gridCol w:w="102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[1.606, 2.413]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[0.702,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[0.776, 1.375]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[0.903, 1.627]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Estimated Marginal Means (predicted dropout probability)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523"/>
        <w:gridCol w:w="175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Pr(dropout)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[0.6, 0.695]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[0.624, 0.713]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[0.658, 0.746]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[0.616, 0.707]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 (odds ratios)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1377"/>
        <w:gridCol w:w="961"/>
        <w:gridCol w:w="1523"/>
        <w:gridCol w:w="1560"/>
        <w:gridCol w:w="96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2026-06-17T16:18:02Z</dcterms:modified>
  <cp:category/>
</cp:coreProperties>
</file>