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RQ4: Dropout Reasons</w:t>
      </w:r>
    </w:p>
    <w:p>
      <w:pPr>
        <w:pStyle w:val="Normal"/>
      </w:pPr>
      <w:r>
        <w:t xml:space="preserve">Note: behavioral CSVs record only a binary 'terminatedByUser' flag (N = 66). The preregistered categorical reasons are in a separate in-app export if available.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1"/>
        <w:gridCol w:w="1695"/>
        <w:gridCol w:w="1071"/>
        <w:gridCol w:w="1402"/>
        <w:gridCol w:w="1988"/>
        <w:gridCol w:w="1548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n_terminated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n_dropout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pct_of_dropouts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pct_of_total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sabrinanorwood</cp:lastModifiedBy>
  <cp:revision>9</cp:revision>
  <dcterms:created xsi:type="dcterms:W3CDTF">2017-02-28T11:18:00Z</dcterms:created>
  <dcterms:modified xsi:type="dcterms:W3CDTF">2026-04-24T13:36:50Z</dcterms:modified>
  <cp:category/>
</cp:coreProperties>
</file>