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9.0" w:type="dxa"/>
        <w:jc w:val="left"/>
        <w:tblInd w:w="0.0" w:type="dxa"/>
        <w:tblLayout w:type="fixed"/>
        <w:tblLook w:val="0400"/>
      </w:tblPr>
      <w:tblGrid>
        <w:gridCol w:w="1961"/>
        <w:gridCol w:w="7038"/>
        <w:tblGridChange w:id="0">
          <w:tblGrid>
            <w:gridCol w:w="1961"/>
            <w:gridCol w:w="7038"/>
          </w:tblGrid>
        </w:tblGridChange>
      </w:tblGrid>
      <w:tr>
        <w:trPr>
          <w:trHeight w:val="560" w:hRule="atLeast"/>
        </w:trPr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shd w:fill="c2d69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2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Definição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Comanda</w:t>
            </w:r>
          </w:p>
        </w:tc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Espécie de lista, bloco, caderno ou formulário de papel que contém os pedidos anotados.</w:t>
            </w:r>
          </w:p>
        </w:tc>
      </w:tr>
      <w:tr>
        <w:trPr>
          <w:trHeight w:val="1060" w:hRule="atLeast"/>
        </w:trPr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baixa</w:t>
            </w:r>
          </w:p>
        </w:tc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 de finalizar um pedido feito pelo cliente, normalmente utilizando a comanda gerada.</w:t>
            </w:r>
          </w:p>
        </w:tc>
      </w:tr>
      <w:tr>
        <w:trPr>
          <w:trHeight w:val="1060" w:hRule="atLeast"/>
        </w:trPr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Relatório de Venda</w:t>
            </w:r>
          </w:p>
        </w:tc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constam informações referentes ao volume de vendas realizadas, a receita gerada, o ticket médio e muito mais. A partir deste relatório é possível levantar informações e dados para aumentar as vendas.</w:t>
            </w:r>
          </w:p>
        </w:tc>
      </w:tr>
      <w:tr>
        <w:trPr>
          <w:trHeight w:val="1340" w:hRule="atLeast"/>
        </w:trPr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Estoque</w:t>
            </w:r>
          </w:p>
        </w:tc>
        <w:tc>
          <w:tcPr>
            <w:tcBorders>
              <w:top w:color="9bbb59" w:space="0" w:sz="12" w:val="single"/>
              <w:left w:color="9bbb59" w:space="0" w:sz="12" w:val="single"/>
              <w:bottom w:color="9bbb59" w:space="0" w:sz="12" w:val="single"/>
              <w:right w:color="9bbb59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estoque consiste em realizar a gestão de itens, ou seja, registrar o fluxo de mercadorias, tanto as que entram como as que saem.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