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RN-000</w:t>
      </w:r>
      <w:r>
        <w:rPr>
          <w:b/>
          <w:sz w:val="28"/>
          <w:szCs w:val="28"/>
        </w:rPr>
        <w:t>1: Se o pedido ultrapassar o tempo estimado pela pizzaria, a taxa de entrega deverá ser sem custo.</w:t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RN-0002: Taxa fixa de entrega tem o custo de R$3,00.</w:t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RN-0003: Ultrapassando o raio de 3km a taxa de entrega fixa é aumentada.</w:t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 xml:space="preserve">RN-0004: </w:t>
      </w:r>
      <w:r>
        <w:rPr>
          <w:b/>
          <w:sz w:val="28"/>
          <w:szCs w:val="28"/>
        </w:rPr>
        <w:t>Entre terça-feira a quinta-feira as taxas de entrega são sem custo.</w:t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RN-0005: Na compra de duas pizza grandes e ganhe um broto de chocolate.</w:t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RN-0006: Como estimulo aos entregadores, chegando antes das 17h30 ele ganha uma bonificação de R$10,00.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81</Words>
  <Characters>403</Characters>
  <CharactersWithSpaces>478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2020-05-17T15:32:08Z</dcterms:modified>
  <cp:revision>1</cp:revision>
  <dc:subject/>
  <dc:title/>
</cp:coreProperties>
</file>