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4DFD3" w14:textId="2A586E09" w:rsidR="008F4794" w:rsidRDefault="008F4794" w:rsidP="00DD5997">
      <w:pPr>
        <w:spacing w:line="480" w:lineRule="auto"/>
        <w:rPr>
          <w:rFonts w:ascii="Times New Roman" w:hAnsi="Times New Roman" w:cs="Times New Roman"/>
        </w:rPr>
      </w:pPr>
      <w:r>
        <w:rPr>
          <w:rFonts w:ascii="Times New Roman" w:hAnsi="Times New Roman" w:cs="Times New Roman"/>
        </w:rPr>
        <w:t>Sabrina Simmons</w:t>
      </w:r>
    </w:p>
    <w:p w14:paraId="2045A456" w14:textId="1A2837D2" w:rsidR="008F4794" w:rsidRDefault="008F4794" w:rsidP="00DD5997">
      <w:pPr>
        <w:spacing w:line="480" w:lineRule="auto"/>
        <w:rPr>
          <w:rFonts w:ascii="Times New Roman" w:hAnsi="Times New Roman" w:cs="Times New Roman"/>
        </w:rPr>
      </w:pPr>
      <w:r>
        <w:rPr>
          <w:rFonts w:ascii="Times New Roman" w:hAnsi="Times New Roman" w:cs="Times New Roman"/>
        </w:rPr>
        <w:t>CS-330</w:t>
      </w:r>
    </w:p>
    <w:p w14:paraId="4BEE3D10" w14:textId="31104626" w:rsidR="008F4794" w:rsidRDefault="008F4794" w:rsidP="00DD5997">
      <w:pPr>
        <w:spacing w:line="480" w:lineRule="auto"/>
        <w:rPr>
          <w:rFonts w:ascii="Times New Roman" w:hAnsi="Times New Roman" w:cs="Times New Roman"/>
        </w:rPr>
      </w:pPr>
      <w:r>
        <w:rPr>
          <w:rFonts w:ascii="Times New Roman" w:hAnsi="Times New Roman" w:cs="Times New Roman"/>
        </w:rPr>
        <w:t>Instructor: Brian Battersby</w:t>
      </w:r>
    </w:p>
    <w:p w14:paraId="05D98DA7" w14:textId="77777777" w:rsidR="008F4794" w:rsidRDefault="008F4794" w:rsidP="00DD5997">
      <w:pPr>
        <w:spacing w:line="480" w:lineRule="auto"/>
        <w:rPr>
          <w:rFonts w:ascii="Times New Roman" w:hAnsi="Times New Roman" w:cs="Times New Roman"/>
        </w:rPr>
      </w:pPr>
    </w:p>
    <w:p w14:paraId="6C7DE3B7" w14:textId="06A7DD80" w:rsidR="008F4794" w:rsidRDefault="008F4794" w:rsidP="00DD5997">
      <w:pPr>
        <w:spacing w:line="480" w:lineRule="auto"/>
        <w:jc w:val="center"/>
        <w:rPr>
          <w:rFonts w:ascii="Times New Roman" w:hAnsi="Times New Roman" w:cs="Times New Roman"/>
          <w:b/>
          <w:bCs/>
        </w:rPr>
      </w:pPr>
      <w:r w:rsidRPr="008F4794">
        <w:rPr>
          <w:rFonts w:ascii="Times New Roman" w:hAnsi="Times New Roman" w:cs="Times New Roman"/>
          <w:b/>
          <w:bCs/>
        </w:rPr>
        <w:t>7-1 Final Project: Design Decisions</w:t>
      </w:r>
    </w:p>
    <w:p w14:paraId="6ACB35C8" w14:textId="77777777" w:rsidR="00B80118" w:rsidRPr="00B80118" w:rsidRDefault="00B80118" w:rsidP="00DD5997">
      <w:pPr>
        <w:spacing w:line="480" w:lineRule="auto"/>
        <w:rPr>
          <w:rFonts w:ascii="Times New Roman" w:hAnsi="Times New Roman" w:cs="Times New Roman"/>
          <w:b/>
          <w:bCs/>
        </w:rPr>
      </w:pPr>
      <w:r w:rsidRPr="00B80118">
        <w:rPr>
          <w:rFonts w:ascii="Times New Roman" w:hAnsi="Times New Roman" w:cs="Times New Roman"/>
          <w:b/>
          <w:bCs/>
        </w:rPr>
        <w:t>Development Choices</w:t>
      </w:r>
    </w:p>
    <w:p w14:paraId="4F167EA0" w14:textId="25916167" w:rsidR="00671E1A" w:rsidRPr="00671E1A" w:rsidRDefault="006D46B9" w:rsidP="00503BA4">
      <w:pPr>
        <w:spacing w:line="480" w:lineRule="auto"/>
        <w:ind w:firstLine="720"/>
        <w:rPr>
          <w:rFonts w:ascii="Times New Roman" w:hAnsi="Times New Roman" w:cs="Times New Roman"/>
        </w:rPr>
      </w:pPr>
      <w:r>
        <w:t>The chosen 2D reference image shows a personal desktop workspace with a monitor, keyboard, and mouse. It also includes a red ceramic coffee mug and a tan cylindrical pencil holder filled with yellow pencils. This scene was selected because it features various real-world objects, each of which can be represented by different simple shapes. It provides a chance to display skills with various geometric forms in a unified scene.</w:t>
      </w:r>
    </w:p>
    <w:p w14:paraId="24936A68" w14:textId="048D5F16" w:rsidR="00671E1A" w:rsidRPr="00671E1A" w:rsidRDefault="00671E1A" w:rsidP="00503BA4">
      <w:pPr>
        <w:spacing w:line="480" w:lineRule="auto"/>
        <w:ind w:firstLine="720"/>
        <w:rPr>
          <w:rFonts w:ascii="Times New Roman" w:hAnsi="Times New Roman" w:cs="Times New Roman"/>
        </w:rPr>
      </w:pPr>
      <w:r w:rsidRPr="00671E1A">
        <w:rPr>
          <w:rFonts w:ascii="Times New Roman" w:hAnsi="Times New Roman" w:cs="Times New Roman"/>
        </w:rPr>
        <w:t>Each object in the scene was broken down into its basic geometric parts. The monitor consists of two box meshes for the screen and bezel, a cylinder for the neck, and a flat box for the base. The coffee mug presented the most complex design challenge. A tapered cylinder flipped 180 degrees on the X-axis creates the familiar shape of a mug that flares at the top. The rim is made from a flattened torus, the handle from a scaled torus mesh, and a flat dark brown cylinder is placed inside the mug opening to represent the coffee surface. The pencil holder is made from a single cylinder topped with a torus rim, rendered in a tan glossy plastic color</w:t>
      </w:r>
      <w:r w:rsidR="001A2FD3">
        <w:rPr>
          <w:rFonts w:ascii="Times New Roman" w:hAnsi="Times New Roman" w:cs="Times New Roman"/>
        </w:rPr>
        <w:t xml:space="preserve">. </w:t>
      </w:r>
      <w:r w:rsidRPr="00671E1A">
        <w:rPr>
          <w:rFonts w:ascii="Times New Roman" w:hAnsi="Times New Roman" w:cs="Times New Roman"/>
        </w:rPr>
        <w:t xml:space="preserve">Each of the three pencils has a thin yellow cylinder for the body and </w:t>
      </w:r>
      <w:r w:rsidR="00115274">
        <w:rPr>
          <w:rFonts w:ascii="Times New Roman" w:hAnsi="Times New Roman" w:cs="Times New Roman"/>
        </w:rPr>
        <w:t xml:space="preserve">two pencils have a </w:t>
      </w:r>
      <w:r w:rsidR="00503BA4">
        <w:rPr>
          <w:rFonts w:ascii="Times New Roman" w:hAnsi="Times New Roman" w:cs="Times New Roman"/>
        </w:rPr>
        <w:t>cone tip</w:t>
      </w:r>
      <w:r w:rsidRPr="00671E1A">
        <w:rPr>
          <w:rFonts w:ascii="Times New Roman" w:hAnsi="Times New Roman" w:cs="Times New Roman"/>
        </w:rPr>
        <w:t xml:space="preserve">. The third pencil is positioned eraser-end up to add some visual variety to the setup. The keyboard is </w:t>
      </w:r>
      <w:r w:rsidRPr="00671E1A">
        <w:rPr>
          <w:rFonts w:ascii="Times New Roman" w:hAnsi="Times New Roman" w:cs="Times New Roman"/>
        </w:rPr>
        <w:lastRenderedPageBreak/>
        <w:t>created as a flat box, and the mouse has the shape of a flattened sphere with a small cylinder for the scroll wheel on top.</w:t>
      </w:r>
    </w:p>
    <w:p w14:paraId="4A22356D" w14:textId="5F7EAAD3" w:rsidR="00671E1A" w:rsidRPr="00671E1A" w:rsidRDefault="00671E1A" w:rsidP="00503BA4">
      <w:pPr>
        <w:spacing w:line="480" w:lineRule="auto"/>
        <w:ind w:firstLine="720"/>
        <w:rPr>
          <w:rFonts w:ascii="Times New Roman" w:hAnsi="Times New Roman" w:cs="Times New Roman"/>
        </w:rPr>
      </w:pPr>
      <w:r w:rsidRPr="00671E1A">
        <w:rPr>
          <w:rFonts w:ascii="Times New Roman" w:hAnsi="Times New Roman" w:cs="Times New Roman"/>
        </w:rPr>
        <w:t xml:space="preserve">A detailed texturing method was applied to both the coffee mug and the keyboard. </w:t>
      </w:r>
      <w:r w:rsidR="00D97703" w:rsidRPr="00D97703">
        <w:rPr>
          <w:rFonts w:ascii="Times New Roman" w:hAnsi="Times New Roman" w:cs="Times New Roman"/>
        </w:rPr>
        <w:t>The mug body used three separate draw calls on the same tapered cylinder mesh, assigning different textures to the sides and bottom face using separate draw calls, while the top opening is left open to reveal the coffee surface inside.</w:t>
      </w:r>
      <w:r w:rsidR="00F87F1D">
        <w:rPr>
          <w:rFonts w:ascii="Times New Roman" w:hAnsi="Times New Roman" w:cs="Times New Roman"/>
        </w:rPr>
        <w:t xml:space="preserve"> </w:t>
      </w:r>
      <w:r w:rsidRPr="00671E1A">
        <w:rPr>
          <w:rFonts w:ascii="Times New Roman" w:hAnsi="Times New Roman" w:cs="Times New Roman"/>
        </w:rPr>
        <w:t xml:space="preserve">This approach shows the ability to apply unique textures to the different faces of a single primitive shape. The keyboard uses a per-face texturing method, applying a photographic image of a keyboard only to the top face using </w:t>
      </w:r>
      <w:proofErr w:type="spellStart"/>
      <w:r w:rsidRPr="00671E1A">
        <w:rPr>
          <w:rFonts w:ascii="Times New Roman" w:hAnsi="Times New Roman" w:cs="Times New Roman"/>
        </w:rPr>
        <w:t>DrawBoxMeshSide</w:t>
      </w:r>
      <w:proofErr w:type="spellEnd"/>
      <w:r w:rsidRPr="00671E1A">
        <w:rPr>
          <w:rFonts w:ascii="Times New Roman" w:hAnsi="Times New Roman" w:cs="Times New Roman"/>
        </w:rPr>
        <w:t>(), while all other faces have a solid dark plastic color. This effectively represents the look of a real keyboard without distorting the texture on the non-visible sides. All texture images came from royalty-free sources at resolutions of 1024 by 1024 pixels or higher (</w:t>
      </w:r>
      <w:proofErr w:type="spellStart"/>
      <w:r w:rsidRPr="00671E1A">
        <w:rPr>
          <w:rFonts w:ascii="Times New Roman" w:hAnsi="Times New Roman" w:cs="Times New Roman"/>
        </w:rPr>
        <w:t>ambientCG</w:t>
      </w:r>
      <w:proofErr w:type="spellEnd"/>
      <w:r w:rsidRPr="00671E1A">
        <w:rPr>
          <w:rFonts w:ascii="Times New Roman" w:hAnsi="Times New Roman" w:cs="Times New Roman"/>
        </w:rPr>
        <w:t>, 2023; Poly Haven, 2023).</w:t>
      </w:r>
    </w:p>
    <w:p w14:paraId="4891E2AC" w14:textId="36D03B92" w:rsidR="00671E1A" w:rsidRPr="00671E1A" w:rsidRDefault="00671E1A" w:rsidP="00503BA4">
      <w:pPr>
        <w:spacing w:line="480" w:lineRule="auto"/>
        <w:ind w:firstLine="720"/>
        <w:rPr>
          <w:rFonts w:ascii="Times New Roman" w:hAnsi="Times New Roman" w:cs="Times New Roman"/>
        </w:rPr>
      </w:pPr>
      <w:r w:rsidRPr="00671E1A">
        <w:rPr>
          <w:rFonts w:ascii="Times New Roman" w:hAnsi="Times New Roman" w:cs="Times New Roman"/>
        </w:rPr>
        <w:t>Six different materials were defined to reflect the surface qualities of each object. The ceramic material has a shininess value of 64 and a bright white specular color to mimic the glossy finish of the red ceramic mug. Similarly, the dark plastic material has a shininess of 64 to create a subtle glass-like shine on the monitor screen. The tan plastic material was specifically made for the pencil holder, using a warm beige diffuse color and moderate specular values to replicate the smooth glossy plastic of the actual holder. Wood, concrete, and grey plastic materials represent the desk, wall, and monitor stand respectively, each adjusted to match the matte or semi-matte properties of those real surfaces.</w:t>
      </w:r>
    </w:p>
    <w:p w14:paraId="315683E0" w14:textId="1FB1C15E" w:rsidR="00033BE4" w:rsidRDefault="00671E1A" w:rsidP="00503BA4">
      <w:pPr>
        <w:spacing w:line="480" w:lineRule="auto"/>
        <w:ind w:firstLine="720"/>
        <w:rPr>
          <w:rFonts w:ascii="Times New Roman" w:hAnsi="Times New Roman" w:cs="Times New Roman"/>
        </w:rPr>
      </w:pPr>
      <w:r w:rsidRPr="00671E1A">
        <w:rPr>
          <w:rFonts w:ascii="Times New Roman" w:hAnsi="Times New Roman" w:cs="Times New Roman"/>
        </w:rPr>
        <w:t xml:space="preserve">Three light sources were used to create a realistic office environment using the Phong shading model. The main light is a directional light placed above and slightly to the left of the scene, simulating warm overhead ceiling lighting. This setup ensures the top faces of all objects </w:t>
      </w:r>
      <w:r w:rsidRPr="00671E1A">
        <w:rPr>
          <w:rFonts w:ascii="Times New Roman" w:hAnsi="Times New Roman" w:cs="Times New Roman"/>
        </w:rPr>
        <w:lastRenderedPageBreak/>
        <w:t>are well-lit, while the ambient light manages the falloff on unlit surfaces to avoid rendering them completely black. The main light uses a warm white color to maintain the authenticity of the red ceramic and dark wood textures. This supports the idea that the color of a light source combines with an object's surface color to create the final appearance (De Vries, n.d.). The second light is a neutral white point light located to the right and above the scene, providing fill light and softening highlights on the glossy monitor screen and ceramic mug. The third light is a spotlight positioned above and slightly left of center, simulating a focused desk lamp. All three lights use the complete Phong shading model, including ambient, diffuse, and specular elements (Phong, 1975).</w:t>
      </w:r>
    </w:p>
    <w:p w14:paraId="2CEBD397" w14:textId="4FE12BFD" w:rsidR="00B80118" w:rsidRPr="00B80118" w:rsidRDefault="00B80118" w:rsidP="00DD5997">
      <w:pPr>
        <w:spacing w:line="480" w:lineRule="auto"/>
        <w:rPr>
          <w:rFonts w:ascii="Times New Roman" w:hAnsi="Times New Roman" w:cs="Times New Roman"/>
          <w:b/>
          <w:bCs/>
        </w:rPr>
      </w:pPr>
      <w:r w:rsidRPr="00B80118">
        <w:rPr>
          <w:rFonts w:ascii="Times New Roman" w:hAnsi="Times New Roman" w:cs="Times New Roman"/>
          <w:b/>
          <w:bCs/>
        </w:rPr>
        <w:t>Camera Navigation</w:t>
      </w:r>
    </w:p>
    <w:p w14:paraId="6FD81AB9" w14:textId="17090627" w:rsidR="00384772" w:rsidRPr="00384772" w:rsidRDefault="00384772" w:rsidP="00283636">
      <w:pPr>
        <w:spacing w:line="480" w:lineRule="auto"/>
        <w:ind w:firstLine="720"/>
        <w:rPr>
          <w:rFonts w:ascii="Times New Roman" w:hAnsi="Times New Roman" w:cs="Times New Roman"/>
        </w:rPr>
      </w:pPr>
      <w:r w:rsidRPr="00384772">
        <w:rPr>
          <w:rFonts w:ascii="Times New Roman" w:hAnsi="Times New Roman" w:cs="Times New Roman"/>
        </w:rPr>
        <w:t>The virtual camera uses a free-fly navigation system. This system allows the user to fully control the viewing position and orientation in six degrees of freedom. The W, A, S, and D keys manage horizontal and depth movement. They move the camera forward, left, backward, and right based on its current direction. For vertical movement, the Q and E keys move the camera down and up along the world Y-axis. This WASD plus QE control scheme covers all three axes of movement and follows the navigation standard from the course rubric.</w:t>
      </w:r>
    </w:p>
    <w:p w14:paraId="3DB89D46" w14:textId="77777777" w:rsidR="00384772" w:rsidRDefault="00384772" w:rsidP="00283636">
      <w:pPr>
        <w:spacing w:line="480" w:lineRule="auto"/>
        <w:ind w:firstLine="720"/>
        <w:rPr>
          <w:rFonts w:ascii="Times New Roman" w:hAnsi="Times New Roman" w:cs="Times New Roman"/>
        </w:rPr>
      </w:pPr>
      <w:r w:rsidRPr="00384772">
        <w:rPr>
          <w:rFonts w:ascii="Times New Roman" w:hAnsi="Times New Roman" w:cs="Times New Roman"/>
        </w:rPr>
        <w:t xml:space="preserve">Camera orientation is controlled by mouse movement. Moving the mouse left or right changes the yaw of the camera, rotating the view horizontally. Moving the mouse up or down changes the pitch, tilting the view vertically. This mouse-look behavior lets the user examine all objects in the scene from any angle without moving the camera. The scroll wheel controls the speed of the camera's movement. This allows the user to slow down for a close look at individual objects or speed up to quickly navigate the entire scene. Pressing the P key switches the view from perspective to orthographic, while the O key returns to perspective view. The orthographic </w:t>
      </w:r>
      <w:r w:rsidRPr="00384772">
        <w:rPr>
          <w:rFonts w:ascii="Times New Roman" w:hAnsi="Times New Roman" w:cs="Times New Roman"/>
        </w:rPr>
        <w:lastRenderedPageBreak/>
        <w:t>projection flattens depth cues and displays all objects at the same scale, which helps in assessing the geometric layout of the scene. These navigation features were based on the camera model described by Lengyel (2011).</w:t>
      </w:r>
    </w:p>
    <w:p w14:paraId="4A56639E" w14:textId="567ABD2F" w:rsidR="00B80118" w:rsidRPr="00B80118" w:rsidRDefault="00B80118" w:rsidP="00DD5997">
      <w:pPr>
        <w:spacing w:line="480" w:lineRule="auto"/>
        <w:rPr>
          <w:rFonts w:ascii="Times New Roman" w:hAnsi="Times New Roman" w:cs="Times New Roman"/>
          <w:b/>
          <w:bCs/>
        </w:rPr>
      </w:pPr>
      <w:r w:rsidRPr="00B80118">
        <w:rPr>
          <w:rFonts w:ascii="Times New Roman" w:hAnsi="Times New Roman" w:cs="Times New Roman"/>
          <w:b/>
          <w:bCs/>
        </w:rPr>
        <w:t>Custom Functions</w:t>
      </w:r>
    </w:p>
    <w:p w14:paraId="27C584CA" w14:textId="567EC364" w:rsidR="00AB65CD" w:rsidRPr="00AB65CD" w:rsidRDefault="00AB65CD" w:rsidP="00766C07">
      <w:pPr>
        <w:spacing w:line="480" w:lineRule="auto"/>
        <w:ind w:firstLine="720"/>
        <w:rPr>
          <w:rFonts w:ascii="Times New Roman" w:hAnsi="Times New Roman" w:cs="Times New Roman"/>
        </w:rPr>
      </w:pPr>
      <w:r w:rsidRPr="00AB65CD">
        <w:rPr>
          <w:rFonts w:ascii="Times New Roman" w:hAnsi="Times New Roman" w:cs="Times New Roman"/>
        </w:rPr>
        <w:t xml:space="preserve">The </w:t>
      </w:r>
      <w:proofErr w:type="spellStart"/>
      <w:r w:rsidRPr="00AB65CD">
        <w:rPr>
          <w:rFonts w:ascii="Times New Roman" w:hAnsi="Times New Roman" w:cs="Times New Roman"/>
        </w:rPr>
        <w:t>SceneManager</w:t>
      </w:r>
      <w:proofErr w:type="spellEnd"/>
      <w:r w:rsidRPr="00AB65CD">
        <w:rPr>
          <w:rFonts w:ascii="Times New Roman" w:hAnsi="Times New Roman" w:cs="Times New Roman"/>
        </w:rPr>
        <w:t xml:space="preserve"> class uses a modular structure, where each group of objects in the scene has its own dedicated render method. The functions </w:t>
      </w:r>
      <w:proofErr w:type="spellStart"/>
      <w:r w:rsidRPr="00AB65CD">
        <w:rPr>
          <w:rFonts w:ascii="Times New Roman" w:hAnsi="Times New Roman" w:cs="Times New Roman"/>
        </w:rPr>
        <w:t>RenderBackground</w:t>
      </w:r>
      <w:proofErr w:type="spellEnd"/>
      <w:r w:rsidRPr="00AB65CD">
        <w:rPr>
          <w:rFonts w:ascii="Times New Roman" w:hAnsi="Times New Roman" w:cs="Times New Roman"/>
        </w:rPr>
        <w:t xml:space="preserve">(), </w:t>
      </w:r>
      <w:proofErr w:type="spellStart"/>
      <w:r w:rsidRPr="00AB65CD">
        <w:rPr>
          <w:rFonts w:ascii="Times New Roman" w:hAnsi="Times New Roman" w:cs="Times New Roman"/>
        </w:rPr>
        <w:t>RenderDesk</w:t>
      </w:r>
      <w:proofErr w:type="spellEnd"/>
      <w:r w:rsidRPr="00AB65CD">
        <w:rPr>
          <w:rFonts w:ascii="Times New Roman" w:hAnsi="Times New Roman" w:cs="Times New Roman"/>
        </w:rPr>
        <w:t xml:space="preserve">(), </w:t>
      </w:r>
      <w:proofErr w:type="spellStart"/>
      <w:r w:rsidRPr="00AB65CD">
        <w:rPr>
          <w:rFonts w:ascii="Times New Roman" w:hAnsi="Times New Roman" w:cs="Times New Roman"/>
        </w:rPr>
        <w:t>RenderMonitor</w:t>
      </w:r>
      <w:proofErr w:type="spellEnd"/>
      <w:r w:rsidRPr="00AB65CD">
        <w:rPr>
          <w:rFonts w:ascii="Times New Roman" w:hAnsi="Times New Roman" w:cs="Times New Roman"/>
        </w:rPr>
        <w:t xml:space="preserve">(), </w:t>
      </w:r>
      <w:proofErr w:type="spellStart"/>
      <w:r w:rsidRPr="00AB65CD">
        <w:rPr>
          <w:rFonts w:ascii="Times New Roman" w:hAnsi="Times New Roman" w:cs="Times New Roman"/>
        </w:rPr>
        <w:t>RenderMug</w:t>
      </w:r>
      <w:proofErr w:type="spellEnd"/>
      <w:r w:rsidRPr="00AB65CD">
        <w:rPr>
          <w:rFonts w:ascii="Times New Roman" w:hAnsi="Times New Roman" w:cs="Times New Roman"/>
        </w:rPr>
        <w:t xml:space="preserve">(), </w:t>
      </w:r>
      <w:proofErr w:type="spellStart"/>
      <w:r w:rsidRPr="00AB65CD">
        <w:rPr>
          <w:rFonts w:ascii="Times New Roman" w:hAnsi="Times New Roman" w:cs="Times New Roman"/>
        </w:rPr>
        <w:t>RenderPencilHolder</w:t>
      </w:r>
      <w:proofErr w:type="spellEnd"/>
      <w:r w:rsidRPr="00AB65CD">
        <w:rPr>
          <w:rFonts w:ascii="Times New Roman" w:hAnsi="Times New Roman" w:cs="Times New Roman"/>
        </w:rPr>
        <w:t xml:space="preserve">(), </w:t>
      </w:r>
      <w:proofErr w:type="spellStart"/>
      <w:r w:rsidRPr="00AB65CD">
        <w:rPr>
          <w:rFonts w:ascii="Times New Roman" w:hAnsi="Times New Roman" w:cs="Times New Roman"/>
        </w:rPr>
        <w:t>RenderPencils</w:t>
      </w:r>
      <w:proofErr w:type="spellEnd"/>
      <w:r w:rsidRPr="00AB65CD">
        <w:rPr>
          <w:rFonts w:ascii="Times New Roman" w:hAnsi="Times New Roman" w:cs="Times New Roman"/>
        </w:rPr>
        <w:t xml:space="preserve">(), </w:t>
      </w:r>
      <w:proofErr w:type="spellStart"/>
      <w:r w:rsidRPr="00AB65CD">
        <w:rPr>
          <w:rFonts w:ascii="Times New Roman" w:hAnsi="Times New Roman" w:cs="Times New Roman"/>
        </w:rPr>
        <w:t>RenderKeyboard</w:t>
      </w:r>
      <w:proofErr w:type="spellEnd"/>
      <w:r w:rsidRPr="00AB65CD">
        <w:rPr>
          <w:rFonts w:ascii="Times New Roman" w:hAnsi="Times New Roman" w:cs="Times New Roman"/>
        </w:rPr>
        <w:t xml:space="preserve">(), and </w:t>
      </w:r>
      <w:proofErr w:type="spellStart"/>
      <w:r w:rsidRPr="00AB65CD">
        <w:rPr>
          <w:rFonts w:ascii="Times New Roman" w:hAnsi="Times New Roman" w:cs="Times New Roman"/>
        </w:rPr>
        <w:t>RenderMouse</w:t>
      </w:r>
      <w:proofErr w:type="spellEnd"/>
      <w:r w:rsidRPr="00AB65CD">
        <w:rPr>
          <w:rFonts w:ascii="Times New Roman" w:hAnsi="Times New Roman" w:cs="Times New Roman"/>
        </w:rPr>
        <w:t xml:space="preserve">() manage the complete rendering process for their specific objects. This includes setting transformations, materials, textures, and issuing draw calls. This setup allows any single object to be changed, moved, or removed without impacting the rest of the scene. It also makes the </w:t>
      </w:r>
      <w:proofErr w:type="spellStart"/>
      <w:r w:rsidRPr="00AB65CD">
        <w:rPr>
          <w:rFonts w:ascii="Times New Roman" w:hAnsi="Times New Roman" w:cs="Times New Roman"/>
        </w:rPr>
        <w:t>RenderScene</w:t>
      </w:r>
      <w:proofErr w:type="spellEnd"/>
      <w:r w:rsidRPr="00AB65CD">
        <w:rPr>
          <w:rFonts w:ascii="Times New Roman" w:hAnsi="Times New Roman" w:cs="Times New Roman"/>
        </w:rPr>
        <w:t>() function easy to read as a summary of the scene's composition.</w:t>
      </w:r>
    </w:p>
    <w:p w14:paraId="4CE8E081" w14:textId="77777777" w:rsidR="00766C07" w:rsidRDefault="00AB65CD" w:rsidP="00766C07">
      <w:pPr>
        <w:spacing w:line="480" w:lineRule="auto"/>
        <w:ind w:firstLine="720"/>
        <w:rPr>
          <w:rFonts w:ascii="Times New Roman" w:hAnsi="Times New Roman" w:cs="Times New Roman"/>
          <w:b/>
          <w:bCs/>
        </w:rPr>
      </w:pPr>
      <w:r w:rsidRPr="00AB65CD">
        <w:rPr>
          <w:rFonts w:ascii="Times New Roman" w:hAnsi="Times New Roman" w:cs="Times New Roman"/>
        </w:rPr>
        <w:t xml:space="preserve">The </w:t>
      </w:r>
      <w:proofErr w:type="spellStart"/>
      <w:r w:rsidRPr="00AB65CD">
        <w:rPr>
          <w:rFonts w:ascii="Times New Roman" w:hAnsi="Times New Roman" w:cs="Times New Roman"/>
        </w:rPr>
        <w:t>SetTransformations</w:t>
      </w:r>
      <w:proofErr w:type="spellEnd"/>
      <w:r w:rsidRPr="00AB65CD">
        <w:rPr>
          <w:rFonts w:ascii="Times New Roman" w:hAnsi="Times New Roman" w:cs="Times New Roman"/>
        </w:rPr>
        <w:t xml:space="preserve">() function combines scale, rotation, and translation into a single model matrix that is sent to the shader. This prevents repeated matrix construction code throughout the rendering process. </w:t>
      </w:r>
      <w:proofErr w:type="spellStart"/>
      <w:r w:rsidRPr="00AB65CD">
        <w:rPr>
          <w:rFonts w:ascii="Times New Roman" w:hAnsi="Times New Roman" w:cs="Times New Roman"/>
        </w:rPr>
        <w:t>SetShaderMaterial</w:t>
      </w:r>
      <w:proofErr w:type="spellEnd"/>
      <w:r w:rsidRPr="00AB65CD">
        <w:rPr>
          <w:rFonts w:ascii="Times New Roman" w:hAnsi="Times New Roman" w:cs="Times New Roman"/>
        </w:rPr>
        <w:t xml:space="preserve">() finds a named material from the materials list and sends its diffuse color, specular color, and shininess values to the shader in one call. </w:t>
      </w:r>
      <w:proofErr w:type="spellStart"/>
      <w:r w:rsidRPr="00AB65CD">
        <w:rPr>
          <w:rFonts w:ascii="Times New Roman" w:hAnsi="Times New Roman" w:cs="Times New Roman"/>
        </w:rPr>
        <w:t>SetShaderTexture</w:t>
      </w:r>
      <w:proofErr w:type="spellEnd"/>
      <w:r w:rsidRPr="00AB65CD">
        <w:rPr>
          <w:rFonts w:ascii="Times New Roman" w:hAnsi="Times New Roman" w:cs="Times New Roman"/>
        </w:rPr>
        <w:t xml:space="preserve">() finds a texture tag and binds it to the appropriate OpenGL slot index. </w:t>
      </w:r>
      <w:proofErr w:type="spellStart"/>
      <w:r w:rsidRPr="00AB65CD">
        <w:rPr>
          <w:rFonts w:ascii="Times New Roman" w:hAnsi="Times New Roman" w:cs="Times New Roman"/>
        </w:rPr>
        <w:t>SetShaderColor</w:t>
      </w:r>
      <w:proofErr w:type="spellEnd"/>
      <w:r w:rsidRPr="00AB65CD">
        <w:rPr>
          <w:rFonts w:ascii="Times New Roman" w:hAnsi="Times New Roman" w:cs="Times New Roman"/>
        </w:rPr>
        <w:t xml:space="preserve">() offers a fallback for objects rendered with solid color instead of a texture, adjusting the </w:t>
      </w:r>
      <w:proofErr w:type="spellStart"/>
      <w:r w:rsidRPr="00AB65CD">
        <w:rPr>
          <w:rFonts w:ascii="Times New Roman" w:hAnsi="Times New Roman" w:cs="Times New Roman"/>
        </w:rPr>
        <w:t>bUseTexture</w:t>
      </w:r>
      <w:proofErr w:type="spellEnd"/>
      <w:r w:rsidRPr="00AB65CD">
        <w:rPr>
          <w:rFonts w:ascii="Times New Roman" w:hAnsi="Times New Roman" w:cs="Times New Roman"/>
        </w:rPr>
        <w:t xml:space="preserve"> uniform as needed. </w:t>
      </w:r>
      <w:proofErr w:type="spellStart"/>
      <w:r w:rsidRPr="00AB65CD">
        <w:rPr>
          <w:rFonts w:ascii="Times New Roman" w:hAnsi="Times New Roman" w:cs="Times New Roman"/>
        </w:rPr>
        <w:t>DefineObjectMaterials</w:t>
      </w:r>
      <w:proofErr w:type="spellEnd"/>
      <w:r w:rsidRPr="00AB65CD">
        <w:rPr>
          <w:rFonts w:ascii="Times New Roman" w:hAnsi="Times New Roman" w:cs="Times New Roman"/>
        </w:rPr>
        <w:t>() keeps all material definitions together, making it easy to modify surface properties without looking through individual render methods. These helper functions work together to maintain a consistent interface between the application layer and the shader, reduce code repetition, and can be reused in any OpenGL project using the same shader uniform conventions (Shreiner et al., 2013).</w:t>
      </w:r>
      <w:r w:rsidR="00464C39">
        <w:rPr>
          <w:rFonts w:ascii="Times New Roman" w:hAnsi="Times New Roman" w:cs="Times New Roman"/>
          <w:b/>
          <w:bCs/>
        </w:rPr>
        <w:tab/>
      </w:r>
      <w:r w:rsidR="00464C39">
        <w:rPr>
          <w:rFonts w:ascii="Times New Roman" w:hAnsi="Times New Roman" w:cs="Times New Roman"/>
          <w:b/>
          <w:bCs/>
        </w:rPr>
        <w:tab/>
      </w:r>
    </w:p>
    <w:p w14:paraId="18A5B70A" w14:textId="0E14BED0" w:rsidR="00464C39" w:rsidRPr="00464C39" w:rsidRDefault="00464C39" w:rsidP="00766C07">
      <w:pPr>
        <w:spacing w:line="480" w:lineRule="auto"/>
        <w:ind w:firstLine="720"/>
        <w:jc w:val="center"/>
        <w:rPr>
          <w:rFonts w:ascii="Times New Roman" w:hAnsi="Times New Roman" w:cs="Times New Roman"/>
          <w:b/>
          <w:bCs/>
        </w:rPr>
      </w:pPr>
      <w:r w:rsidRPr="00464C39">
        <w:rPr>
          <w:rFonts w:ascii="Times New Roman" w:hAnsi="Times New Roman" w:cs="Times New Roman"/>
          <w:b/>
          <w:bCs/>
        </w:rPr>
        <w:lastRenderedPageBreak/>
        <w:t>References</w:t>
      </w:r>
    </w:p>
    <w:p w14:paraId="286BBFCB" w14:textId="4C12D939" w:rsidR="00464C39" w:rsidRPr="00464C39" w:rsidRDefault="00464C39" w:rsidP="00DD5997">
      <w:pPr>
        <w:spacing w:line="480" w:lineRule="auto"/>
        <w:ind w:left="720" w:hanging="720"/>
        <w:rPr>
          <w:rFonts w:ascii="Times New Roman" w:hAnsi="Times New Roman" w:cs="Times New Roman"/>
        </w:rPr>
      </w:pPr>
      <w:proofErr w:type="spellStart"/>
      <w:r w:rsidRPr="00464C39">
        <w:rPr>
          <w:rFonts w:ascii="Times New Roman" w:hAnsi="Times New Roman" w:cs="Times New Roman"/>
        </w:rPr>
        <w:t>ambientCG</w:t>
      </w:r>
      <w:proofErr w:type="spellEnd"/>
      <w:r w:rsidRPr="00464C39">
        <w:rPr>
          <w:rFonts w:ascii="Times New Roman" w:hAnsi="Times New Roman" w:cs="Times New Roman"/>
        </w:rPr>
        <w:t xml:space="preserve">. (2023). Free PBR materials. </w:t>
      </w:r>
      <w:hyperlink r:id="rId4" w:history="1">
        <w:r w:rsidR="000F6962" w:rsidRPr="00390519">
          <w:rPr>
            <w:rStyle w:val="Hyperlink"/>
            <w:rFonts w:ascii="Times New Roman" w:hAnsi="Times New Roman" w:cs="Times New Roman"/>
          </w:rPr>
          <w:t>https://ambientcg.com</w:t>
        </w:r>
      </w:hyperlink>
      <w:r w:rsidR="000F6962">
        <w:rPr>
          <w:rFonts w:ascii="Times New Roman" w:hAnsi="Times New Roman" w:cs="Times New Roman"/>
        </w:rPr>
        <w:t xml:space="preserve"> </w:t>
      </w:r>
    </w:p>
    <w:p w14:paraId="48A99B53" w14:textId="36A04CEF" w:rsidR="00464C39" w:rsidRPr="00464C39" w:rsidRDefault="00464C39" w:rsidP="00DD5997">
      <w:pPr>
        <w:spacing w:line="480" w:lineRule="auto"/>
        <w:ind w:left="720" w:hanging="720"/>
        <w:rPr>
          <w:rFonts w:ascii="Times New Roman" w:hAnsi="Times New Roman" w:cs="Times New Roman"/>
        </w:rPr>
      </w:pPr>
      <w:r w:rsidRPr="00464C39">
        <w:rPr>
          <w:rFonts w:ascii="Times New Roman" w:hAnsi="Times New Roman" w:cs="Times New Roman"/>
        </w:rPr>
        <w:t xml:space="preserve">De Vries, J. (n.d.). </w:t>
      </w:r>
      <w:r w:rsidRPr="000F6962">
        <w:rPr>
          <w:rFonts w:ascii="Times New Roman" w:hAnsi="Times New Roman" w:cs="Times New Roman"/>
          <w:i/>
          <w:iCs/>
        </w:rPr>
        <w:t>Learn OpenGL</w:t>
      </w:r>
      <w:r w:rsidRPr="00464C39">
        <w:rPr>
          <w:rFonts w:ascii="Times New Roman" w:hAnsi="Times New Roman" w:cs="Times New Roman"/>
        </w:rPr>
        <w:t xml:space="preserve">. </w:t>
      </w:r>
      <w:hyperlink r:id="rId5" w:history="1">
        <w:r w:rsidR="000F6962" w:rsidRPr="00390519">
          <w:rPr>
            <w:rStyle w:val="Hyperlink"/>
            <w:rFonts w:ascii="Times New Roman" w:hAnsi="Times New Roman" w:cs="Times New Roman"/>
          </w:rPr>
          <w:t>https://learnopengl.com</w:t>
        </w:r>
      </w:hyperlink>
      <w:r w:rsidR="000F6962">
        <w:rPr>
          <w:rFonts w:ascii="Times New Roman" w:hAnsi="Times New Roman" w:cs="Times New Roman"/>
        </w:rPr>
        <w:t xml:space="preserve"> </w:t>
      </w:r>
    </w:p>
    <w:p w14:paraId="2DB88B0E" w14:textId="77777777" w:rsidR="00464C39" w:rsidRPr="00464C39" w:rsidRDefault="00464C39" w:rsidP="00DD5997">
      <w:pPr>
        <w:spacing w:line="480" w:lineRule="auto"/>
        <w:ind w:left="720" w:hanging="720"/>
        <w:rPr>
          <w:rFonts w:ascii="Times New Roman" w:hAnsi="Times New Roman" w:cs="Times New Roman"/>
        </w:rPr>
      </w:pPr>
      <w:r w:rsidRPr="00464C39">
        <w:rPr>
          <w:rFonts w:ascii="Times New Roman" w:hAnsi="Times New Roman" w:cs="Times New Roman"/>
        </w:rPr>
        <w:t xml:space="preserve">Lengyel, E. (2011). </w:t>
      </w:r>
      <w:r w:rsidRPr="000F6962">
        <w:rPr>
          <w:rFonts w:ascii="Times New Roman" w:hAnsi="Times New Roman" w:cs="Times New Roman"/>
          <w:i/>
          <w:iCs/>
        </w:rPr>
        <w:t>Mathematics for 3D game programming and computer graphics</w:t>
      </w:r>
      <w:r w:rsidRPr="00464C39">
        <w:rPr>
          <w:rFonts w:ascii="Times New Roman" w:hAnsi="Times New Roman" w:cs="Times New Roman"/>
        </w:rPr>
        <w:t xml:space="preserve"> (3rd ed.). Cengage Learning.</w:t>
      </w:r>
    </w:p>
    <w:p w14:paraId="1BBB7201" w14:textId="65E54CAA" w:rsidR="00464C39" w:rsidRPr="00464C39" w:rsidRDefault="00464C39" w:rsidP="00DD5997">
      <w:pPr>
        <w:spacing w:line="480" w:lineRule="auto"/>
        <w:ind w:left="720" w:hanging="720"/>
        <w:rPr>
          <w:rFonts w:ascii="Times New Roman" w:hAnsi="Times New Roman" w:cs="Times New Roman"/>
        </w:rPr>
      </w:pPr>
      <w:r w:rsidRPr="00464C39">
        <w:rPr>
          <w:rFonts w:ascii="Times New Roman" w:hAnsi="Times New Roman" w:cs="Times New Roman"/>
        </w:rPr>
        <w:t xml:space="preserve">Phong, B. T. (1975). Illumination for computer generated pictures. Communications of the ACM, 18(6), 311-317. </w:t>
      </w:r>
      <w:hyperlink r:id="rId6" w:history="1">
        <w:r w:rsidR="000F6962" w:rsidRPr="00390519">
          <w:rPr>
            <w:rStyle w:val="Hyperlink"/>
            <w:rFonts w:ascii="Times New Roman" w:hAnsi="Times New Roman" w:cs="Times New Roman"/>
          </w:rPr>
          <w:t>https://doi.org/10.1145/360825.360839</w:t>
        </w:r>
      </w:hyperlink>
      <w:r w:rsidR="000F6962">
        <w:rPr>
          <w:rFonts w:ascii="Times New Roman" w:hAnsi="Times New Roman" w:cs="Times New Roman"/>
        </w:rPr>
        <w:t xml:space="preserve"> </w:t>
      </w:r>
    </w:p>
    <w:p w14:paraId="011142A5" w14:textId="75F4C040" w:rsidR="00464C39" w:rsidRPr="00464C39" w:rsidRDefault="00464C39" w:rsidP="00DD5997">
      <w:pPr>
        <w:spacing w:line="480" w:lineRule="auto"/>
        <w:ind w:left="720" w:hanging="720"/>
        <w:rPr>
          <w:rFonts w:ascii="Times New Roman" w:hAnsi="Times New Roman" w:cs="Times New Roman"/>
        </w:rPr>
      </w:pPr>
      <w:r w:rsidRPr="00464C39">
        <w:rPr>
          <w:rFonts w:ascii="Times New Roman" w:hAnsi="Times New Roman" w:cs="Times New Roman"/>
        </w:rPr>
        <w:t xml:space="preserve">Poly Haven. (2023). Free HDRIs, textures and 3D models. </w:t>
      </w:r>
      <w:hyperlink r:id="rId7" w:history="1">
        <w:r w:rsidR="000F6962" w:rsidRPr="00390519">
          <w:rPr>
            <w:rStyle w:val="Hyperlink"/>
            <w:rFonts w:ascii="Times New Roman" w:hAnsi="Times New Roman" w:cs="Times New Roman"/>
          </w:rPr>
          <w:t>https://polyhaven.com</w:t>
        </w:r>
      </w:hyperlink>
      <w:r w:rsidR="000F6962">
        <w:rPr>
          <w:rFonts w:ascii="Times New Roman" w:hAnsi="Times New Roman" w:cs="Times New Roman"/>
        </w:rPr>
        <w:t xml:space="preserve"> </w:t>
      </w:r>
    </w:p>
    <w:p w14:paraId="0E3662DA" w14:textId="77777777" w:rsidR="00464C39" w:rsidRPr="00464C39" w:rsidRDefault="00464C39" w:rsidP="00DD5997">
      <w:pPr>
        <w:spacing w:line="480" w:lineRule="auto"/>
        <w:ind w:left="720" w:hanging="720"/>
        <w:rPr>
          <w:rFonts w:ascii="Times New Roman" w:hAnsi="Times New Roman" w:cs="Times New Roman"/>
        </w:rPr>
      </w:pPr>
      <w:r w:rsidRPr="00464C39">
        <w:rPr>
          <w:rFonts w:ascii="Times New Roman" w:hAnsi="Times New Roman" w:cs="Times New Roman"/>
        </w:rPr>
        <w:t>Shreiner, D., Sellers, G., Kessenich, J., &amp; Licea-Kane, B. (2013). OpenGL programming guide: The official guide to learning OpenGL (8th ed.). Addison-Wesley.</w:t>
      </w:r>
    </w:p>
    <w:p w14:paraId="14C334A0" w14:textId="77777777" w:rsidR="008F4794" w:rsidRDefault="008F4794" w:rsidP="00DD5997">
      <w:pPr>
        <w:spacing w:line="480" w:lineRule="auto"/>
        <w:jc w:val="center"/>
        <w:rPr>
          <w:rFonts w:ascii="Times New Roman" w:hAnsi="Times New Roman" w:cs="Times New Roman"/>
          <w:b/>
          <w:bCs/>
        </w:rPr>
      </w:pPr>
    </w:p>
    <w:p w14:paraId="1EAFFF6C" w14:textId="77777777" w:rsidR="008F4794" w:rsidRPr="008F4794" w:rsidRDefault="008F4794" w:rsidP="00DD5997">
      <w:pPr>
        <w:spacing w:line="480" w:lineRule="auto"/>
        <w:rPr>
          <w:rFonts w:ascii="Times New Roman" w:hAnsi="Times New Roman" w:cs="Times New Roman"/>
        </w:rPr>
      </w:pPr>
    </w:p>
    <w:p w14:paraId="76C20CD6" w14:textId="77777777" w:rsidR="008F4794" w:rsidRPr="008F4794" w:rsidRDefault="008F4794" w:rsidP="00DD5997">
      <w:pPr>
        <w:spacing w:line="480" w:lineRule="auto"/>
        <w:rPr>
          <w:rFonts w:ascii="Times New Roman" w:hAnsi="Times New Roman" w:cs="Times New Roman"/>
        </w:rPr>
      </w:pPr>
    </w:p>
    <w:sectPr w:rsidR="008F4794" w:rsidRPr="008F4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94"/>
    <w:rsid w:val="00033BE4"/>
    <w:rsid w:val="000A7486"/>
    <w:rsid w:val="000F6962"/>
    <w:rsid w:val="00115274"/>
    <w:rsid w:val="001A2FD3"/>
    <w:rsid w:val="00283636"/>
    <w:rsid w:val="00384772"/>
    <w:rsid w:val="0038494D"/>
    <w:rsid w:val="00400DBA"/>
    <w:rsid w:val="004504C4"/>
    <w:rsid w:val="00464C39"/>
    <w:rsid w:val="00503BA4"/>
    <w:rsid w:val="00617C92"/>
    <w:rsid w:val="00671E1A"/>
    <w:rsid w:val="006D46B9"/>
    <w:rsid w:val="00766C07"/>
    <w:rsid w:val="008442C6"/>
    <w:rsid w:val="008F4794"/>
    <w:rsid w:val="00AB65CD"/>
    <w:rsid w:val="00B67686"/>
    <w:rsid w:val="00B80118"/>
    <w:rsid w:val="00C14E66"/>
    <w:rsid w:val="00D97703"/>
    <w:rsid w:val="00DD5997"/>
    <w:rsid w:val="00E12D7E"/>
    <w:rsid w:val="00F8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15F8"/>
  <w15:chartTrackingRefBased/>
  <w15:docId w15:val="{F9D48072-F170-4649-9099-8A64E935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794"/>
    <w:rPr>
      <w:rFonts w:eastAsiaTheme="majorEastAsia" w:cstheme="majorBidi"/>
      <w:color w:val="272727" w:themeColor="text1" w:themeTint="D8"/>
    </w:rPr>
  </w:style>
  <w:style w:type="paragraph" w:styleId="Title">
    <w:name w:val="Title"/>
    <w:basedOn w:val="Normal"/>
    <w:next w:val="Normal"/>
    <w:link w:val="TitleChar"/>
    <w:uiPriority w:val="10"/>
    <w:qFormat/>
    <w:rsid w:val="008F4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794"/>
    <w:pPr>
      <w:spacing w:before="160"/>
      <w:jc w:val="center"/>
    </w:pPr>
    <w:rPr>
      <w:i/>
      <w:iCs/>
      <w:color w:val="404040" w:themeColor="text1" w:themeTint="BF"/>
    </w:rPr>
  </w:style>
  <w:style w:type="character" w:customStyle="1" w:styleId="QuoteChar">
    <w:name w:val="Quote Char"/>
    <w:basedOn w:val="DefaultParagraphFont"/>
    <w:link w:val="Quote"/>
    <w:uiPriority w:val="29"/>
    <w:rsid w:val="008F4794"/>
    <w:rPr>
      <w:i/>
      <w:iCs/>
      <w:color w:val="404040" w:themeColor="text1" w:themeTint="BF"/>
    </w:rPr>
  </w:style>
  <w:style w:type="paragraph" w:styleId="ListParagraph">
    <w:name w:val="List Paragraph"/>
    <w:basedOn w:val="Normal"/>
    <w:uiPriority w:val="34"/>
    <w:qFormat/>
    <w:rsid w:val="008F4794"/>
    <w:pPr>
      <w:ind w:left="720"/>
      <w:contextualSpacing/>
    </w:pPr>
  </w:style>
  <w:style w:type="character" w:styleId="IntenseEmphasis">
    <w:name w:val="Intense Emphasis"/>
    <w:basedOn w:val="DefaultParagraphFont"/>
    <w:uiPriority w:val="21"/>
    <w:qFormat/>
    <w:rsid w:val="008F4794"/>
    <w:rPr>
      <w:i/>
      <w:iCs/>
      <w:color w:val="2F5496" w:themeColor="accent1" w:themeShade="BF"/>
    </w:rPr>
  </w:style>
  <w:style w:type="paragraph" w:styleId="IntenseQuote">
    <w:name w:val="Intense Quote"/>
    <w:basedOn w:val="Normal"/>
    <w:next w:val="Normal"/>
    <w:link w:val="IntenseQuoteChar"/>
    <w:uiPriority w:val="30"/>
    <w:qFormat/>
    <w:rsid w:val="008F4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794"/>
    <w:rPr>
      <w:i/>
      <w:iCs/>
      <w:color w:val="2F5496" w:themeColor="accent1" w:themeShade="BF"/>
    </w:rPr>
  </w:style>
  <w:style w:type="character" w:styleId="IntenseReference">
    <w:name w:val="Intense Reference"/>
    <w:basedOn w:val="DefaultParagraphFont"/>
    <w:uiPriority w:val="32"/>
    <w:qFormat/>
    <w:rsid w:val="008F4794"/>
    <w:rPr>
      <w:b/>
      <w:bCs/>
      <w:smallCaps/>
      <w:color w:val="2F5496" w:themeColor="accent1" w:themeShade="BF"/>
      <w:spacing w:val="5"/>
    </w:rPr>
  </w:style>
  <w:style w:type="character" w:styleId="Hyperlink">
    <w:name w:val="Hyperlink"/>
    <w:basedOn w:val="DefaultParagraphFont"/>
    <w:uiPriority w:val="99"/>
    <w:unhideWhenUsed/>
    <w:rsid w:val="000F6962"/>
    <w:rPr>
      <w:color w:val="0563C1" w:themeColor="hyperlink"/>
      <w:u w:val="single"/>
    </w:rPr>
  </w:style>
  <w:style w:type="character" w:styleId="UnresolvedMention">
    <w:name w:val="Unresolved Mention"/>
    <w:basedOn w:val="DefaultParagraphFont"/>
    <w:uiPriority w:val="99"/>
    <w:semiHidden/>
    <w:unhideWhenUsed/>
    <w:rsid w:val="000F6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olyhave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360825.360839" TargetMode="External"/><Relationship Id="rId5" Type="http://schemas.openxmlformats.org/officeDocument/2006/relationships/hyperlink" Target="https://learnopengl.com" TargetMode="External"/><Relationship Id="rId4" Type="http://schemas.openxmlformats.org/officeDocument/2006/relationships/hyperlink" Target="https://ambientcg.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1201</Words>
  <Characters>6848</Characters>
  <Application>Microsoft Office Word</Application>
  <DocSecurity>0</DocSecurity>
  <Lines>57</Lines>
  <Paragraphs>16</Paragraphs>
  <ScaleCrop>false</ScaleCrop>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Simmons, Sabrina</dc:creator>
  <cp:keywords/>
  <dc:description/>
  <cp:lastModifiedBy>Simmons, Sabrina</cp:lastModifiedBy>
  <cp:revision>24</cp:revision>
  <dcterms:created xsi:type="dcterms:W3CDTF">2026-04-19T13:07:00Z</dcterms:created>
  <dcterms:modified xsi:type="dcterms:W3CDTF">2026-04-19T13:44:00Z</dcterms:modified>
</cp:coreProperties>
</file>