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88637" w14:textId="77777777" w:rsidR="002313A0" w:rsidRPr="00B25A6C" w:rsidRDefault="00000000" w:rsidP="00B25A6C">
      <w:pPr>
        <w:pStyle w:val="Title"/>
        <w:spacing w:after="0"/>
        <w:jc w:val="both"/>
        <w:rPr>
          <w:rFonts w:ascii="Times New Roman" w:hAnsi="Times New Roman" w:cs="Times New Roman"/>
          <w:sz w:val="24"/>
          <w:szCs w:val="24"/>
        </w:rPr>
      </w:pPr>
      <w:r w:rsidRPr="00B25A6C">
        <w:rPr>
          <w:rFonts w:ascii="Times New Roman" w:hAnsi="Times New Roman" w:cs="Times New Roman"/>
          <w:sz w:val="24"/>
          <w:szCs w:val="24"/>
        </w:rPr>
        <w:t>Temporal Split Interpretation – Task 1.4</w:t>
      </w:r>
    </w:p>
    <w:p w14:paraId="608D9192" w14:textId="77777777" w:rsidR="00487743" w:rsidRDefault="00487743" w:rsidP="00B25A6C">
      <w:pPr>
        <w:spacing w:after="0"/>
        <w:jc w:val="both"/>
        <w:rPr>
          <w:rFonts w:ascii="Times New Roman" w:hAnsi="Times New Roman" w:cs="Times New Roman"/>
          <w:sz w:val="24"/>
          <w:szCs w:val="24"/>
        </w:rPr>
      </w:pPr>
    </w:p>
    <w:p w14:paraId="4841CE70" w14:textId="6EB2E87A" w:rsidR="002313A0" w:rsidRPr="00B25A6C" w:rsidRDefault="00000000" w:rsidP="00B25A6C">
      <w:pPr>
        <w:spacing w:after="0"/>
        <w:jc w:val="both"/>
        <w:rPr>
          <w:rFonts w:ascii="Times New Roman" w:hAnsi="Times New Roman" w:cs="Times New Roman"/>
          <w:sz w:val="24"/>
          <w:szCs w:val="24"/>
        </w:rPr>
      </w:pPr>
      <w:r w:rsidRPr="00B25A6C">
        <w:rPr>
          <w:rFonts w:ascii="Times New Roman" w:hAnsi="Times New Roman" w:cs="Times New Roman"/>
          <w:sz w:val="24"/>
          <w:szCs w:val="24"/>
        </w:rPr>
        <w:t>The</w:t>
      </w:r>
      <w:r w:rsidR="00B25A6C">
        <w:rPr>
          <w:rFonts w:ascii="Times New Roman" w:hAnsi="Times New Roman" w:cs="Times New Roman"/>
          <w:sz w:val="24"/>
          <w:szCs w:val="24"/>
        </w:rPr>
        <w:t xml:space="preserve"> purpose of the </w:t>
      </w:r>
      <w:r w:rsidRPr="00B25A6C">
        <w:rPr>
          <w:rFonts w:ascii="Times New Roman" w:hAnsi="Times New Roman" w:cs="Times New Roman"/>
          <w:sz w:val="24"/>
          <w:szCs w:val="24"/>
        </w:rPr>
        <w:t xml:space="preserve">temporal split </w:t>
      </w:r>
      <w:r w:rsidR="00B25A6C">
        <w:rPr>
          <w:rFonts w:ascii="Times New Roman" w:hAnsi="Times New Roman" w:cs="Times New Roman"/>
          <w:sz w:val="24"/>
          <w:szCs w:val="24"/>
        </w:rPr>
        <w:t>is to separate</w:t>
      </w:r>
      <w:r w:rsidRPr="00B25A6C">
        <w:rPr>
          <w:rFonts w:ascii="Times New Roman" w:hAnsi="Times New Roman" w:cs="Times New Roman"/>
          <w:sz w:val="24"/>
          <w:szCs w:val="24"/>
        </w:rPr>
        <w:t xml:space="preserve"> earlier observations used to develop the model from later observations used to evaluate it. This approach reflects how the model would be used in practice</w:t>
      </w:r>
      <w:r w:rsidR="00B25A6C">
        <w:rPr>
          <w:rFonts w:ascii="Times New Roman" w:hAnsi="Times New Roman" w:cs="Times New Roman"/>
          <w:sz w:val="24"/>
          <w:szCs w:val="24"/>
        </w:rPr>
        <w:t xml:space="preserve">. The idea is to use past </w:t>
      </w:r>
      <w:r w:rsidRPr="00B25A6C">
        <w:rPr>
          <w:rFonts w:ascii="Times New Roman" w:hAnsi="Times New Roman" w:cs="Times New Roman"/>
          <w:sz w:val="24"/>
          <w:szCs w:val="24"/>
        </w:rPr>
        <w:t>information to predict a future auditor outcome.</w:t>
      </w:r>
    </w:p>
    <w:p w14:paraId="1F996C17" w14:textId="77777777" w:rsidR="002313A0" w:rsidRPr="00B25A6C" w:rsidRDefault="00000000" w:rsidP="00B25A6C">
      <w:pPr>
        <w:pStyle w:val="Heading1"/>
        <w:jc w:val="both"/>
        <w:rPr>
          <w:rFonts w:ascii="Times New Roman" w:hAnsi="Times New Roman" w:cs="Times New Roman"/>
          <w:szCs w:val="24"/>
        </w:rPr>
      </w:pPr>
      <w:r w:rsidRPr="00B25A6C">
        <w:rPr>
          <w:rFonts w:ascii="Times New Roman" w:hAnsi="Times New Roman" w:cs="Times New Roman"/>
          <w:szCs w:val="24"/>
        </w:rPr>
        <w:t>How the split works</w:t>
      </w:r>
    </w:p>
    <w:p w14:paraId="5BD47A2E" w14:textId="7BB2D1AC" w:rsidR="002313A0" w:rsidRPr="00B25A6C" w:rsidRDefault="00000000" w:rsidP="00B25A6C">
      <w:pPr>
        <w:spacing w:after="0"/>
        <w:jc w:val="both"/>
        <w:rPr>
          <w:rFonts w:ascii="Times New Roman" w:hAnsi="Times New Roman" w:cs="Times New Roman"/>
          <w:sz w:val="24"/>
          <w:szCs w:val="24"/>
        </w:rPr>
      </w:pPr>
      <w:r w:rsidRPr="00B25A6C">
        <w:rPr>
          <w:rFonts w:ascii="Times New Roman" w:hAnsi="Times New Roman" w:cs="Times New Roman"/>
          <w:sz w:val="24"/>
          <w:szCs w:val="24"/>
        </w:rPr>
        <w:t>Each observation links a company’s financial information in year t to its auditor outcome in year t+1. The model therefore uses the earlier year’s features to predict the following year’s outcome.</w:t>
      </w:r>
    </w:p>
    <w:p w14:paraId="01603006" w14:textId="77777777" w:rsidR="002313A0" w:rsidRPr="00B25A6C" w:rsidRDefault="00000000" w:rsidP="00B25A6C">
      <w:pPr>
        <w:spacing w:after="0"/>
        <w:jc w:val="both"/>
        <w:rPr>
          <w:rFonts w:ascii="Times New Roman" w:hAnsi="Times New Roman" w:cs="Times New Roman"/>
          <w:sz w:val="24"/>
          <w:szCs w:val="24"/>
        </w:rPr>
      </w:pPr>
      <w:r w:rsidRPr="00B25A6C">
        <w:rPr>
          <w:rFonts w:ascii="Times New Roman" w:hAnsi="Times New Roman" w:cs="Times New Roman"/>
          <w:sz w:val="24"/>
          <w:szCs w:val="24"/>
        </w:rPr>
        <w:t>The usable dataset contains 36,246 company-year pairs. The split follows time order rather than assigning observations randomly. This helps keep the final test period separate from the data used to develop the model.</w:t>
      </w:r>
    </w:p>
    <w:p w14:paraId="621F0C93" w14:textId="77777777" w:rsidR="002313A0" w:rsidRPr="00B25A6C" w:rsidRDefault="00000000" w:rsidP="00B25A6C">
      <w:pPr>
        <w:pStyle w:val="Heading1"/>
        <w:jc w:val="both"/>
        <w:rPr>
          <w:rFonts w:ascii="Times New Roman" w:hAnsi="Times New Roman" w:cs="Times New Roman"/>
          <w:szCs w:val="24"/>
        </w:rPr>
      </w:pPr>
      <w:r w:rsidRPr="00B25A6C">
        <w:rPr>
          <w:rFonts w:ascii="Times New Roman" w:hAnsi="Times New Roman" w:cs="Times New Roman"/>
          <w:szCs w:val="24"/>
        </w:rPr>
        <w:t>Final data partitions</w:t>
      </w:r>
    </w:p>
    <w:p w14:paraId="5C325EA9" w14:textId="77777777" w:rsidR="002313A0" w:rsidRPr="00B25A6C" w:rsidRDefault="00000000" w:rsidP="00B25A6C">
      <w:pPr>
        <w:spacing w:after="0"/>
        <w:jc w:val="both"/>
        <w:rPr>
          <w:rFonts w:ascii="Times New Roman" w:hAnsi="Times New Roman" w:cs="Times New Roman"/>
          <w:sz w:val="24"/>
          <w:szCs w:val="24"/>
        </w:rPr>
      </w:pPr>
      <w:r w:rsidRPr="00B25A6C">
        <w:rPr>
          <w:rFonts w:ascii="Times New Roman" w:hAnsi="Times New Roman" w:cs="Times New Roman"/>
          <w:sz w:val="24"/>
          <w:szCs w:val="24"/>
        </w:rPr>
        <w:t>The final partitions below reflect the date filters applied to prevent information from a later period from entering model development.</w:t>
      </w:r>
    </w:p>
    <w:tbl>
      <w:tblPr>
        <w:tblStyle w:val="TableGrid"/>
        <w:tblW w:w="0" w:type="auto"/>
        <w:jc w:val="center"/>
        <w:tblLook w:val="04A0" w:firstRow="1" w:lastRow="0" w:firstColumn="1" w:lastColumn="0" w:noHBand="0" w:noVBand="1"/>
      </w:tblPr>
      <w:tblGrid>
        <w:gridCol w:w="1985"/>
        <w:gridCol w:w="1985"/>
        <w:gridCol w:w="1985"/>
        <w:gridCol w:w="1986"/>
        <w:gridCol w:w="1985"/>
      </w:tblGrid>
      <w:tr w:rsidR="002313A0" w:rsidRPr="00B25A6C" w14:paraId="6AFDE49D" w14:textId="77777777" w:rsidTr="00550293">
        <w:trPr>
          <w:jc w:val="center"/>
        </w:trPr>
        <w:tc>
          <w:tcPr>
            <w:tcW w:w="1987" w:type="dxa"/>
            <w:shd w:val="clear" w:color="auto" w:fill="BFBFBF" w:themeFill="background1" w:themeFillShade="BF"/>
            <w:vAlign w:val="center"/>
          </w:tcPr>
          <w:p w14:paraId="136656FC" w14:textId="77777777" w:rsidR="002313A0" w:rsidRPr="00550293" w:rsidRDefault="00000000" w:rsidP="00B25A6C">
            <w:pPr>
              <w:spacing w:after="0"/>
              <w:jc w:val="both"/>
              <w:rPr>
                <w:rFonts w:ascii="Times New Roman" w:hAnsi="Times New Roman" w:cs="Times New Roman"/>
                <w:b/>
                <w:sz w:val="24"/>
                <w:szCs w:val="24"/>
              </w:rPr>
            </w:pPr>
            <w:r w:rsidRPr="00550293">
              <w:rPr>
                <w:rFonts w:ascii="Times New Roman" w:hAnsi="Times New Roman" w:cs="Times New Roman"/>
                <w:b/>
                <w:sz w:val="24"/>
                <w:szCs w:val="24"/>
              </w:rPr>
              <w:t>Partition</w:t>
            </w:r>
          </w:p>
        </w:tc>
        <w:tc>
          <w:tcPr>
            <w:tcW w:w="1987" w:type="dxa"/>
            <w:shd w:val="clear" w:color="auto" w:fill="BFBFBF" w:themeFill="background1" w:themeFillShade="BF"/>
            <w:vAlign w:val="center"/>
          </w:tcPr>
          <w:p w14:paraId="5823B000" w14:textId="77777777" w:rsidR="002313A0" w:rsidRPr="00550293" w:rsidRDefault="00000000" w:rsidP="00B25A6C">
            <w:pPr>
              <w:spacing w:after="0"/>
              <w:jc w:val="both"/>
              <w:rPr>
                <w:rFonts w:ascii="Times New Roman" w:hAnsi="Times New Roman" w:cs="Times New Roman"/>
                <w:b/>
                <w:sz w:val="24"/>
                <w:szCs w:val="24"/>
              </w:rPr>
            </w:pPr>
            <w:r w:rsidRPr="00550293">
              <w:rPr>
                <w:rFonts w:ascii="Times New Roman" w:hAnsi="Times New Roman" w:cs="Times New Roman"/>
                <w:b/>
                <w:sz w:val="24"/>
                <w:szCs w:val="24"/>
              </w:rPr>
              <w:t>Feature years</w:t>
            </w:r>
          </w:p>
        </w:tc>
        <w:tc>
          <w:tcPr>
            <w:tcW w:w="1987" w:type="dxa"/>
            <w:shd w:val="clear" w:color="auto" w:fill="BFBFBF" w:themeFill="background1" w:themeFillShade="BF"/>
            <w:vAlign w:val="center"/>
          </w:tcPr>
          <w:p w14:paraId="6C23E184" w14:textId="77777777" w:rsidR="002313A0" w:rsidRPr="00550293" w:rsidRDefault="00000000" w:rsidP="00B25A6C">
            <w:pPr>
              <w:spacing w:after="0"/>
              <w:jc w:val="both"/>
              <w:rPr>
                <w:rFonts w:ascii="Times New Roman" w:hAnsi="Times New Roman" w:cs="Times New Roman"/>
                <w:b/>
                <w:sz w:val="24"/>
                <w:szCs w:val="24"/>
              </w:rPr>
            </w:pPr>
            <w:r w:rsidRPr="00550293">
              <w:rPr>
                <w:rFonts w:ascii="Times New Roman" w:hAnsi="Times New Roman" w:cs="Times New Roman"/>
                <w:b/>
                <w:sz w:val="24"/>
                <w:szCs w:val="24"/>
              </w:rPr>
              <w:t>Outcome years</w:t>
            </w:r>
          </w:p>
        </w:tc>
        <w:tc>
          <w:tcPr>
            <w:tcW w:w="1987" w:type="dxa"/>
            <w:shd w:val="clear" w:color="auto" w:fill="BFBFBF" w:themeFill="background1" w:themeFillShade="BF"/>
            <w:vAlign w:val="center"/>
          </w:tcPr>
          <w:p w14:paraId="378F65E9" w14:textId="77777777" w:rsidR="002313A0" w:rsidRPr="00550293" w:rsidRDefault="00000000" w:rsidP="00B25A6C">
            <w:pPr>
              <w:spacing w:after="0"/>
              <w:jc w:val="both"/>
              <w:rPr>
                <w:rFonts w:ascii="Times New Roman" w:hAnsi="Times New Roman" w:cs="Times New Roman"/>
                <w:b/>
                <w:sz w:val="24"/>
                <w:szCs w:val="24"/>
              </w:rPr>
            </w:pPr>
            <w:r w:rsidRPr="00550293">
              <w:rPr>
                <w:rFonts w:ascii="Times New Roman" w:hAnsi="Times New Roman" w:cs="Times New Roman"/>
                <w:b/>
                <w:sz w:val="24"/>
                <w:szCs w:val="24"/>
              </w:rPr>
              <w:t>Observations</w:t>
            </w:r>
          </w:p>
        </w:tc>
        <w:tc>
          <w:tcPr>
            <w:tcW w:w="1987" w:type="dxa"/>
            <w:shd w:val="clear" w:color="auto" w:fill="BFBFBF" w:themeFill="background1" w:themeFillShade="BF"/>
            <w:vAlign w:val="center"/>
          </w:tcPr>
          <w:p w14:paraId="13457749" w14:textId="77777777" w:rsidR="002313A0" w:rsidRPr="00550293" w:rsidRDefault="00000000" w:rsidP="00B25A6C">
            <w:pPr>
              <w:spacing w:after="0"/>
              <w:jc w:val="both"/>
              <w:rPr>
                <w:rFonts w:ascii="Times New Roman" w:hAnsi="Times New Roman" w:cs="Times New Roman"/>
                <w:b/>
                <w:sz w:val="24"/>
                <w:szCs w:val="24"/>
              </w:rPr>
            </w:pPr>
            <w:r w:rsidRPr="00550293">
              <w:rPr>
                <w:rFonts w:ascii="Times New Roman" w:hAnsi="Times New Roman" w:cs="Times New Roman"/>
                <w:b/>
                <w:sz w:val="24"/>
                <w:szCs w:val="24"/>
              </w:rPr>
              <w:t>Adverse rate</w:t>
            </w:r>
          </w:p>
        </w:tc>
      </w:tr>
      <w:tr w:rsidR="002313A0" w:rsidRPr="00B25A6C" w14:paraId="080001FA" w14:textId="77777777">
        <w:trPr>
          <w:jc w:val="center"/>
        </w:trPr>
        <w:tc>
          <w:tcPr>
            <w:tcW w:w="1987" w:type="dxa"/>
            <w:vAlign w:val="center"/>
          </w:tcPr>
          <w:p w14:paraId="2938449C" w14:textId="77777777" w:rsidR="002313A0" w:rsidRPr="00B25A6C" w:rsidRDefault="00000000" w:rsidP="00B25A6C">
            <w:pPr>
              <w:spacing w:after="0"/>
              <w:jc w:val="both"/>
              <w:rPr>
                <w:rFonts w:ascii="Times New Roman" w:hAnsi="Times New Roman" w:cs="Times New Roman"/>
                <w:sz w:val="24"/>
                <w:szCs w:val="24"/>
              </w:rPr>
            </w:pPr>
            <w:r w:rsidRPr="00B25A6C">
              <w:rPr>
                <w:rFonts w:ascii="Times New Roman" w:hAnsi="Times New Roman" w:cs="Times New Roman"/>
                <w:sz w:val="24"/>
                <w:szCs w:val="24"/>
              </w:rPr>
              <w:t>Training</w:t>
            </w:r>
          </w:p>
        </w:tc>
        <w:tc>
          <w:tcPr>
            <w:tcW w:w="1987" w:type="dxa"/>
            <w:vAlign w:val="center"/>
          </w:tcPr>
          <w:p w14:paraId="6EACEBF6" w14:textId="77777777" w:rsidR="002313A0" w:rsidRPr="00B25A6C" w:rsidRDefault="00000000" w:rsidP="00B25A6C">
            <w:pPr>
              <w:spacing w:after="0"/>
              <w:jc w:val="both"/>
              <w:rPr>
                <w:rFonts w:ascii="Times New Roman" w:hAnsi="Times New Roman" w:cs="Times New Roman"/>
                <w:sz w:val="24"/>
                <w:szCs w:val="24"/>
              </w:rPr>
            </w:pPr>
            <w:r w:rsidRPr="00B25A6C">
              <w:rPr>
                <w:rFonts w:ascii="Times New Roman" w:hAnsi="Times New Roman" w:cs="Times New Roman"/>
                <w:sz w:val="24"/>
                <w:szCs w:val="24"/>
              </w:rPr>
              <w:t>FY2011–FY2014</w:t>
            </w:r>
          </w:p>
        </w:tc>
        <w:tc>
          <w:tcPr>
            <w:tcW w:w="1987" w:type="dxa"/>
            <w:vAlign w:val="center"/>
          </w:tcPr>
          <w:p w14:paraId="7AE52DA8" w14:textId="77777777" w:rsidR="002313A0" w:rsidRPr="00B25A6C" w:rsidRDefault="00000000" w:rsidP="00B25A6C">
            <w:pPr>
              <w:spacing w:after="0"/>
              <w:jc w:val="both"/>
              <w:rPr>
                <w:rFonts w:ascii="Times New Roman" w:hAnsi="Times New Roman" w:cs="Times New Roman"/>
                <w:sz w:val="24"/>
                <w:szCs w:val="24"/>
              </w:rPr>
            </w:pPr>
            <w:r w:rsidRPr="00B25A6C">
              <w:rPr>
                <w:rFonts w:ascii="Times New Roman" w:hAnsi="Times New Roman" w:cs="Times New Roman"/>
                <w:sz w:val="24"/>
                <w:szCs w:val="24"/>
              </w:rPr>
              <w:t>FY2012–FY2015</w:t>
            </w:r>
          </w:p>
        </w:tc>
        <w:tc>
          <w:tcPr>
            <w:tcW w:w="1987" w:type="dxa"/>
            <w:vAlign w:val="center"/>
          </w:tcPr>
          <w:p w14:paraId="45157872" w14:textId="77777777" w:rsidR="002313A0" w:rsidRPr="00B25A6C" w:rsidRDefault="00000000" w:rsidP="00B25A6C">
            <w:pPr>
              <w:spacing w:after="0"/>
              <w:jc w:val="both"/>
              <w:rPr>
                <w:rFonts w:ascii="Times New Roman" w:hAnsi="Times New Roman" w:cs="Times New Roman"/>
                <w:sz w:val="24"/>
                <w:szCs w:val="24"/>
              </w:rPr>
            </w:pPr>
            <w:r w:rsidRPr="00B25A6C">
              <w:rPr>
                <w:rFonts w:ascii="Times New Roman" w:hAnsi="Times New Roman" w:cs="Times New Roman"/>
                <w:sz w:val="24"/>
                <w:szCs w:val="24"/>
              </w:rPr>
              <w:t>14,092</w:t>
            </w:r>
          </w:p>
        </w:tc>
        <w:tc>
          <w:tcPr>
            <w:tcW w:w="1987" w:type="dxa"/>
            <w:vAlign w:val="center"/>
          </w:tcPr>
          <w:p w14:paraId="63BA9556" w14:textId="77777777" w:rsidR="002313A0" w:rsidRPr="00B25A6C" w:rsidRDefault="00000000" w:rsidP="00B25A6C">
            <w:pPr>
              <w:spacing w:after="0"/>
              <w:jc w:val="both"/>
              <w:rPr>
                <w:rFonts w:ascii="Times New Roman" w:hAnsi="Times New Roman" w:cs="Times New Roman"/>
                <w:sz w:val="24"/>
                <w:szCs w:val="24"/>
              </w:rPr>
            </w:pPr>
            <w:r w:rsidRPr="00B25A6C">
              <w:rPr>
                <w:rFonts w:ascii="Times New Roman" w:hAnsi="Times New Roman" w:cs="Times New Roman"/>
                <w:sz w:val="24"/>
                <w:szCs w:val="24"/>
              </w:rPr>
              <w:t>3.70% (522 cases)</w:t>
            </w:r>
          </w:p>
        </w:tc>
      </w:tr>
      <w:tr w:rsidR="002313A0" w:rsidRPr="00B25A6C" w14:paraId="2F43BC2C" w14:textId="77777777">
        <w:trPr>
          <w:jc w:val="center"/>
        </w:trPr>
        <w:tc>
          <w:tcPr>
            <w:tcW w:w="1987" w:type="dxa"/>
            <w:vAlign w:val="center"/>
          </w:tcPr>
          <w:p w14:paraId="03587F5C" w14:textId="77777777" w:rsidR="002313A0" w:rsidRPr="00B25A6C" w:rsidRDefault="00000000" w:rsidP="00B25A6C">
            <w:pPr>
              <w:spacing w:after="0"/>
              <w:jc w:val="both"/>
              <w:rPr>
                <w:rFonts w:ascii="Times New Roman" w:hAnsi="Times New Roman" w:cs="Times New Roman"/>
                <w:sz w:val="24"/>
                <w:szCs w:val="24"/>
              </w:rPr>
            </w:pPr>
            <w:r w:rsidRPr="00B25A6C">
              <w:rPr>
                <w:rFonts w:ascii="Times New Roman" w:hAnsi="Times New Roman" w:cs="Times New Roman"/>
                <w:sz w:val="24"/>
                <w:szCs w:val="24"/>
              </w:rPr>
              <w:t>Validation</w:t>
            </w:r>
          </w:p>
        </w:tc>
        <w:tc>
          <w:tcPr>
            <w:tcW w:w="1987" w:type="dxa"/>
            <w:vAlign w:val="center"/>
          </w:tcPr>
          <w:p w14:paraId="751A8DFD" w14:textId="77777777" w:rsidR="002313A0" w:rsidRPr="00B25A6C" w:rsidRDefault="00000000" w:rsidP="00B25A6C">
            <w:pPr>
              <w:spacing w:after="0"/>
              <w:jc w:val="both"/>
              <w:rPr>
                <w:rFonts w:ascii="Times New Roman" w:hAnsi="Times New Roman" w:cs="Times New Roman"/>
                <w:sz w:val="24"/>
                <w:szCs w:val="24"/>
              </w:rPr>
            </w:pPr>
            <w:r w:rsidRPr="00B25A6C">
              <w:rPr>
                <w:rFonts w:ascii="Times New Roman" w:hAnsi="Times New Roman" w:cs="Times New Roman"/>
                <w:sz w:val="24"/>
                <w:szCs w:val="24"/>
              </w:rPr>
              <w:t>FY2016</w:t>
            </w:r>
          </w:p>
        </w:tc>
        <w:tc>
          <w:tcPr>
            <w:tcW w:w="1987" w:type="dxa"/>
            <w:vAlign w:val="center"/>
          </w:tcPr>
          <w:p w14:paraId="16C60B23" w14:textId="77777777" w:rsidR="002313A0" w:rsidRPr="00B25A6C" w:rsidRDefault="00000000" w:rsidP="00B25A6C">
            <w:pPr>
              <w:spacing w:after="0"/>
              <w:jc w:val="both"/>
              <w:rPr>
                <w:rFonts w:ascii="Times New Roman" w:hAnsi="Times New Roman" w:cs="Times New Roman"/>
                <w:sz w:val="24"/>
                <w:szCs w:val="24"/>
              </w:rPr>
            </w:pPr>
            <w:r w:rsidRPr="00B25A6C">
              <w:rPr>
                <w:rFonts w:ascii="Times New Roman" w:hAnsi="Times New Roman" w:cs="Times New Roman"/>
                <w:sz w:val="24"/>
                <w:szCs w:val="24"/>
              </w:rPr>
              <w:t>FY2017</w:t>
            </w:r>
          </w:p>
        </w:tc>
        <w:tc>
          <w:tcPr>
            <w:tcW w:w="1987" w:type="dxa"/>
            <w:vAlign w:val="center"/>
          </w:tcPr>
          <w:p w14:paraId="46A60AAB" w14:textId="77777777" w:rsidR="002313A0" w:rsidRPr="00B25A6C" w:rsidRDefault="00000000" w:rsidP="00B25A6C">
            <w:pPr>
              <w:spacing w:after="0"/>
              <w:jc w:val="both"/>
              <w:rPr>
                <w:rFonts w:ascii="Times New Roman" w:hAnsi="Times New Roman" w:cs="Times New Roman"/>
                <w:sz w:val="24"/>
                <w:szCs w:val="24"/>
              </w:rPr>
            </w:pPr>
            <w:r w:rsidRPr="00B25A6C">
              <w:rPr>
                <w:rFonts w:ascii="Times New Roman" w:hAnsi="Times New Roman" w:cs="Times New Roman"/>
                <w:sz w:val="24"/>
                <w:szCs w:val="24"/>
              </w:rPr>
              <w:t>3,253</w:t>
            </w:r>
          </w:p>
        </w:tc>
        <w:tc>
          <w:tcPr>
            <w:tcW w:w="1987" w:type="dxa"/>
            <w:vAlign w:val="center"/>
          </w:tcPr>
          <w:p w14:paraId="6AF40A80" w14:textId="77777777" w:rsidR="002313A0" w:rsidRPr="00B25A6C" w:rsidRDefault="00000000" w:rsidP="00B25A6C">
            <w:pPr>
              <w:spacing w:after="0"/>
              <w:jc w:val="both"/>
              <w:rPr>
                <w:rFonts w:ascii="Times New Roman" w:hAnsi="Times New Roman" w:cs="Times New Roman"/>
                <w:sz w:val="24"/>
                <w:szCs w:val="24"/>
              </w:rPr>
            </w:pPr>
            <w:r w:rsidRPr="00B25A6C">
              <w:rPr>
                <w:rFonts w:ascii="Times New Roman" w:hAnsi="Times New Roman" w:cs="Times New Roman"/>
                <w:sz w:val="24"/>
                <w:szCs w:val="24"/>
              </w:rPr>
              <w:t>3.57% (116 cases)</w:t>
            </w:r>
          </w:p>
        </w:tc>
      </w:tr>
      <w:tr w:rsidR="002313A0" w:rsidRPr="00B25A6C" w14:paraId="4CB94269" w14:textId="77777777">
        <w:trPr>
          <w:jc w:val="center"/>
        </w:trPr>
        <w:tc>
          <w:tcPr>
            <w:tcW w:w="1987" w:type="dxa"/>
            <w:vAlign w:val="center"/>
          </w:tcPr>
          <w:p w14:paraId="5496BE92" w14:textId="77777777" w:rsidR="002313A0" w:rsidRPr="00B25A6C" w:rsidRDefault="00000000" w:rsidP="00B25A6C">
            <w:pPr>
              <w:spacing w:after="0"/>
              <w:jc w:val="both"/>
              <w:rPr>
                <w:rFonts w:ascii="Times New Roman" w:hAnsi="Times New Roman" w:cs="Times New Roman"/>
                <w:sz w:val="24"/>
                <w:szCs w:val="24"/>
              </w:rPr>
            </w:pPr>
            <w:r w:rsidRPr="00B25A6C">
              <w:rPr>
                <w:rFonts w:ascii="Times New Roman" w:hAnsi="Times New Roman" w:cs="Times New Roman"/>
                <w:sz w:val="24"/>
                <w:szCs w:val="24"/>
              </w:rPr>
              <w:t>Final test</w:t>
            </w:r>
          </w:p>
        </w:tc>
        <w:tc>
          <w:tcPr>
            <w:tcW w:w="1987" w:type="dxa"/>
            <w:vAlign w:val="center"/>
          </w:tcPr>
          <w:p w14:paraId="3619D808" w14:textId="77777777" w:rsidR="002313A0" w:rsidRPr="00B25A6C" w:rsidRDefault="00000000" w:rsidP="00B25A6C">
            <w:pPr>
              <w:spacing w:after="0"/>
              <w:jc w:val="both"/>
              <w:rPr>
                <w:rFonts w:ascii="Times New Roman" w:hAnsi="Times New Roman" w:cs="Times New Roman"/>
                <w:sz w:val="24"/>
                <w:szCs w:val="24"/>
              </w:rPr>
            </w:pPr>
            <w:r w:rsidRPr="00B25A6C">
              <w:rPr>
                <w:rFonts w:ascii="Times New Roman" w:hAnsi="Times New Roman" w:cs="Times New Roman"/>
                <w:sz w:val="24"/>
                <w:szCs w:val="24"/>
              </w:rPr>
              <w:t>FY2018–FY2021</w:t>
            </w:r>
          </w:p>
        </w:tc>
        <w:tc>
          <w:tcPr>
            <w:tcW w:w="1987" w:type="dxa"/>
            <w:vAlign w:val="center"/>
          </w:tcPr>
          <w:p w14:paraId="18818173" w14:textId="77777777" w:rsidR="002313A0" w:rsidRPr="00B25A6C" w:rsidRDefault="00000000" w:rsidP="00B25A6C">
            <w:pPr>
              <w:spacing w:after="0"/>
              <w:jc w:val="both"/>
              <w:rPr>
                <w:rFonts w:ascii="Times New Roman" w:hAnsi="Times New Roman" w:cs="Times New Roman"/>
                <w:sz w:val="24"/>
                <w:szCs w:val="24"/>
              </w:rPr>
            </w:pPr>
            <w:r w:rsidRPr="00B25A6C">
              <w:rPr>
                <w:rFonts w:ascii="Times New Roman" w:hAnsi="Times New Roman" w:cs="Times New Roman"/>
                <w:sz w:val="24"/>
                <w:szCs w:val="24"/>
              </w:rPr>
              <w:t>FY2019–FY2022</w:t>
            </w:r>
          </w:p>
        </w:tc>
        <w:tc>
          <w:tcPr>
            <w:tcW w:w="1987" w:type="dxa"/>
            <w:vAlign w:val="center"/>
          </w:tcPr>
          <w:p w14:paraId="3B4FEAC0" w14:textId="77777777" w:rsidR="002313A0" w:rsidRPr="00B25A6C" w:rsidRDefault="00000000" w:rsidP="00B25A6C">
            <w:pPr>
              <w:spacing w:after="0"/>
              <w:jc w:val="both"/>
              <w:rPr>
                <w:rFonts w:ascii="Times New Roman" w:hAnsi="Times New Roman" w:cs="Times New Roman"/>
                <w:sz w:val="24"/>
                <w:szCs w:val="24"/>
              </w:rPr>
            </w:pPr>
            <w:r w:rsidRPr="00B25A6C">
              <w:rPr>
                <w:rFonts w:ascii="Times New Roman" w:hAnsi="Times New Roman" w:cs="Times New Roman"/>
                <w:sz w:val="24"/>
                <w:szCs w:val="24"/>
              </w:rPr>
              <w:t>12,325</w:t>
            </w:r>
          </w:p>
        </w:tc>
        <w:tc>
          <w:tcPr>
            <w:tcW w:w="1987" w:type="dxa"/>
            <w:vAlign w:val="center"/>
          </w:tcPr>
          <w:p w14:paraId="03ED96A7" w14:textId="77777777" w:rsidR="002313A0" w:rsidRPr="00B25A6C" w:rsidRDefault="00000000" w:rsidP="00B25A6C">
            <w:pPr>
              <w:spacing w:after="0"/>
              <w:jc w:val="both"/>
              <w:rPr>
                <w:rFonts w:ascii="Times New Roman" w:hAnsi="Times New Roman" w:cs="Times New Roman"/>
                <w:sz w:val="24"/>
                <w:szCs w:val="24"/>
              </w:rPr>
            </w:pPr>
            <w:r w:rsidRPr="00B25A6C">
              <w:rPr>
                <w:rFonts w:ascii="Times New Roman" w:hAnsi="Times New Roman" w:cs="Times New Roman"/>
                <w:sz w:val="24"/>
                <w:szCs w:val="24"/>
              </w:rPr>
              <w:t>3.82% (471 cases)</w:t>
            </w:r>
          </w:p>
        </w:tc>
      </w:tr>
    </w:tbl>
    <w:p w14:paraId="3B0B92CF" w14:textId="77777777" w:rsidR="00B25A6C" w:rsidRDefault="00B25A6C" w:rsidP="00B25A6C">
      <w:pPr>
        <w:spacing w:after="0"/>
        <w:jc w:val="both"/>
        <w:rPr>
          <w:rFonts w:ascii="Times New Roman" w:hAnsi="Times New Roman" w:cs="Times New Roman"/>
          <w:sz w:val="24"/>
          <w:szCs w:val="24"/>
        </w:rPr>
      </w:pPr>
    </w:p>
    <w:p w14:paraId="7A358364" w14:textId="47A5B488" w:rsidR="002313A0" w:rsidRPr="00B25A6C" w:rsidRDefault="00000000" w:rsidP="00B25A6C">
      <w:pPr>
        <w:spacing w:after="0"/>
        <w:jc w:val="both"/>
        <w:rPr>
          <w:rFonts w:ascii="Times New Roman" w:hAnsi="Times New Roman" w:cs="Times New Roman"/>
          <w:sz w:val="24"/>
          <w:szCs w:val="24"/>
        </w:rPr>
      </w:pPr>
      <w:r w:rsidRPr="00B25A6C">
        <w:rPr>
          <w:rFonts w:ascii="Times New Roman" w:hAnsi="Times New Roman" w:cs="Times New Roman"/>
          <w:sz w:val="24"/>
          <w:szCs w:val="24"/>
        </w:rPr>
        <w:t xml:space="preserve">The training data are used to fit the model, the validation data help compare or select model settings, and the final test data </w:t>
      </w:r>
      <w:r w:rsidR="00B25A6C" w:rsidRPr="00B25A6C">
        <w:rPr>
          <w:rFonts w:ascii="Times New Roman" w:hAnsi="Times New Roman" w:cs="Times New Roman"/>
          <w:sz w:val="24"/>
          <w:szCs w:val="24"/>
        </w:rPr>
        <w:t>provides</w:t>
      </w:r>
      <w:r w:rsidRPr="00B25A6C">
        <w:rPr>
          <w:rFonts w:ascii="Times New Roman" w:hAnsi="Times New Roman" w:cs="Times New Roman"/>
          <w:sz w:val="24"/>
          <w:szCs w:val="24"/>
        </w:rPr>
        <w:t xml:space="preserve"> an independent assessment of performance.</w:t>
      </w:r>
    </w:p>
    <w:p w14:paraId="71FE9DF1" w14:textId="77777777" w:rsidR="002313A0" w:rsidRPr="00B25A6C" w:rsidRDefault="00000000" w:rsidP="00B25A6C">
      <w:pPr>
        <w:pStyle w:val="Heading1"/>
        <w:jc w:val="both"/>
        <w:rPr>
          <w:rFonts w:ascii="Times New Roman" w:hAnsi="Times New Roman" w:cs="Times New Roman"/>
          <w:szCs w:val="24"/>
        </w:rPr>
      </w:pPr>
      <w:r w:rsidRPr="00B25A6C">
        <w:rPr>
          <w:rFonts w:ascii="Times New Roman" w:hAnsi="Times New Roman" w:cs="Times New Roman"/>
          <w:szCs w:val="24"/>
        </w:rPr>
        <w:t>Key checks and interpretation</w:t>
      </w:r>
    </w:p>
    <w:p w14:paraId="4FFE2840" w14:textId="29CEB436" w:rsidR="002313A0" w:rsidRDefault="00000000" w:rsidP="00B25A6C">
      <w:pPr>
        <w:spacing w:after="0"/>
        <w:jc w:val="both"/>
        <w:rPr>
          <w:rFonts w:ascii="Times New Roman" w:hAnsi="Times New Roman" w:cs="Times New Roman"/>
          <w:sz w:val="24"/>
          <w:szCs w:val="24"/>
        </w:rPr>
      </w:pPr>
      <w:r w:rsidRPr="00B25A6C">
        <w:rPr>
          <w:rFonts w:ascii="Times New Roman" w:hAnsi="Times New Roman" w:cs="Times New Roman"/>
          <w:sz w:val="24"/>
          <w:szCs w:val="24"/>
        </w:rPr>
        <w:t>The checks confirmed that the partitions follow the intended time order, that the observations do not overlap across partitions, and that each feature year is matched to the following year’s auditor outcome</w:t>
      </w:r>
      <w:r w:rsidR="00AE0623">
        <w:rPr>
          <w:rFonts w:ascii="Times New Roman" w:hAnsi="Times New Roman" w:cs="Times New Roman"/>
          <w:sz w:val="24"/>
          <w:szCs w:val="24"/>
        </w:rPr>
        <w:t>.</w:t>
      </w:r>
    </w:p>
    <w:p w14:paraId="4FDE6E7D" w14:textId="77777777" w:rsidR="00B25A6C" w:rsidRPr="00B25A6C" w:rsidRDefault="00B25A6C" w:rsidP="00B25A6C">
      <w:pPr>
        <w:spacing w:after="0"/>
        <w:jc w:val="both"/>
        <w:rPr>
          <w:rFonts w:ascii="Times New Roman" w:hAnsi="Times New Roman" w:cs="Times New Roman"/>
          <w:sz w:val="24"/>
          <w:szCs w:val="24"/>
        </w:rPr>
      </w:pPr>
    </w:p>
    <w:p w14:paraId="645B0946" w14:textId="77777777" w:rsidR="002313A0" w:rsidRPr="00B25A6C" w:rsidRDefault="00000000" w:rsidP="00B25A6C">
      <w:pPr>
        <w:spacing w:after="0"/>
        <w:jc w:val="both"/>
        <w:rPr>
          <w:rFonts w:ascii="Times New Roman" w:hAnsi="Times New Roman" w:cs="Times New Roman"/>
          <w:sz w:val="24"/>
          <w:szCs w:val="24"/>
        </w:rPr>
      </w:pPr>
      <w:r w:rsidRPr="00B25A6C">
        <w:rPr>
          <w:rFonts w:ascii="Times New Roman" w:hAnsi="Times New Roman" w:cs="Times New Roman"/>
          <w:sz w:val="24"/>
          <w:szCs w:val="24"/>
        </w:rPr>
        <w:t>The adverse outcome rate is low in all three partitions, ranging from 3.57% to 3.82%. The rates are similar across the periods, which is helpful for comparison. Because adverse cases are relatively uncommon, model performance should be assessed with measures that capture how well the model identifies adverse cases, rather than relying on accuracy alone.</w:t>
      </w:r>
    </w:p>
    <w:p w14:paraId="137F9D19" w14:textId="77777777" w:rsidR="002313A0" w:rsidRPr="00B25A6C" w:rsidRDefault="00000000" w:rsidP="00B25A6C">
      <w:pPr>
        <w:pStyle w:val="Heading1"/>
        <w:jc w:val="both"/>
        <w:rPr>
          <w:rFonts w:ascii="Times New Roman" w:hAnsi="Times New Roman" w:cs="Times New Roman"/>
          <w:szCs w:val="24"/>
        </w:rPr>
      </w:pPr>
      <w:r w:rsidRPr="00B25A6C">
        <w:rPr>
          <w:rFonts w:ascii="Times New Roman" w:hAnsi="Times New Roman" w:cs="Times New Roman"/>
          <w:szCs w:val="24"/>
        </w:rPr>
        <w:t>Important limitation</w:t>
      </w:r>
    </w:p>
    <w:p w14:paraId="21BA7351" w14:textId="3216749E" w:rsidR="002313A0" w:rsidRDefault="00000000" w:rsidP="00B25A6C">
      <w:pPr>
        <w:spacing w:after="0"/>
        <w:jc w:val="both"/>
        <w:rPr>
          <w:rFonts w:ascii="Times New Roman" w:hAnsi="Times New Roman" w:cs="Times New Roman"/>
          <w:sz w:val="24"/>
          <w:szCs w:val="24"/>
        </w:rPr>
      </w:pPr>
      <w:r w:rsidRPr="00B25A6C">
        <w:rPr>
          <w:rFonts w:ascii="Times New Roman" w:hAnsi="Times New Roman" w:cs="Times New Roman"/>
          <w:sz w:val="24"/>
          <w:szCs w:val="24"/>
        </w:rPr>
        <w:t xml:space="preserve">The split uses INFO_DATE, defined as three months after fiscal year-end, as the assumed date when information became available. Actual auditor report publication dates were not verified, so this </w:t>
      </w:r>
      <w:r w:rsidR="00B25A6C" w:rsidRPr="00B25A6C">
        <w:rPr>
          <w:rFonts w:ascii="Times New Roman" w:hAnsi="Times New Roman" w:cs="Times New Roman"/>
          <w:sz w:val="24"/>
          <w:szCs w:val="24"/>
        </w:rPr>
        <w:t>approximates</w:t>
      </w:r>
      <w:r w:rsidRPr="00B25A6C">
        <w:rPr>
          <w:rFonts w:ascii="Times New Roman" w:hAnsi="Times New Roman" w:cs="Times New Roman"/>
          <w:sz w:val="24"/>
          <w:szCs w:val="24"/>
        </w:rPr>
        <w:t xml:space="preserve"> real-world information availability.</w:t>
      </w:r>
    </w:p>
    <w:p w14:paraId="65B731E2" w14:textId="77777777" w:rsidR="00B25A6C" w:rsidRPr="00B25A6C" w:rsidRDefault="00B25A6C" w:rsidP="00B25A6C">
      <w:pPr>
        <w:spacing w:after="0"/>
        <w:jc w:val="both"/>
        <w:rPr>
          <w:rFonts w:ascii="Times New Roman" w:hAnsi="Times New Roman" w:cs="Times New Roman"/>
          <w:sz w:val="24"/>
          <w:szCs w:val="24"/>
        </w:rPr>
      </w:pPr>
    </w:p>
    <w:p w14:paraId="08E6BCDA" w14:textId="400198AF" w:rsidR="002313A0" w:rsidRPr="00B25A6C" w:rsidRDefault="00B25A6C" w:rsidP="00B25A6C">
      <w:pPr>
        <w:spacing w:after="0"/>
        <w:jc w:val="both"/>
        <w:rPr>
          <w:rFonts w:ascii="Times New Roman" w:hAnsi="Times New Roman" w:cs="Times New Roman"/>
          <w:sz w:val="24"/>
          <w:szCs w:val="24"/>
        </w:rPr>
      </w:pPr>
      <w:r w:rsidRPr="00B25A6C">
        <w:rPr>
          <w:rFonts w:ascii="Times New Roman" w:hAnsi="Times New Roman" w:cs="Times New Roman"/>
          <w:bCs/>
          <w:sz w:val="24"/>
          <w:szCs w:val="24"/>
        </w:rPr>
        <w:t>In conclusion,</w:t>
      </w:r>
      <w:r>
        <w:rPr>
          <w:rFonts w:ascii="Times New Roman" w:hAnsi="Times New Roman" w:cs="Times New Roman"/>
          <w:b/>
          <w:sz w:val="24"/>
          <w:szCs w:val="24"/>
        </w:rPr>
        <w:t xml:space="preserve"> </w:t>
      </w:r>
      <w:r>
        <w:rPr>
          <w:rFonts w:ascii="Times New Roman" w:hAnsi="Times New Roman" w:cs="Times New Roman"/>
          <w:bCs/>
          <w:sz w:val="24"/>
          <w:szCs w:val="24"/>
        </w:rPr>
        <w:t>t</w:t>
      </w:r>
      <w:r w:rsidRPr="00B25A6C">
        <w:rPr>
          <w:rFonts w:ascii="Times New Roman" w:hAnsi="Times New Roman" w:cs="Times New Roman"/>
          <w:sz w:val="24"/>
          <w:szCs w:val="24"/>
        </w:rPr>
        <w:t>he temporal split provides a clear and consistent way to develop and evaluate the model using past information to predict future auditor outcomes. The date checks reduce the risk of information leakage, while the INFO_DATE limitation should be kept in mind when interpreting the results.</w:t>
      </w:r>
    </w:p>
    <w:sectPr w:rsidR="002313A0" w:rsidRPr="00B25A6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9342110">
    <w:abstractNumId w:val="8"/>
  </w:num>
  <w:num w:numId="2" w16cid:durableId="1310092777">
    <w:abstractNumId w:val="6"/>
  </w:num>
  <w:num w:numId="3" w16cid:durableId="2143227816">
    <w:abstractNumId w:val="5"/>
  </w:num>
  <w:num w:numId="4" w16cid:durableId="297683684">
    <w:abstractNumId w:val="4"/>
  </w:num>
  <w:num w:numId="5" w16cid:durableId="1893535326">
    <w:abstractNumId w:val="7"/>
  </w:num>
  <w:num w:numId="6" w16cid:durableId="2010517360">
    <w:abstractNumId w:val="3"/>
  </w:num>
  <w:num w:numId="7" w16cid:durableId="899483587">
    <w:abstractNumId w:val="2"/>
  </w:num>
  <w:num w:numId="8" w16cid:durableId="1726178109">
    <w:abstractNumId w:val="1"/>
  </w:num>
  <w:num w:numId="9" w16cid:durableId="1617173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13A0"/>
    <w:rsid w:val="0029639D"/>
    <w:rsid w:val="00326F90"/>
    <w:rsid w:val="00487743"/>
    <w:rsid w:val="00550293"/>
    <w:rsid w:val="005C1B3D"/>
    <w:rsid w:val="00AA1D8D"/>
    <w:rsid w:val="00AE0623"/>
    <w:rsid w:val="00B25A6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212399"/>
  <w14:defaultImageDpi w14:val="300"/>
  <w15:docId w15:val="{F76595A7-20EB-42EC-9662-1E724162A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373</Words>
  <Characters>2128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Kasambara, Taona</cp:lastModifiedBy>
  <cp:revision>5</cp:revision>
  <dcterms:created xsi:type="dcterms:W3CDTF">2026-10-09T03:24:00Z</dcterms:created>
  <dcterms:modified xsi:type="dcterms:W3CDTF">2026-10-09T03:36:00Z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bc90726da2845665884d53abe58e13fa8c16e814aa4db8bd2f5547c4519608bc</vt:lpwstr>
  </property>
</Properties>
</file>