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164A9" w14:textId="77777777" w:rsidR="00271BCE" w:rsidRPr="00271BCE" w:rsidRDefault="00271BCE" w:rsidP="00271BCE">
      <w:pPr>
        <w:spacing w:before="100" w:beforeAutospacing="1" w:after="100" w:afterAutospacing="1" w:line="240" w:lineRule="auto"/>
        <w:outlineLvl w:val="0"/>
        <w:rPr>
          <w:rFonts w:ascii="Calibri" w:eastAsia="Times New Roman" w:hAnsi="Calibri" w:cs="Calibri"/>
          <w:b/>
          <w:bCs/>
          <w:kern w:val="36"/>
          <w14:ligatures w14:val="none"/>
        </w:rPr>
      </w:pPr>
      <w:r w:rsidRPr="00271BCE">
        <w:rPr>
          <w:rFonts w:ascii="Calibri" w:eastAsia="Times New Roman" w:hAnsi="Calibri" w:cs="Calibri"/>
          <w:b/>
          <w:bCs/>
          <w:kern w:val="36"/>
          <w14:ligatures w14:val="none"/>
        </w:rPr>
        <w:t>Data Preparation and Risk Model Development</w:t>
      </w:r>
    </w:p>
    <w:p w14:paraId="574F75FE"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 completed the data preparation, model comparison, probability calibration and model saving work for tasks 1.1 to 1.6 of the Agentic Risk Analyst project.</w:t>
      </w:r>
    </w:p>
    <w:p w14:paraId="1E6E7FDF"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model uses a company’s financial information from one fiscal year to estimate whether it will receive an adverse opinion on internal controls in the following fiscal year. The outcome represents a material weakness in internal controls. It does not establish that fraud or a financial misstatement occurred.</w:t>
      </w:r>
    </w:p>
    <w:p w14:paraId="102C4563"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Task 1.1 Label filtering</w:t>
      </w:r>
    </w:p>
    <w:p w14:paraId="0D6EA35C"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original dataset, final_panel.csv, contains 83,726 company and year observations from 12,275 firms, covering fiscal years 2011 to 2022. I checked that company identifiers and fiscal years were present and that there were no duplicate company and year records.</w:t>
      </w:r>
    </w:p>
    <w:p w14:paraId="687DC355" w14:textId="757B9C2E"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I retained only observations with </w:t>
      </w:r>
      <w:proofErr w:type="spellStart"/>
      <w:r w:rsidRPr="00271BCE">
        <w:rPr>
          <w:rFonts w:ascii="Calibri" w:eastAsia="Times New Roman" w:hAnsi="Calibri" w:cs="Calibri"/>
          <w:kern w:val="0"/>
          <w14:ligatures w14:val="none"/>
        </w:rPr>
        <w:t>auopic</w:t>
      </w:r>
      <w:proofErr w:type="spellEnd"/>
      <w:r w:rsidRPr="00271BCE">
        <w:rPr>
          <w:rFonts w:ascii="Calibri" w:eastAsia="Times New Roman" w:hAnsi="Calibri" w:cs="Calibri"/>
          <w:kern w:val="0"/>
          <w14:ligatures w14:val="none"/>
        </w:rPr>
        <w:t xml:space="preserve"> codes 1 and 2. Code 1 represents effective internal controls, while code 2 represents an adverse opinion. </w:t>
      </w:r>
    </w:p>
    <w:p w14:paraId="3BBB7596"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filter retained 42,728 observations from 6,187 firms. Of these, 2,009 had adverse opinions, giving an adverse rate of 4.70%. Incorrectly treating code 0 as an effective control opinion would reduce this rate to 2.41%, substantially changing the modelling problem.</w:t>
      </w:r>
    </w:p>
    <w:p w14:paraId="219ACFF0"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Task 1.2 Outcome timing</w:t>
      </w:r>
    </w:p>
    <w:p w14:paraId="4B27F8DD"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 chose to predict the following fiscal year’s opinion using the current fiscal year’s financial information.</w:t>
      </w:r>
    </w:p>
    <w:p w14:paraId="5783057C"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Each observation was matched to the same company in exactly the following fiscal year. This prevents a company with missing years from being matched to an opinion several years later. Both the predictor year and outcome year must have an assessed opinion.</w:t>
      </w:r>
    </w:p>
    <w:p w14:paraId="58763FA9"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This produced 36,246 consecutive year pairs, including 1,433 adverse outcomes. The adverse rate in this sample was 3.95%. Another 6,482 observations did not have an eligible opinion in the exact following year and were excluded.</w:t>
      </w:r>
    </w:p>
    <w:p w14:paraId="4B751986" w14:textId="222382D4" w:rsid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I used INFO_DATE as the assumed date when the financial information becomes available. </w:t>
      </w:r>
    </w:p>
    <w:p w14:paraId="1AA13307" w14:textId="77777777" w:rsid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7619EA91" w14:textId="77777777" w:rsid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0DC5750B"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66610F6E"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lastRenderedPageBreak/>
        <w:t>Task 1.3 Financial features and missing values</w:t>
      </w:r>
    </w:p>
    <w:p w14:paraId="3499E26D"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I retained 18 existing financial features and added CFsale, calculated as </w:t>
      </w:r>
      <w:proofErr w:type="spellStart"/>
      <w:r w:rsidRPr="00271BCE">
        <w:rPr>
          <w:rFonts w:ascii="Calibri" w:eastAsia="Times New Roman" w:hAnsi="Calibri" w:cs="Calibri"/>
          <w:kern w:val="0"/>
          <w14:ligatures w14:val="none"/>
        </w:rPr>
        <w:t>oibdp</w:t>
      </w:r>
      <w:proofErr w:type="spellEnd"/>
      <w:r w:rsidRPr="00271BCE">
        <w:rPr>
          <w:rFonts w:ascii="Calibri" w:eastAsia="Times New Roman" w:hAnsi="Calibri" w:cs="Calibri"/>
          <w:kern w:val="0"/>
          <w14:ligatures w14:val="none"/>
        </w:rPr>
        <w:t xml:space="preserve"> / sale, following the project plan. The final model uses 19 financial predictors covering company size, profitability, liquidity, valuation, inventory and capital intensity.</w:t>
      </w:r>
    </w:p>
    <w:p w14:paraId="0E9045EB" w14:textId="7525AC68"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Zero sales cannot produce a valid CFsale ratio, so these cases were treated as missing</w:t>
      </w:r>
      <w:r>
        <w:rPr>
          <w:rFonts w:ascii="Calibri" w:eastAsia="Times New Roman" w:hAnsi="Calibri" w:cs="Calibri"/>
          <w:kern w:val="0"/>
          <w14:ligatures w14:val="none"/>
        </w:rPr>
        <w:t>.</w:t>
      </w:r>
    </w:p>
    <w:p w14:paraId="4FD70570"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Inventory turnover had 28.62% missing values and dividend payout had 25.01%. I retained both features rather than remove them under the earlier assumption that their missingness exceeded 40%.</w:t>
      </w:r>
    </w:p>
    <w:p w14:paraId="06F874F4"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Missing financial values were replaced with medians learned from the training set. Missing value indicators were also included so the model could distinguish an imputed value from an observed value. This produced 37 inputs after preprocessing. I did not drop observations simply because some financial features were missing.</w:t>
      </w:r>
    </w:p>
    <w:p w14:paraId="04AB7143" w14:textId="5181FF73" w:rsid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The workflow uses the original financial columns rather than the separate columns. </w:t>
      </w:r>
    </w:p>
    <w:p w14:paraId="2467C3E0"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4024C8CB"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Task 1.4 Temporal split</w:t>
      </w:r>
    </w:p>
    <w:p w14:paraId="5E37E917"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 separated the observations into training, validation and test periods. I also excluded boundary observations when their outcome availability date overlapped the next period’s earliest prediction date.</w:t>
      </w:r>
    </w:p>
    <w:p w14:paraId="21F5ECED"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actual retained periods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381"/>
        <w:gridCol w:w="2318"/>
        <w:gridCol w:w="1569"/>
        <w:gridCol w:w="1348"/>
      </w:tblGrid>
      <w:tr w:rsidR="00271BCE" w:rsidRPr="00271BCE" w14:paraId="7E71D736" w14:textId="77777777">
        <w:trPr>
          <w:tblCellSpacing w:w="15" w:type="dxa"/>
        </w:trPr>
        <w:tc>
          <w:tcPr>
            <w:tcW w:w="0" w:type="auto"/>
            <w:vAlign w:val="center"/>
            <w:hideMark/>
          </w:tcPr>
          <w:p w14:paraId="728F0434"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Dataset</w:t>
            </w:r>
          </w:p>
        </w:tc>
        <w:tc>
          <w:tcPr>
            <w:tcW w:w="0" w:type="auto"/>
            <w:vAlign w:val="center"/>
            <w:hideMark/>
          </w:tcPr>
          <w:p w14:paraId="73A1435C"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Observations</w:t>
            </w:r>
          </w:p>
        </w:tc>
        <w:tc>
          <w:tcPr>
            <w:tcW w:w="0" w:type="auto"/>
            <w:vAlign w:val="center"/>
            <w:hideMark/>
          </w:tcPr>
          <w:p w14:paraId="0CA22606"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Financial feature years</w:t>
            </w:r>
          </w:p>
        </w:tc>
        <w:tc>
          <w:tcPr>
            <w:tcW w:w="0" w:type="auto"/>
            <w:vAlign w:val="center"/>
            <w:hideMark/>
          </w:tcPr>
          <w:p w14:paraId="4399628F"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Outcome years</w:t>
            </w:r>
          </w:p>
        </w:tc>
        <w:tc>
          <w:tcPr>
            <w:tcW w:w="0" w:type="auto"/>
            <w:vAlign w:val="center"/>
            <w:hideMark/>
          </w:tcPr>
          <w:p w14:paraId="6E66F27F"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Adverse rate</w:t>
            </w:r>
          </w:p>
        </w:tc>
      </w:tr>
      <w:tr w:rsidR="00271BCE" w:rsidRPr="00271BCE" w14:paraId="1C09154F" w14:textId="77777777">
        <w:trPr>
          <w:tblCellSpacing w:w="15" w:type="dxa"/>
        </w:trPr>
        <w:tc>
          <w:tcPr>
            <w:tcW w:w="0" w:type="auto"/>
            <w:vAlign w:val="center"/>
            <w:hideMark/>
          </w:tcPr>
          <w:p w14:paraId="705A342A"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Training</w:t>
            </w:r>
          </w:p>
        </w:tc>
        <w:tc>
          <w:tcPr>
            <w:tcW w:w="0" w:type="auto"/>
            <w:vAlign w:val="center"/>
            <w:hideMark/>
          </w:tcPr>
          <w:p w14:paraId="4F9031B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10,646</w:t>
            </w:r>
          </w:p>
        </w:tc>
        <w:tc>
          <w:tcPr>
            <w:tcW w:w="0" w:type="auto"/>
            <w:vAlign w:val="center"/>
            <w:hideMark/>
          </w:tcPr>
          <w:p w14:paraId="69CFCFBB"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2011 to 2013</w:t>
            </w:r>
          </w:p>
        </w:tc>
        <w:tc>
          <w:tcPr>
            <w:tcW w:w="0" w:type="auto"/>
            <w:vAlign w:val="center"/>
            <w:hideMark/>
          </w:tcPr>
          <w:p w14:paraId="6461371C"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2012 to 2014</w:t>
            </w:r>
          </w:p>
        </w:tc>
        <w:tc>
          <w:tcPr>
            <w:tcW w:w="0" w:type="auto"/>
            <w:vAlign w:val="center"/>
            <w:hideMark/>
          </w:tcPr>
          <w:p w14:paraId="008C28E2"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3.50%</w:t>
            </w:r>
          </w:p>
        </w:tc>
      </w:tr>
      <w:tr w:rsidR="00271BCE" w:rsidRPr="00271BCE" w14:paraId="6211ED17" w14:textId="77777777">
        <w:trPr>
          <w:tblCellSpacing w:w="15" w:type="dxa"/>
        </w:trPr>
        <w:tc>
          <w:tcPr>
            <w:tcW w:w="0" w:type="auto"/>
            <w:vAlign w:val="center"/>
            <w:hideMark/>
          </w:tcPr>
          <w:p w14:paraId="23833BD0"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Validation</w:t>
            </w:r>
          </w:p>
        </w:tc>
        <w:tc>
          <w:tcPr>
            <w:tcW w:w="0" w:type="auto"/>
            <w:vAlign w:val="center"/>
            <w:hideMark/>
          </w:tcPr>
          <w:p w14:paraId="7C9A5DCF"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3,365</w:t>
            </w:r>
          </w:p>
        </w:tc>
        <w:tc>
          <w:tcPr>
            <w:tcW w:w="0" w:type="auto"/>
            <w:vAlign w:val="center"/>
            <w:hideMark/>
          </w:tcPr>
          <w:p w14:paraId="490DBC1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2015</w:t>
            </w:r>
          </w:p>
        </w:tc>
        <w:tc>
          <w:tcPr>
            <w:tcW w:w="0" w:type="auto"/>
            <w:vAlign w:val="center"/>
            <w:hideMark/>
          </w:tcPr>
          <w:p w14:paraId="2EF546AD"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2016</w:t>
            </w:r>
          </w:p>
        </w:tc>
        <w:tc>
          <w:tcPr>
            <w:tcW w:w="0" w:type="auto"/>
            <w:vAlign w:val="center"/>
            <w:hideMark/>
          </w:tcPr>
          <w:p w14:paraId="12A5148C"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4.96%</w:t>
            </w:r>
          </w:p>
        </w:tc>
      </w:tr>
      <w:tr w:rsidR="00271BCE" w:rsidRPr="00271BCE" w14:paraId="1B7B07D6" w14:textId="77777777">
        <w:trPr>
          <w:tblCellSpacing w:w="15" w:type="dxa"/>
        </w:trPr>
        <w:tc>
          <w:tcPr>
            <w:tcW w:w="0" w:type="auto"/>
            <w:vAlign w:val="center"/>
            <w:hideMark/>
          </w:tcPr>
          <w:p w14:paraId="64C167F7"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Test</w:t>
            </w:r>
          </w:p>
        </w:tc>
        <w:tc>
          <w:tcPr>
            <w:tcW w:w="0" w:type="auto"/>
            <w:vAlign w:val="center"/>
            <w:hideMark/>
          </w:tcPr>
          <w:p w14:paraId="6ABE5C0C"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15,536</w:t>
            </w:r>
          </w:p>
        </w:tc>
        <w:tc>
          <w:tcPr>
            <w:tcW w:w="0" w:type="auto"/>
            <w:vAlign w:val="center"/>
            <w:hideMark/>
          </w:tcPr>
          <w:p w14:paraId="23DE3917"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2017 to 2021</w:t>
            </w:r>
          </w:p>
        </w:tc>
        <w:tc>
          <w:tcPr>
            <w:tcW w:w="0" w:type="auto"/>
            <w:vAlign w:val="center"/>
            <w:hideMark/>
          </w:tcPr>
          <w:p w14:paraId="1F40DD1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2018 to 2022</w:t>
            </w:r>
          </w:p>
        </w:tc>
        <w:tc>
          <w:tcPr>
            <w:tcW w:w="0" w:type="auto"/>
            <w:vAlign w:val="center"/>
            <w:hideMark/>
          </w:tcPr>
          <w:p w14:paraId="166E2B2D"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4.04%</w:t>
            </w:r>
          </w:p>
        </w:tc>
      </w:tr>
    </w:tbl>
    <w:p w14:paraId="59E84FD8"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timing checks excluded 3,446 training candidates and 3,253 validation candidates. This conservative approach reduces the available training data and leaves one outcome year for validation. The split should therefore be reviewed with the team.</w:t>
      </w:r>
    </w:p>
    <w:p w14:paraId="404BE6AA"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All fitted preprocessing used training data only. Validation data were used to compare models and fit calibration.</w:t>
      </w:r>
    </w:p>
    <w:p w14:paraId="3ADCCF64"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Task 1.5 Model comparison</w:t>
      </w:r>
    </w:p>
    <w:p w14:paraId="440CFBAE"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lastRenderedPageBreak/>
        <w:t xml:space="preserve">I trained logistic regression as the required baseline and compared it with Random Forest and </w:t>
      </w:r>
      <w:proofErr w:type="spellStart"/>
      <w:r w:rsidRPr="00271BCE">
        <w:rPr>
          <w:rFonts w:ascii="Calibri" w:eastAsia="Times New Roman" w:hAnsi="Calibri" w:cs="Calibri"/>
          <w:kern w:val="0"/>
          <w14:ligatures w14:val="none"/>
        </w:rPr>
        <w:t>XGBoost</w:t>
      </w:r>
      <w:proofErr w:type="spellEnd"/>
      <w:r w:rsidRPr="00271BCE">
        <w:rPr>
          <w:rFonts w:ascii="Calibri" w:eastAsia="Times New Roman" w:hAnsi="Calibri" w:cs="Calibri"/>
          <w:kern w:val="0"/>
          <w14:ligatures w14:val="none"/>
        </w:rPr>
        <w:t>. All three models used the same financial features and validation observations. The main workflow does not include control opinion history or industry codes as predictors.</w:t>
      </w:r>
    </w:p>
    <w:p w14:paraId="41201F92"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validation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983"/>
      </w:tblGrid>
      <w:tr w:rsidR="00271BCE" w:rsidRPr="00271BCE" w14:paraId="654BC1A4" w14:textId="77777777">
        <w:trPr>
          <w:tblCellSpacing w:w="15" w:type="dxa"/>
        </w:trPr>
        <w:tc>
          <w:tcPr>
            <w:tcW w:w="0" w:type="auto"/>
            <w:vAlign w:val="center"/>
            <w:hideMark/>
          </w:tcPr>
          <w:p w14:paraId="08680A52"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Model</w:t>
            </w:r>
          </w:p>
        </w:tc>
        <w:tc>
          <w:tcPr>
            <w:tcW w:w="0" w:type="auto"/>
            <w:vAlign w:val="center"/>
            <w:hideMark/>
          </w:tcPr>
          <w:p w14:paraId="1A609CF2"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ROC AUC</w:t>
            </w:r>
          </w:p>
        </w:tc>
      </w:tr>
      <w:tr w:rsidR="00271BCE" w:rsidRPr="00271BCE" w14:paraId="32947A75" w14:textId="77777777">
        <w:trPr>
          <w:tblCellSpacing w:w="15" w:type="dxa"/>
        </w:trPr>
        <w:tc>
          <w:tcPr>
            <w:tcW w:w="0" w:type="auto"/>
            <w:vAlign w:val="center"/>
            <w:hideMark/>
          </w:tcPr>
          <w:p w14:paraId="26509CC7"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Logistic regression</w:t>
            </w:r>
          </w:p>
        </w:tc>
        <w:tc>
          <w:tcPr>
            <w:tcW w:w="0" w:type="auto"/>
            <w:vAlign w:val="center"/>
            <w:hideMark/>
          </w:tcPr>
          <w:p w14:paraId="7D9B3CDB"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0.6202</w:t>
            </w:r>
          </w:p>
        </w:tc>
      </w:tr>
      <w:tr w:rsidR="00271BCE" w:rsidRPr="00271BCE" w14:paraId="1CD52366" w14:textId="77777777">
        <w:trPr>
          <w:tblCellSpacing w:w="15" w:type="dxa"/>
        </w:trPr>
        <w:tc>
          <w:tcPr>
            <w:tcW w:w="0" w:type="auto"/>
            <w:vAlign w:val="center"/>
            <w:hideMark/>
          </w:tcPr>
          <w:p w14:paraId="052AB62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Random Forest</w:t>
            </w:r>
          </w:p>
        </w:tc>
        <w:tc>
          <w:tcPr>
            <w:tcW w:w="0" w:type="auto"/>
            <w:vAlign w:val="center"/>
            <w:hideMark/>
          </w:tcPr>
          <w:p w14:paraId="529A6289"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0.6824</w:t>
            </w:r>
          </w:p>
        </w:tc>
      </w:tr>
      <w:tr w:rsidR="00271BCE" w:rsidRPr="00271BCE" w14:paraId="056FCF0F" w14:textId="77777777">
        <w:trPr>
          <w:tblCellSpacing w:w="15" w:type="dxa"/>
        </w:trPr>
        <w:tc>
          <w:tcPr>
            <w:tcW w:w="0" w:type="auto"/>
            <w:vAlign w:val="center"/>
            <w:hideMark/>
          </w:tcPr>
          <w:p w14:paraId="37BBD03B" w14:textId="77777777" w:rsidR="00271BCE" w:rsidRPr="00271BCE" w:rsidRDefault="00271BCE" w:rsidP="00271BCE">
            <w:pPr>
              <w:spacing w:after="0" w:line="240" w:lineRule="auto"/>
              <w:rPr>
                <w:rFonts w:ascii="Calibri" w:eastAsia="Times New Roman" w:hAnsi="Calibri" w:cs="Calibri"/>
                <w:kern w:val="0"/>
                <w14:ligatures w14:val="none"/>
              </w:rPr>
            </w:pPr>
            <w:proofErr w:type="spellStart"/>
            <w:r w:rsidRPr="00271BCE">
              <w:rPr>
                <w:rFonts w:ascii="Calibri" w:eastAsia="Times New Roman" w:hAnsi="Calibri" w:cs="Calibri"/>
                <w:kern w:val="0"/>
                <w14:ligatures w14:val="none"/>
              </w:rPr>
              <w:t>XGBoost</w:t>
            </w:r>
            <w:proofErr w:type="spellEnd"/>
          </w:p>
        </w:tc>
        <w:tc>
          <w:tcPr>
            <w:tcW w:w="0" w:type="auto"/>
            <w:vAlign w:val="center"/>
            <w:hideMark/>
          </w:tcPr>
          <w:p w14:paraId="3B30288C"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0.6736</w:t>
            </w:r>
          </w:p>
        </w:tc>
      </w:tr>
    </w:tbl>
    <w:p w14:paraId="68B98BAF" w14:textId="0E380025"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Random Forest performed best across these three measures and was selected for the main financial model. </w:t>
      </w:r>
    </w:p>
    <w:p w14:paraId="3130951D"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Probability calibration</w:t>
      </w:r>
    </w:p>
    <w:p w14:paraId="2FD53986"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Random Forest’s average validation probability was 3.86%, compared with an observed adverse rate of 4.96%. I fitted a sigmoid calibration model to adjust its probabilities using validation data.</w:t>
      </w:r>
    </w:p>
    <w:p w14:paraId="220CA82B" w14:textId="156A4391" w:rsid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 xml:space="preserve">After calibration, the average validation probability was 4.96%. </w:t>
      </w:r>
    </w:p>
    <w:p w14:paraId="5416179B"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5A9C2EF8"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Test findings</w:t>
      </w:r>
    </w:p>
    <w:p w14:paraId="34C2C686"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selected financial model was evaluated on 15,536 test observations, including 628 adverse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973"/>
        <w:gridCol w:w="2313"/>
      </w:tblGrid>
      <w:tr w:rsidR="00271BCE" w:rsidRPr="00271BCE" w14:paraId="5CB27A89" w14:textId="77777777">
        <w:trPr>
          <w:tblCellSpacing w:w="15" w:type="dxa"/>
        </w:trPr>
        <w:tc>
          <w:tcPr>
            <w:tcW w:w="0" w:type="auto"/>
            <w:vAlign w:val="center"/>
            <w:hideMark/>
          </w:tcPr>
          <w:p w14:paraId="2F46C1C5"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Version</w:t>
            </w:r>
          </w:p>
        </w:tc>
        <w:tc>
          <w:tcPr>
            <w:tcW w:w="0" w:type="auto"/>
            <w:vAlign w:val="center"/>
            <w:hideMark/>
          </w:tcPr>
          <w:p w14:paraId="48847A28"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ROC AUC</w:t>
            </w:r>
          </w:p>
        </w:tc>
        <w:tc>
          <w:tcPr>
            <w:tcW w:w="0" w:type="auto"/>
            <w:vAlign w:val="center"/>
            <w:hideMark/>
          </w:tcPr>
          <w:p w14:paraId="48BB838C"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Average predicted risk</w:t>
            </w:r>
          </w:p>
        </w:tc>
      </w:tr>
      <w:tr w:rsidR="00271BCE" w:rsidRPr="00271BCE" w14:paraId="3BB82159" w14:textId="77777777">
        <w:trPr>
          <w:tblCellSpacing w:w="15" w:type="dxa"/>
        </w:trPr>
        <w:tc>
          <w:tcPr>
            <w:tcW w:w="0" w:type="auto"/>
            <w:vAlign w:val="center"/>
            <w:hideMark/>
          </w:tcPr>
          <w:p w14:paraId="4613C118"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Original Random Forest</w:t>
            </w:r>
          </w:p>
        </w:tc>
        <w:tc>
          <w:tcPr>
            <w:tcW w:w="0" w:type="auto"/>
            <w:vAlign w:val="center"/>
            <w:hideMark/>
          </w:tcPr>
          <w:p w14:paraId="7EE3A210"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0.688273</w:t>
            </w:r>
          </w:p>
        </w:tc>
        <w:tc>
          <w:tcPr>
            <w:tcW w:w="0" w:type="auto"/>
            <w:vAlign w:val="center"/>
            <w:hideMark/>
          </w:tcPr>
          <w:p w14:paraId="4E48036C"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3.58%</w:t>
            </w:r>
          </w:p>
        </w:tc>
      </w:tr>
      <w:tr w:rsidR="00271BCE" w:rsidRPr="00271BCE" w14:paraId="151D5CBB" w14:textId="77777777">
        <w:trPr>
          <w:tblCellSpacing w:w="15" w:type="dxa"/>
        </w:trPr>
        <w:tc>
          <w:tcPr>
            <w:tcW w:w="0" w:type="auto"/>
            <w:vAlign w:val="center"/>
            <w:hideMark/>
          </w:tcPr>
          <w:p w14:paraId="21E42861"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Calibrated Random Forest</w:t>
            </w:r>
          </w:p>
        </w:tc>
        <w:tc>
          <w:tcPr>
            <w:tcW w:w="0" w:type="auto"/>
            <w:vAlign w:val="center"/>
            <w:hideMark/>
          </w:tcPr>
          <w:p w14:paraId="48EDCAEF"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0.688273</w:t>
            </w:r>
          </w:p>
        </w:tc>
        <w:tc>
          <w:tcPr>
            <w:tcW w:w="0" w:type="auto"/>
            <w:vAlign w:val="center"/>
            <w:hideMark/>
          </w:tcPr>
          <w:p w14:paraId="4D140C01"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4.75%</w:t>
            </w:r>
          </w:p>
        </w:tc>
      </w:tr>
    </w:tbl>
    <w:p w14:paraId="35BADA09" w14:textId="79BDBBFC"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Calibration preserved the model’s ranking, so ROC AUC and PR AUC stayed the same. The original model underpredicted average risk, while the calibrated model overpredicted it. Both versions are retained, with calibrated probabilities remaining the default established before this evaluation.</w:t>
      </w:r>
    </w:p>
    <w:p w14:paraId="5364557D" w14:textId="7EE1A82F" w:rsid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The test ROC AUC of 0.6883 did not reach the project target of 0.826</w:t>
      </w:r>
    </w:p>
    <w:p w14:paraId="79E8EB8A" w14:textId="77777777" w:rsid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766A265B"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p>
    <w:p w14:paraId="4B308A68" w14:textId="77777777"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lastRenderedPageBreak/>
        <w:t>Task 1.6 Model saving and scoring</w:t>
      </w:r>
    </w:p>
    <w:p w14:paraId="203A8423" w14:textId="77777777" w:rsidR="00271BCE" w:rsidRPr="00271BCE" w:rsidRDefault="00271BCE" w:rsidP="00271BCE">
      <w:pPr>
        <w:spacing w:before="100" w:beforeAutospacing="1" w:after="100" w:afterAutospacing="1"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 saved the fitted Random Forest pipeline, calibration model, ordered feature list, timing decisions, split information and test metrics in financial_only_rf_v1.pkl.</w:t>
      </w:r>
    </w:p>
    <w:p w14:paraId="154B57E8" w14:textId="77777777" w:rsidR="00271BCE" w:rsidRDefault="00271BCE" w:rsidP="00271BCE">
      <w:pPr>
        <w:spacing w:before="100" w:beforeAutospacing="1" w:after="100" w:afterAutospacing="1" w:line="240" w:lineRule="auto"/>
        <w:outlineLvl w:val="1"/>
        <w:rPr>
          <w:rFonts w:ascii="Calibri" w:eastAsia="Times New Roman" w:hAnsi="Calibri" w:cs="Calibri"/>
          <w:kern w:val="0"/>
          <w14:ligatures w14:val="none"/>
        </w:rPr>
      </w:pPr>
    </w:p>
    <w:p w14:paraId="3C2CA52D" w14:textId="614E5623" w:rsidR="00271BCE" w:rsidRPr="00271BCE" w:rsidRDefault="00271BCE" w:rsidP="00271BCE">
      <w:pPr>
        <w:spacing w:before="100" w:beforeAutospacing="1" w:after="100" w:afterAutospacing="1" w:line="240" w:lineRule="auto"/>
        <w:outlineLvl w:val="1"/>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gridCol w:w="4833"/>
      </w:tblGrid>
      <w:tr w:rsidR="00271BCE" w:rsidRPr="00271BCE" w14:paraId="55CBD1E4" w14:textId="77777777">
        <w:trPr>
          <w:tblCellSpacing w:w="15" w:type="dxa"/>
        </w:trPr>
        <w:tc>
          <w:tcPr>
            <w:tcW w:w="0" w:type="auto"/>
            <w:vAlign w:val="center"/>
            <w:hideMark/>
          </w:tcPr>
          <w:p w14:paraId="17C971A9"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File</w:t>
            </w:r>
          </w:p>
        </w:tc>
        <w:tc>
          <w:tcPr>
            <w:tcW w:w="0" w:type="auto"/>
            <w:vAlign w:val="center"/>
            <w:hideMark/>
          </w:tcPr>
          <w:p w14:paraId="261A30B8" w14:textId="77777777" w:rsidR="00271BCE" w:rsidRPr="00271BCE" w:rsidRDefault="00271BCE" w:rsidP="00271BCE">
            <w:pPr>
              <w:spacing w:after="0" w:line="240" w:lineRule="auto"/>
              <w:jc w:val="center"/>
              <w:rPr>
                <w:rFonts w:ascii="Calibri" w:eastAsia="Times New Roman" w:hAnsi="Calibri" w:cs="Calibri"/>
                <w:b/>
                <w:bCs/>
                <w:kern w:val="0"/>
                <w14:ligatures w14:val="none"/>
              </w:rPr>
            </w:pPr>
            <w:r w:rsidRPr="00271BCE">
              <w:rPr>
                <w:rFonts w:ascii="Calibri" w:eastAsia="Times New Roman" w:hAnsi="Calibri" w:cs="Calibri"/>
                <w:b/>
                <w:bCs/>
                <w:kern w:val="0"/>
                <w14:ligatures w14:val="none"/>
              </w:rPr>
              <w:t>Purpose</w:t>
            </w:r>
          </w:p>
        </w:tc>
      </w:tr>
      <w:tr w:rsidR="00271BCE" w:rsidRPr="00271BCE" w14:paraId="04E125D3" w14:textId="77777777">
        <w:trPr>
          <w:tblCellSpacing w:w="15" w:type="dxa"/>
        </w:trPr>
        <w:tc>
          <w:tcPr>
            <w:tcW w:w="0" w:type="auto"/>
            <w:vAlign w:val="center"/>
            <w:hideMark/>
          </w:tcPr>
          <w:p w14:paraId="074009DF"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data/modelling_panel.csv</w:t>
            </w:r>
          </w:p>
        </w:tc>
        <w:tc>
          <w:tcPr>
            <w:tcW w:w="0" w:type="auto"/>
            <w:vAlign w:val="center"/>
            <w:hideMark/>
          </w:tcPr>
          <w:p w14:paraId="3EC7750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Prepared observations, financial features, timing fields and target</w:t>
            </w:r>
          </w:p>
        </w:tc>
      </w:tr>
      <w:tr w:rsidR="00271BCE" w:rsidRPr="00271BCE" w14:paraId="0F48AF19" w14:textId="77777777">
        <w:trPr>
          <w:tblCellSpacing w:w="15" w:type="dxa"/>
        </w:trPr>
        <w:tc>
          <w:tcPr>
            <w:tcW w:w="0" w:type="auto"/>
            <w:vAlign w:val="center"/>
            <w:hideMark/>
          </w:tcPr>
          <w:p w14:paraId="4C74BD6F"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models/financial_only_rf_v1.pkl</w:t>
            </w:r>
          </w:p>
        </w:tc>
        <w:tc>
          <w:tcPr>
            <w:tcW w:w="0" w:type="auto"/>
            <w:vAlign w:val="center"/>
            <w:hideMark/>
          </w:tcPr>
          <w:p w14:paraId="3594247D"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Fitted preprocessing, classifier, calibrator and metadata</w:t>
            </w:r>
          </w:p>
        </w:tc>
      </w:tr>
      <w:tr w:rsidR="00271BCE" w:rsidRPr="00271BCE" w14:paraId="67D2F9BD" w14:textId="77777777">
        <w:trPr>
          <w:tblCellSpacing w:w="15" w:type="dxa"/>
        </w:trPr>
        <w:tc>
          <w:tcPr>
            <w:tcW w:w="0" w:type="auto"/>
            <w:vAlign w:val="center"/>
            <w:hideMark/>
          </w:tcPr>
          <w:p w14:paraId="727203D5"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models/financial_only_rf_v1_model_card.md</w:t>
            </w:r>
          </w:p>
        </w:tc>
        <w:tc>
          <w:tcPr>
            <w:tcW w:w="0" w:type="auto"/>
            <w:vAlign w:val="center"/>
            <w:hideMark/>
          </w:tcPr>
          <w:p w14:paraId="1B09F399"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Model methods, results and limitations</w:t>
            </w:r>
          </w:p>
        </w:tc>
      </w:tr>
      <w:tr w:rsidR="00271BCE" w:rsidRPr="00271BCE" w14:paraId="254E6BBF" w14:textId="77777777">
        <w:trPr>
          <w:tblCellSpacing w:w="15" w:type="dxa"/>
        </w:trPr>
        <w:tc>
          <w:tcPr>
            <w:tcW w:w="0" w:type="auto"/>
            <w:vAlign w:val="center"/>
            <w:hideMark/>
          </w:tcPr>
          <w:p w14:paraId="23C3BA9A"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models/</w:t>
            </w:r>
            <w:proofErr w:type="spellStart"/>
            <w:r w:rsidRPr="00271BCE">
              <w:rPr>
                <w:rFonts w:ascii="Calibri" w:eastAsia="Times New Roman" w:hAnsi="Calibri" w:cs="Calibri"/>
                <w:kern w:val="0"/>
                <w14:ligatures w14:val="none"/>
              </w:rPr>
              <w:t>financial_only_decisions.json</w:t>
            </w:r>
            <w:proofErr w:type="spellEnd"/>
          </w:p>
        </w:tc>
        <w:tc>
          <w:tcPr>
            <w:tcW w:w="0" w:type="auto"/>
            <w:vAlign w:val="center"/>
            <w:hideMark/>
          </w:tcPr>
          <w:p w14:paraId="26DA71D9"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Timing, feature and split decisions</w:t>
            </w:r>
          </w:p>
        </w:tc>
      </w:tr>
      <w:tr w:rsidR="00271BCE" w:rsidRPr="00271BCE" w14:paraId="26E4062A" w14:textId="77777777">
        <w:trPr>
          <w:tblCellSpacing w:w="15" w:type="dxa"/>
        </w:trPr>
        <w:tc>
          <w:tcPr>
            <w:tcW w:w="0" w:type="auto"/>
            <w:vAlign w:val="center"/>
            <w:hideMark/>
          </w:tcPr>
          <w:p w14:paraId="4C885707"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scoring.py</w:t>
            </w:r>
          </w:p>
        </w:tc>
        <w:tc>
          <w:tcPr>
            <w:tcW w:w="0" w:type="auto"/>
            <w:vAlign w:val="center"/>
            <w:hideMark/>
          </w:tcPr>
          <w:p w14:paraId="257F7CD0"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Importable company scoring function</w:t>
            </w:r>
          </w:p>
        </w:tc>
      </w:tr>
      <w:tr w:rsidR="00271BCE" w:rsidRPr="00271BCE" w14:paraId="03680C33" w14:textId="77777777">
        <w:trPr>
          <w:tblCellSpacing w:w="15" w:type="dxa"/>
        </w:trPr>
        <w:tc>
          <w:tcPr>
            <w:tcW w:w="0" w:type="auto"/>
            <w:vAlign w:val="center"/>
            <w:hideMark/>
          </w:tcPr>
          <w:p w14:paraId="14CD417E"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results/financial_only_validation_metrics.csv</w:t>
            </w:r>
          </w:p>
        </w:tc>
        <w:tc>
          <w:tcPr>
            <w:tcW w:w="0" w:type="auto"/>
            <w:vAlign w:val="center"/>
            <w:hideMark/>
          </w:tcPr>
          <w:p w14:paraId="21563626"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Model comparison results</w:t>
            </w:r>
          </w:p>
        </w:tc>
      </w:tr>
      <w:tr w:rsidR="00271BCE" w:rsidRPr="00271BCE" w14:paraId="4696D423" w14:textId="77777777">
        <w:trPr>
          <w:tblCellSpacing w:w="15" w:type="dxa"/>
        </w:trPr>
        <w:tc>
          <w:tcPr>
            <w:tcW w:w="0" w:type="auto"/>
            <w:vAlign w:val="center"/>
            <w:hideMark/>
          </w:tcPr>
          <w:p w14:paraId="49A8C370"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results/financial_only_test_metrics.csv</w:t>
            </w:r>
          </w:p>
        </w:tc>
        <w:tc>
          <w:tcPr>
            <w:tcW w:w="0" w:type="auto"/>
            <w:vAlign w:val="center"/>
            <w:hideMark/>
          </w:tcPr>
          <w:p w14:paraId="6A5E8164"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Original and calibrated test results</w:t>
            </w:r>
          </w:p>
        </w:tc>
      </w:tr>
      <w:tr w:rsidR="00271BCE" w:rsidRPr="00271BCE" w14:paraId="4EB32CA8" w14:textId="77777777">
        <w:trPr>
          <w:tblCellSpacing w:w="15" w:type="dxa"/>
        </w:trPr>
        <w:tc>
          <w:tcPr>
            <w:tcW w:w="0" w:type="auto"/>
            <w:vAlign w:val="center"/>
            <w:hideMark/>
          </w:tcPr>
          <w:p w14:paraId="23551164"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results/</w:t>
            </w:r>
            <w:proofErr w:type="spellStart"/>
            <w:r w:rsidRPr="00271BCE">
              <w:rPr>
                <w:rFonts w:ascii="Calibri" w:eastAsia="Times New Roman" w:hAnsi="Calibri" w:cs="Calibri"/>
                <w:kern w:val="0"/>
                <w14:ligatures w14:val="none"/>
              </w:rPr>
              <w:t>score_firm_verification.json</w:t>
            </w:r>
            <w:proofErr w:type="spellEnd"/>
          </w:p>
        </w:tc>
        <w:tc>
          <w:tcPr>
            <w:tcW w:w="0" w:type="auto"/>
            <w:vAlign w:val="center"/>
            <w:hideMark/>
          </w:tcPr>
          <w:p w14:paraId="1188F888" w14:textId="77777777" w:rsidR="00271BCE" w:rsidRPr="00271BCE" w:rsidRDefault="00271BCE" w:rsidP="00271BCE">
            <w:pPr>
              <w:spacing w:after="0" w:line="240" w:lineRule="auto"/>
              <w:rPr>
                <w:rFonts w:ascii="Calibri" w:eastAsia="Times New Roman" w:hAnsi="Calibri" w:cs="Calibri"/>
                <w:kern w:val="0"/>
                <w14:ligatures w14:val="none"/>
              </w:rPr>
            </w:pPr>
            <w:r w:rsidRPr="00271BCE">
              <w:rPr>
                <w:rFonts w:ascii="Calibri" w:eastAsia="Times New Roman" w:hAnsi="Calibri" w:cs="Calibri"/>
                <w:kern w:val="0"/>
                <w14:ligatures w14:val="none"/>
              </w:rPr>
              <w:t>Checked scoring example</w:t>
            </w:r>
          </w:p>
        </w:tc>
      </w:tr>
    </w:tbl>
    <w:p w14:paraId="5F24E23B" w14:textId="77777777" w:rsidR="00494E3A" w:rsidRPr="00271BCE" w:rsidRDefault="00494E3A">
      <w:pPr>
        <w:rPr>
          <w:rFonts w:ascii="Calibri" w:hAnsi="Calibri" w:cs="Calibri"/>
        </w:rPr>
      </w:pPr>
    </w:p>
    <w:sectPr w:rsidR="00494E3A" w:rsidRPr="0027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CE"/>
    <w:rsid w:val="00271BCE"/>
    <w:rsid w:val="00494E3A"/>
    <w:rsid w:val="00752C0E"/>
    <w:rsid w:val="008547F9"/>
    <w:rsid w:val="00B1330A"/>
    <w:rsid w:val="00BD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2E32F"/>
  <w15:chartTrackingRefBased/>
  <w15:docId w15:val="{DB52366C-9622-2948-B5A8-55E113F5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CE"/>
    <w:rPr>
      <w:rFonts w:eastAsiaTheme="majorEastAsia" w:cstheme="majorBidi"/>
      <w:color w:val="272727" w:themeColor="text1" w:themeTint="D8"/>
    </w:rPr>
  </w:style>
  <w:style w:type="paragraph" w:styleId="Title">
    <w:name w:val="Title"/>
    <w:basedOn w:val="Normal"/>
    <w:next w:val="Normal"/>
    <w:link w:val="TitleChar"/>
    <w:uiPriority w:val="10"/>
    <w:qFormat/>
    <w:rsid w:val="0027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CE"/>
    <w:pPr>
      <w:spacing w:before="160"/>
      <w:jc w:val="center"/>
    </w:pPr>
    <w:rPr>
      <w:i/>
      <w:iCs/>
      <w:color w:val="404040" w:themeColor="text1" w:themeTint="BF"/>
    </w:rPr>
  </w:style>
  <w:style w:type="character" w:customStyle="1" w:styleId="QuoteChar">
    <w:name w:val="Quote Char"/>
    <w:basedOn w:val="DefaultParagraphFont"/>
    <w:link w:val="Quote"/>
    <w:uiPriority w:val="29"/>
    <w:rsid w:val="00271BCE"/>
    <w:rPr>
      <w:i/>
      <w:iCs/>
      <w:color w:val="404040" w:themeColor="text1" w:themeTint="BF"/>
    </w:rPr>
  </w:style>
  <w:style w:type="paragraph" w:styleId="ListParagraph">
    <w:name w:val="List Paragraph"/>
    <w:basedOn w:val="Normal"/>
    <w:uiPriority w:val="34"/>
    <w:qFormat/>
    <w:rsid w:val="00271BCE"/>
    <w:pPr>
      <w:ind w:left="720"/>
      <w:contextualSpacing/>
    </w:pPr>
  </w:style>
  <w:style w:type="character" w:styleId="IntenseEmphasis">
    <w:name w:val="Intense Emphasis"/>
    <w:basedOn w:val="DefaultParagraphFont"/>
    <w:uiPriority w:val="21"/>
    <w:qFormat/>
    <w:rsid w:val="00271BCE"/>
    <w:rPr>
      <w:i/>
      <w:iCs/>
      <w:color w:val="0F4761" w:themeColor="accent1" w:themeShade="BF"/>
    </w:rPr>
  </w:style>
  <w:style w:type="paragraph" w:styleId="IntenseQuote">
    <w:name w:val="Intense Quote"/>
    <w:basedOn w:val="Normal"/>
    <w:next w:val="Normal"/>
    <w:link w:val="IntenseQuoteChar"/>
    <w:uiPriority w:val="30"/>
    <w:qFormat/>
    <w:rsid w:val="0027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CE"/>
    <w:rPr>
      <w:i/>
      <w:iCs/>
      <w:color w:val="0F4761" w:themeColor="accent1" w:themeShade="BF"/>
    </w:rPr>
  </w:style>
  <w:style w:type="character" w:styleId="IntenseReference">
    <w:name w:val="Intense Reference"/>
    <w:basedOn w:val="DefaultParagraphFont"/>
    <w:uiPriority w:val="32"/>
    <w:qFormat/>
    <w:rsid w:val="00271BCE"/>
    <w:rPr>
      <w:b/>
      <w:bCs/>
      <w:smallCaps/>
      <w:color w:val="0F4761" w:themeColor="accent1" w:themeShade="BF"/>
      <w:spacing w:val="5"/>
    </w:rPr>
  </w:style>
  <w:style w:type="paragraph" w:styleId="NormalWeb">
    <w:name w:val="Normal (Web)"/>
    <w:basedOn w:val="Normal"/>
    <w:uiPriority w:val="99"/>
    <w:semiHidden/>
    <w:unhideWhenUsed/>
    <w:rsid w:val="00271B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71B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Bedson, Jessica</dc:creator>
  <cp:keywords/>
  <dc:description/>
  <cp:lastModifiedBy>Bedson, Jessica</cp:lastModifiedBy>
  <cp:revision>3</cp:revision>
  <dcterms:created xsi:type="dcterms:W3CDTF">2026-10-05T18:30:00Z</dcterms:created>
  <dcterms:modified xsi:type="dcterms:W3CDTF">2026-10-05T18:36:00Z</dcterms:modified>
</cp:coreProperties>
</file>