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8"/>
          <w:szCs w:val="48"/>
          <w:u w:val="single"/>
        </w:rPr>
      </w:pPr>
      <w:r w:rsidDel="00000000" w:rsidR="00000000" w:rsidRPr="00000000">
        <w:rPr>
          <w:b w:val="1"/>
          <w:bCs w:val="1"/>
          <w:sz w:val="48"/>
          <w:szCs w:val="48"/>
          <w:u w:val="single"/>
          <w:rtl w:val="0"/>
        </w:rPr>
        <w:t xml:space="preserve">Obligatorio </w:t>
      </w:r>
    </w:p>
    <w:p w:rsidR="00000000" w:rsidDel="00000000" w:rsidP="00000000" w:rsidRDefault="00000000" w:rsidRPr="00000000" w14:paraId="00000002">
      <w:pPr>
        <w:jc w:val="center"/>
        <w:rPr/>
      </w:pPr>
      <w:r w:rsidDel="00000000" w:rsidR="00000000" w:rsidRPr="00000000">
        <w:rPr>
          <w:b w:val="1"/>
          <w:bCs w:val="1"/>
          <w:sz w:val="48"/>
          <w:szCs w:val="48"/>
          <w:u w:val="single"/>
          <w:rtl w:val="0"/>
        </w:rPr>
        <w:t xml:space="preserve">Inteligencia Artificial</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b w:val="1"/>
          <w:bCs w:val="1"/>
          <w:sz w:val="34"/>
          <w:szCs w:val="34"/>
        </w:rPr>
      </w:pPr>
      <w:r w:rsidDel="00000000" w:rsidR="00000000" w:rsidRPr="00000000">
        <w:rPr>
          <w:b w:val="1"/>
          <w:bCs w:val="1"/>
          <w:sz w:val="34"/>
          <w:szCs w:val="34"/>
          <w:rtl w:val="0"/>
        </w:rPr>
        <w:t xml:space="preserve">Diseño, Implementación y Evaluación</w:t>
      </w:r>
    </w:p>
    <w:p w:rsidR="00000000" w:rsidDel="00000000" w:rsidP="00000000" w:rsidRDefault="00000000" w:rsidRPr="00000000" w14:paraId="00000008">
      <w:pPr>
        <w:jc w:val="center"/>
        <w:rPr>
          <w:sz w:val="34"/>
          <w:szCs w:val="34"/>
        </w:rPr>
      </w:pPr>
      <w:r w:rsidDel="00000000" w:rsidR="00000000" w:rsidRPr="00000000">
        <w:rPr>
          <w:b w:val="1"/>
          <w:bCs w:val="1"/>
          <w:sz w:val="34"/>
          <w:szCs w:val="34"/>
          <w:rtl w:val="0"/>
        </w:rPr>
        <w:t xml:space="preserve">de un Proyecto Integrador de Machine Learning</w:t>
      </w:r>
      <w:r w:rsidDel="00000000" w:rsidR="00000000" w:rsidRPr="00000000">
        <w:rPr>
          <w:sz w:val="34"/>
          <w:szCs w:val="34"/>
          <w:rtl w:val="0"/>
        </w:rPr>
        <w:t xml:space="preserve"> </w:t>
      </w:r>
    </w:p>
    <w:p w:rsidR="00000000" w:rsidDel="00000000" w:rsidP="00000000" w:rsidRDefault="00000000" w:rsidRPr="00000000" w14:paraId="00000009">
      <w:pPr>
        <w:rPr>
          <w:sz w:val="34"/>
          <w:szCs w:val="34"/>
        </w:rPr>
      </w:pPr>
      <w:r w:rsidDel="00000000" w:rsidR="00000000" w:rsidRPr="00000000">
        <w:rPr>
          <w:rtl w:val="0"/>
        </w:rPr>
      </w:r>
    </w:p>
    <w:p w:rsidR="00000000" w:rsidDel="00000000" w:rsidP="00000000" w:rsidRDefault="00000000" w:rsidRPr="00000000" w14:paraId="0000000A">
      <w:pPr>
        <w:jc w:val="center"/>
        <w:rPr>
          <w:sz w:val="34"/>
          <w:szCs w:val="34"/>
        </w:rPr>
      </w:pPr>
      <w:r w:rsidDel="00000000" w:rsidR="00000000" w:rsidRPr="00000000">
        <w:rPr>
          <w:rtl w:val="0"/>
        </w:rPr>
      </w:r>
    </w:p>
    <w:p w:rsidR="00000000" w:rsidDel="00000000" w:rsidP="00000000" w:rsidRDefault="00000000" w:rsidRPr="00000000" w14:paraId="0000000B">
      <w:pPr>
        <w:jc w:val="center"/>
        <w:rPr>
          <w:sz w:val="34"/>
          <w:szCs w:val="34"/>
        </w:rPr>
      </w:pPr>
      <w:r w:rsidDel="00000000" w:rsidR="00000000" w:rsidRPr="00000000">
        <w:rPr>
          <w:sz w:val="34"/>
          <w:szCs w:val="34"/>
          <w:rtl w:val="0"/>
        </w:rPr>
        <w:t xml:space="preserve">Jorge Avellanal - C.I. 3.078.245-8</w:t>
      </w:r>
    </w:p>
    <w:p w:rsidR="00000000" w:rsidDel="00000000" w:rsidP="00000000" w:rsidRDefault="00000000" w:rsidRPr="00000000" w14:paraId="0000000C">
      <w:pPr>
        <w:jc w:val="center"/>
        <w:rPr>
          <w:sz w:val="34"/>
          <w:szCs w:val="34"/>
        </w:rPr>
      </w:pPr>
      <w:r w:rsidDel="00000000" w:rsidR="00000000" w:rsidRPr="00000000">
        <w:rPr>
          <w:sz w:val="34"/>
          <w:szCs w:val="34"/>
          <w:rtl w:val="0"/>
        </w:rPr>
        <w:t xml:space="preserve">Sabine Theiss - C.I. 5.781.191-9</w:t>
      </w:r>
    </w:p>
    <w:p w:rsidR="00000000" w:rsidDel="00000000" w:rsidP="00000000" w:rsidRDefault="00000000" w:rsidRPr="00000000" w14:paraId="0000000D">
      <w:pPr>
        <w:jc w:val="center"/>
        <w:rPr/>
      </w:pPr>
      <w:r w:rsidDel="00000000" w:rsidR="00000000" w:rsidRPr="00000000">
        <w:rPr>
          <w:sz w:val="34"/>
          <w:szCs w:val="34"/>
          <w:rtl w:val="0"/>
        </w:rPr>
        <w:t xml:space="preserve">Mateo Mendiondo - C.I. 5.221.774-0</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i w:val="1"/>
          <w:iCs w:val="1"/>
          <w:rtl w:val="0"/>
        </w:rPr>
        <w:t xml:space="preserve">Silvia Keymetlian</w:t>
      </w:r>
      <w:r w:rsidDel="00000000" w:rsidR="00000000" w:rsidRPr="00000000">
        <w:rPr>
          <w:rtl w:val="0"/>
        </w:rPr>
      </w:r>
    </w:p>
    <w:p w:rsidR="00000000" w:rsidDel="00000000" w:rsidP="00000000" w:rsidRDefault="00000000" w:rsidRPr="00000000" w14:paraId="00000012">
      <w:pPr>
        <w:rPr>
          <w:b w:val="1"/>
          <w:bCs w:val="1"/>
          <w:sz w:val="30"/>
          <w:szCs w:val="30"/>
        </w:rPr>
      </w:pPr>
      <w:r w:rsidDel="00000000" w:rsidR="00000000" w:rsidRPr="00000000">
        <w:br w:type="page"/>
      </w:r>
      <w:r w:rsidDel="00000000" w:rsidR="00000000" w:rsidRPr="00000000">
        <w:rPr>
          <w:b w:val="1"/>
          <w:bCs w:val="1"/>
          <w:sz w:val="30"/>
          <w:szCs w:val="30"/>
          <w:rtl w:val="0"/>
        </w:rPr>
        <w:t xml:space="preserve">Índice</w:t>
      </w:r>
    </w:p>
    <w:p w:rsidR="00000000" w:rsidDel="00000000" w:rsidP="00000000" w:rsidRDefault="00000000" w:rsidRPr="00000000" w14:paraId="00000013">
      <w:pPr>
        <w:rPr/>
      </w:pPr>
      <w:r w:rsidDel="00000000" w:rsidR="00000000" w:rsidRPr="00000000">
        <w:rPr>
          <w:rtl w:val="0"/>
        </w:rPr>
      </w:r>
    </w:p>
    <w:sdt>
      <w:sdtPr>
        <w:id w:val="894453202"/>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ow3rrw5yhw8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ejecutivo</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3ee6x8jvqy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Problema, enfoque y resultado principal</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to3wx62n3y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Datos y EDA</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begapngepq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del dataset</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xvmcxv39tv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Hallazgos y problemas de calidad detectados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agaymbgnnj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Fugas de datos</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m8qlomf82i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detectadas y el experimento realizado</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d9rtjr4t5d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Feature engineering, modelos y resultados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4q69lgd7kc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Comparación contra el baseline</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954d9f71yq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Interpretación, riesgos y recomendaciones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hg1bgy764e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Uso de IA</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gdp8e9x2i8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 en que se utilizó la herramienta de IA</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4ecfvvii8m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Fuentes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pStyle w:val="Heading1"/>
        <w:rPr/>
      </w:pPr>
      <w:bookmarkStart w:colFirst="0" w:colLast="0" w:name="_oon3074ttkex" w:id="0"/>
      <w:bookmarkEnd w:id="0"/>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rPr/>
      </w:pPr>
      <w:bookmarkStart w:colFirst="0" w:colLast="0" w:name="_ow3rrw5yhw8n" w:id="1"/>
      <w:bookmarkEnd w:id="1"/>
      <w:r w:rsidDel="00000000" w:rsidR="00000000" w:rsidRPr="00000000">
        <w:rPr>
          <w:rtl w:val="0"/>
        </w:rPr>
        <w:t xml:space="preserve">Resumen ejecutivo</w:t>
      </w:r>
    </w:p>
    <w:p w:rsidR="00000000" w:rsidDel="00000000" w:rsidP="00000000" w:rsidRDefault="00000000" w:rsidRPr="00000000" w14:paraId="00000023">
      <w:pPr>
        <w:pStyle w:val="Heading2"/>
        <w:rPr/>
      </w:pPr>
      <w:bookmarkStart w:colFirst="0" w:colLast="0" w:name="_z3ee6x8jvqyz" w:id="2"/>
      <w:bookmarkEnd w:id="2"/>
      <w:r w:rsidDel="00000000" w:rsidR="00000000" w:rsidRPr="00000000">
        <w:rPr>
          <w:rtl w:val="0"/>
        </w:rPr>
        <w:t xml:space="preserve">Problema, enfoque y resultado principal</w:t>
      </w:r>
    </w:p>
    <w:p w:rsidR="00000000" w:rsidDel="00000000" w:rsidP="00000000" w:rsidRDefault="00000000" w:rsidRPr="00000000" w14:paraId="00000024">
      <w:pPr>
        <w:spacing w:after="120" w:lineRule="auto"/>
        <w:jc w:val="both"/>
        <w:rPr/>
      </w:pPr>
      <w:r w:rsidDel="00000000" w:rsidR="00000000" w:rsidRPr="00000000">
        <w:rPr>
          <w:rtl w:val="0"/>
        </w:rPr>
        <w:t xml:space="preserve">El proyecto predice si una reserva de hotel será cancelada, usando solo información disponible al momento de reservar. La predicción es útil para el área de reservas y de revenue management, que puede decidir cuánto sobrevender y a qué reservas hacer seguimiento. Se trabaja con el dataset Hotel Booking Demand (Antonio, Almeida y Nunes, 2019), que reúne 119.390 reservas de un hotel resort y un hotel de ciudad entre julio de 2015 y agosto de 2017.</w:t>
      </w:r>
    </w:p>
    <w:p w:rsidR="00000000" w:rsidDel="00000000" w:rsidP="00000000" w:rsidRDefault="00000000" w:rsidRPr="00000000" w14:paraId="00000025">
      <w:pPr>
        <w:spacing w:after="120" w:lineRule="auto"/>
        <w:jc w:val="both"/>
        <w:rPr/>
      </w:pPr>
      <w:r w:rsidDel="00000000" w:rsidR="00000000" w:rsidRPr="00000000">
        <w:rPr>
          <w:rtl w:val="0"/>
        </w:rPr>
        <w:t xml:space="preserve">Un falso negativo (no anticipar una cancelación) podría dejar una habitación vacía y perder la oportunidad de reasignarla. Un falso positivo (predecir cancelación de una reserva que se cumple) podría motivar una intervención innecesaria o una decisión de sobreventa. Sin conocer la acción operativa y sus consecuencias, no es posible afirmar cuál error cuesta más. </w:t>
      </w:r>
    </w:p>
    <w:p w:rsidR="00000000" w:rsidDel="00000000" w:rsidP="00000000" w:rsidRDefault="00000000" w:rsidRPr="00000000" w14:paraId="00000026">
      <w:pPr>
        <w:spacing w:after="120" w:lineRule="auto"/>
        <w:jc w:val="both"/>
        <w:rPr/>
      </w:pPr>
      <w:r w:rsidDel="00000000" w:rsidR="00000000" w:rsidRPr="00000000">
        <w:rPr>
          <w:rtl w:val="0"/>
        </w:rPr>
        <w:t xml:space="preserve">No se define una métrica monetaria de negocio porque no existe un hotel colaborador real  ni datos de costos, capacidad o eficacia de intervenciones. Como proxy académico orientado a la operación, se evaluarán escenarios hipotéticos que alertan sobre el 5%, 10% y 20% de reservas con mayor riesgo. Para cada uno se informarán recall@k (proporción de cancelaciones capturadas), precision@k (cancelaciones entre las alertas) y alertas por cada 1.000 reservas, con una selección aleatoria como referencia. Son escenarios ilustrativos, no capacidades acordadas ni evidencia de ahorro o de cancelaciones evitadas. El target es predecir si una reserva se cancela.</w:t>
      </w:r>
      <w:r w:rsidDel="00000000" w:rsidR="00000000" w:rsidRPr="00000000">
        <w:rPr>
          <w:rtl w:val="0"/>
        </w:rPr>
        <w:t xml:space="preserve"> </w:t>
      </w:r>
    </w:p>
    <w:p w:rsidR="00000000" w:rsidDel="00000000" w:rsidP="00000000" w:rsidRDefault="00000000" w:rsidRPr="00000000" w14:paraId="00000027">
      <w:pPr>
        <w:spacing w:after="120" w:lineRule="auto"/>
        <w:jc w:val="both"/>
        <w:rPr/>
      </w:pPr>
      <w:r w:rsidDel="00000000" w:rsidR="00000000" w:rsidRPr="00000000">
        <w:rPr>
          <w:b w:val="1"/>
          <w:bCs w:val="1"/>
          <w:rtl w:val="0"/>
        </w:rPr>
        <w:t xml:space="preserve">Métrica técnica principal</w:t>
      </w:r>
      <w:r w:rsidDel="00000000" w:rsidR="00000000" w:rsidRPr="00000000">
        <w:rPr>
          <w:rtl w:val="0"/>
        </w:rPr>
        <w:t xml:space="preserve">: Average Precision para comparar el ranking en validación temporal dentro de train. Complementar con precision@k, recall@k, alertas por 1.000 reservas, ROC-AUC y calibración. No se optimizará un umbral monetario ni se atribuirán costos relativos sin datos; el test reservado se evaluará una sola vez, después de cerrar el modelo y los escenarios.</w:t>
      </w:r>
      <w:r w:rsidDel="00000000" w:rsidR="00000000" w:rsidRPr="00000000">
        <w:rPr>
          <w:rtl w:val="0"/>
        </w:rPr>
      </w:r>
    </w:p>
    <w:p w:rsidR="00000000" w:rsidDel="00000000" w:rsidP="00000000" w:rsidRDefault="00000000" w:rsidRPr="00000000" w14:paraId="00000028">
      <w:pPr>
        <w:spacing w:after="120" w:lineRule="auto"/>
        <w:jc w:val="both"/>
        <w:rPr/>
      </w:pPr>
      <w:r w:rsidDel="00000000" w:rsidR="00000000" w:rsidRPr="00000000">
        <w:rPr>
          <w:rtl w:val="0"/>
        </w:rPr>
        <w:t xml:space="preserve">El enfoque prioriza la validez de la evaluación: partición temporal definida antes de explorar los datos, preprocesamiento dentro de un pipeline ajustado solo con datos de entrenamiento, auditoría de cada variable para detectar fuga de información y un experimento de fuga deliberado. La comparación incluye Dummy baseline, regresión logística, Random Forest, Gradient Boosting y una aproximación RBF de Nyström + SVM lineal; se hizo búsqueda anidada para Random Forest y Gradient Boosting. Se acordó llevar Gradient Boosting como candidato principal y Random Forest como benchmark. En la selección con los cinco folds temporales de train, Gradient Boosting eligió 100 estimadores, learning_rate=0,1 y max_depth=2 (AP media 0,5393 ± 0,0557); Random Forest eligió 100 árboles, max_features=sqrt y min_samples_leaf=2 (AP 0,5266 ± 0,0376). Ambos se ajustaron con todo train. Estas AP sirven para seleccionar configuración, no como estimación independiente de desempeño. Los modelos siguen sin calibrar y el test reservado aún no se ha evaluado.</w:t>
      </w:r>
    </w:p>
    <w:p w:rsidR="00000000" w:rsidDel="00000000" w:rsidP="00000000" w:rsidRDefault="00000000" w:rsidRPr="00000000" w14:paraId="00000029">
      <w:pPr>
        <w:spacing w:after="120" w:lineRule="auto"/>
        <w:jc w:val="both"/>
        <w:rPr/>
      </w:pPr>
      <w:r w:rsidDel="00000000" w:rsidR="00000000" w:rsidRPr="00000000">
        <w:rPr>
          <w:rtl w:val="0"/>
        </w:rPr>
        <w:t xml:space="preserve">Primera comparación exploratoria, con parámetros fijos, en 5 folds cronológicos purgados y solo con train. Average Precision media ± DE: Dummy 0,3014 ± 0,0466; Random Forest 0,5266 ± 0,0376; Gradient Boosting 0,5220 ± 0,0577; SVM RBF aproximado por Nyström 0,5117 ± 0,0551; logística 0,5113 ± 0,0345. </w:t>
      </w:r>
    </w:p>
    <w:p w:rsidR="00000000" w:rsidDel="00000000" w:rsidP="00000000" w:rsidRDefault="00000000" w:rsidRPr="00000000" w14:paraId="0000002A">
      <w:pPr>
        <w:spacing w:after="120" w:lineRule="auto"/>
        <w:jc w:val="both"/>
        <w:rPr>
          <w:highlight w:val="yellow"/>
        </w:rPr>
      </w:pPr>
      <w:r w:rsidDel="00000000" w:rsidR="00000000" w:rsidRPr="00000000">
        <w:rPr>
          <w:rtl w:val="0"/>
        </w:rPr>
        <w:t xml:space="preserve">Después se hizo una búsqueda anidada y limitada (3 folds internos dentro de cada uno de 5 folds externos) para Random Forest y Gradient Boosting. AP externa: principal, Gradient Boosting 0,5380 ± 0,0567 y Random Forest 0,5185 ± 0,0287; con entrenamiento deduplicado y las mismas filas de validación, Random Forest 0,5099 ± 0,0365 y Gradient Boosting 0,4969 ± 0,0306. Los resultados cambian con la deduplicación y varían entre períodos;</w:t>
      </w:r>
      <w:r w:rsidDel="00000000" w:rsidR="00000000" w:rsidRPr="00000000">
        <w:rPr>
          <w:highlight w:val="yellow"/>
          <w:rtl w:val="0"/>
        </w:rPr>
        <w:t xml:space="preserve"> son comparaciones de validación, no una decisión final. El test reservado no se ha abierto ni evaluado.</w:t>
      </w:r>
    </w:p>
    <w:p w:rsidR="00000000" w:rsidDel="00000000" w:rsidP="00000000" w:rsidRDefault="00000000" w:rsidRPr="00000000" w14:paraId="0000002B">
      <w:pPr>
        <w:pStyle w:val="Heading1"/>
        <w:rPr/>
      </w:pPr>
      <w:bookmarkStart w:colFirst="0" w:colLast="0" w:name="_5to3wx62n3yv" w:id="3"/>
      <w:bookmarkEnd w:id="3"/>
      <w:r w:rsidDel="00000000" w:rsidR="00000000" w:rsidRPr="00000000">
        <w:rPr>
          <w:rtl w:val="0"/>
        </w:rPr>
        <w:t xml:space="preserve">Datos y EDA</w:t>
      </w:r>
    </w:p>
    <w:p w:rsidR="00000000" w:rsidDel="00000000" w:rsidP="00000000" w:rsidRDefault="00000000" w:rsidRPr="00000000" w14:paraId="0000002C">
      <w:pPr>
        <w:pStyle w:val="Heading2"/>
        <w:spacing w:after="120" w:lineRule="auto"/>
        <w:rPr/>
      </w:pPr>
      <w:bookmarkStart w:colFirst="0" w:colLast="0" w:name="_wbegapngepqo" w:id="4"/>
      <w:bookmarkEnd w:id="4"/>
      <w:r w:rsidDel="00000000" w:rsidR="00000000" w:rsidRPr="00000000">
        <w:rPr>
          <w:rtl w:val="0"/>
        </w:rPr>
        <w:t xml:space="preserve">Descripción del dataset</w:t>
      </w:r>
    </w:p>
    <w:p w:rsidR="00000000" w:rsidDel="00000000" w:rsidP="00000000" w:rsidRDefault="00000000" w:rsidRPr="00000000" w14:paraId="0000002D">
      <w:pPr>
        <w:spacing w:after="120" w:lineRule="auto"/>
        <w:jc w:val="both"/>
        <w:rPr/>
      </w:pPr>
      <w:r w:rsidDel="00000000" w:rsidR="00000000" w:rsidRPr="00000000">
        <w:rPr>
          <w:rtl w:val="0"/>
        </w:rPr>
        <w:t xml:space="preserve">Los datos provienen del artículo Hotel Booking Demand Datasets (Data in Brief, vol. 22, 2019, DOI 10.1016/j.dib.2018.11.126), que publica reservas reales de un hotel resort (40.060 observaciones) y de un hotel de ciudad (79.330), con llegadas entre el 1 de julio de 2015 y el 31 de agosto de 2017. Cada fila es una reserva y el artículo indica que se eliminó toda información que identificara a los hoteles o a los clientes. Se usó el archivo hotel_bookings.csv de Kaggle (Jesse Mostipak, trabajado sobre la versión original Hotel </w:t>
      </w:r>
      <w:hyperlink r:id="rId6">
        <w:r w:rsidDel="00000000" w:rsidR="00000000" w:rsidRPr="00000000">
          <w:rPr>
            <w:color w:val="1155cc"/>
            <w:u w:val="single"/>
            <w:rtl w:val="0"/>
          </w:rPr>
          <w:t xml:space="preserve">Booking Demand Datasets</w:t>
        </w:r>
      </w:hyperlink>
      <w:r w:rsidDel="00000000" w:rsidR="00000000" w:rsidRPr="00000000">
        <w:rPr>
          <w:rtl w:val="0"/>
        </w:rPr>
        <w:t xml:space="preserve">, escrito por Nuno Antonio, Ana Almeida, y Luis Nunes para Data in Brief, Volumen 22, febrero de 2019, </w:t>
      </w:r>
      <w:hyperlink r:id="rId7">
        <w:r w:rsidDel="00000000" w:rsidR="00000000" w:rsidRPr="00000000">
          <w:rPr>
            <w:color w:val="1155cc"/>
            <w:u w:val="single"/>
            <w:rtl w:val="0"/>
          </w:rPr>
          <w:t xml:space="preserve">https://www.kaggle.com/datasets/jessemostipak/hotel-booking-demand</w:t>
        </w:r>
      </w:hyperlink>
      <w:r w:rsidDel="00000000" w:rsidR="00000000" w:rsidRPr="00000000">
        <w:rPr>
          <w:rtl w:val="0"/>
        </w:rPr>
        <w:t xml:space="preserve">, licencia </w:t>
      </w:r>
      <w:hyperlink r:id="rId8">
        <w:r w:rsidDel="00000000" w:rsidR="00000000" w:rsidRPr="00000000">
          <w:rPr>
            <w:color w:val="1155cc"/>
            <w:u w:val="single"/>
            <w:rtl w:val="0"/>
          </w:rPr>
          <w:t xml:space="preserve">Attribution 4.0 International</w:t>
        </w:r>
      </w:hyperlink>
      <w:r w:rsidDel="00000000" w:rsidR="00000000" w:rsidRPr="00000000">
        <w:rPr>
          <w:rtl w:val="0"/>
        </w:rPr>
        <w:t xml:space="preserve">)</w:t>
      </w:r>
      <w:r w:rsidDel="00000000" w:rsidR="00000000" w:rsidRPr="00000000">
        <w:rPr>
          <w:rtl w:val="0"/>
        </w:rPr>
        <w:t xml:space="preserve">, con unas 119.000 filas y 32 columnas.</w:t>
      </w:r>
    </w:p>
    <w:p w:rsidR="00000000" w:rsidDel="00000000" w:rsidP="00000000" w:rsidRDefault="00000000" w:rsidRPr="00000000" w14:paraId="0000002E">
      <w:pPr>
        <w:spacing w:after="120" w:lineRule="auto"/>
        <w:jc w:val="both"/>
        <w:rPr/>
      </w:pPr>
      <w:r w:rsidDel="00000000" w:rsidR="00000000" w:rsidRPr="00000000">
        <w:rPr>
          <w:rtl w:val="0"/>
        </w:rPr>
        <w:t xml:space="preserve">La variable objetivo es is_canceled (1 si la reserva se canceló, 0 si no). Las demás variables describen la reserva (anticipación, fecha de llegada, duración de la estadía, composición del grupo, régimen de comidas), el canal de venta (segmento de mercado, canal de distribución, agencia, empresa), el cliente (país, historial de cancelaciones) y la tarifa diaria promedio.</w:t>
      </w:r>
    </w:p>
    <w:p w:rsidR="00000000" w:rsidDel="00000000" w:rsidP="00000000" w:rsidRDefault="00000000" w:rsidRPr="00000000" w14:paraId="0000002F">
      <w:pPr>
        <w:spacing w:after="120" w:lineRule="auto"/>
        <w:jc w:val="both"/>
        <w:rPr/>
      </w:pPr>
      <w:r w:rsidDel="00000000" w:rsidR="00000000" w:rsidRPr="00000000">
        <w:rPr>
          <w:rtl w:val="0"/>
        </w:rPr>
        <w:t xml:space="preserve">Limitaciones</w:t>
      </w:r>
      <w:r w:rsidDel="00000000" w:rsidR="00000000" w:rsidRPr="00000000">
        <w:rPr>
          <w:rtl w:val="0"/>
        </w:rPr>
        <w:t xml:space="preserve">: son datos de dos hoteles en un período de dos años, por lo que el modelo puede no generalizar a otros hoteles ni a otros momentos. La versión de Kaggle fue descargada y limpiada por Thomas Mock y Antoine Bichat para el proyecto #TidyTuesday (febrero de 2020), por lo que los datos ya tuvieron un tratamiento previo de terceros.</w:t>
      </w:r>
    </w:p>
    <w:p w:rsidR="00000000" w:rsidDel="00000000" w:rsidP="00000000" w:rsidRDefault="00000000" w:rsidRPr="00000000" w14:paraId="00000030">
      <w:pPr>
        <w:spacing w:after="120" w:lineRule="auto"/>
        <w:jc w:val="both"/>
        <w:rPr/>
      </w:pPr>
      <w:r w:rsidDel="00000000" w:rsidR="00000000" w:rsidRPr="00000000">
        <w:rPr>
          <w:b w:val="1"/>
          <w:bCs w:val="1"/>
          <w:rtl w:val="0"/>
        </w:rPr>
        <w:t xml:space="preserve">Partición temporal por fecha estimada de reserva</w:t>
      </w:r>
      <w:r w:rsidDel="00000000" w:rsidR="00000000" w:rsidRPr="00000000">
        <w:rPr>
          <w:rtl w:val="0"/>
        </w:rPr>
        <w:t xml:space="preserve">: se usa booking_date_est = arrival_date - lead_time como proxy, porque no existe la fecha real de creación. El corte es 12/01/2017. Train maduro: 79.870 reservas, con fecha estimada de reserva del 24/06/2013 al 11/01/2017 y llegadas anteriores al corte. Test futuro: 23.989 reservas, con fechas estimadas del 12/01/2017 al 31/08/2017. Se excluyen 15.531 reservas estimadas antes del corte pero con llegada posterior o igual al corte, cuyos resultados aún no serían observables al entrenar. La aproximación tiene limitaciones; además, la versión anterior inspeccionó etiquetas del holdout por fecha de llegada y el nuevo test comparte algunas filas con esos conjuntos. Por ello, el test no es completamente ciego y no debe usarse para seleccionar modelos ni ajustar umbrales. </w:t>
      </w:r>
    </w:p>
    <w:p w:rsidR="00000000" w:rsidDel="00000000" w:rsidP="00000000" w:rsidRDefault="00000000" w:rsidRPr="00000000" w14:paraId="00000031">
      <w:pPr>
        <w:spacing w:after="120" w:lineRule="auto"/>
        <w:jc w:val="both"/>
        <w:rPr/>
      </w:pPr>
      <w:r w:rsidDel="00000000" w:rsidR="00000000" w:rsidRPr="00000000">
        <w:rPr>
          <w:b w:val="1"/>
          <w:bCs w:val="1"/>
          <w:rtl w:val="0"/>
        </w:rPr>
        <w:t xml:space="preserve">Hallazgos en trai</w:t>
      </w:r>
      <w:r w:rsidDel="00000000" w:rsidR="00000000" w:rsidRPr="00000000">
        <w:rPr>
          <w:rtl w:val="0"/>
        </w:rPr>
        <w:t xml:space="preserve">n: el 36,1% de las reservas se canceló y el 63,9% no, un desbalance moderado. Faltan datos en company (94,29%), agent (13,67%), country (0,511%) y children (4 filas). Hay 23.172 filas duplicadas exactas, el 29,0% de train.</w:t>
      </w:r>
    </w:p>
    <w:p w:rsidR="00000000" w:rsidDel="00000000" w:rsidP="00000000" w:rsidRDefault="00000000" w:rsidRPr="00000000" w14:paraId="00000032">
      <w:pPr>
        <w:spacing w:after="120" w:lineRule="auto"/>
        <w:jc w:val="both"/>
        <w:rPr>
          <w:highlight w:val="yellow"/>
        </w:rPr>
      </w:pPr>
      <w:r w:rsidDel="00000000" w:rsidR="00000000" w:rsidRPr="00000000">
        <w:rPr>
          <w:rtl w:val="0"/>
        </w:rPr>
        <w:t xml:space="preserve">La política principal conserva las 79.870 filas (tasa de cancelación 36,12%). El notebook también prepara `train_df_dedup_sensitivity`, una variante con 56.698 filas (25,04% canceladas) tras remover 23.172 duplicados exactos; esta diferencia en la proporción del target hace importante la sensibilidad. </w:t>
      </w:r>
      <w:r w:rsidDel="00000000" w:rsidR="00000000" w:rsidRPr="00000000">
        <w:rPr>
          <w:rtl w:val="0"/>
        </w:rPr>
      </w:r>
    </w:p>
    <w:p w:rsidR="00000000" w:rsidDel="00000000" w:rsidP="00000000" w:rsidRDefault="00000000" w:rsidRPr="00000000" w14:paraId="00000033">
      <w:pPr>
        <w:spacing w:after="120" w:lineRule="auto"/>
        <w:jc w:val="both"/>
        <w:rPr/>
      </w:pPr>
      <w:r w:rsidDel="00000000" w:rsidR="00000000" w:rsidRPr="00000000">
        <w:rPr>
          <w:b w:val="1"/>
          <w:bCs w:val="1"/>
          <w:rtl w:val="0"/>
        </w:rPr>
        <w:t xml:space="preserve">EDA en train</w:t>
      </w:r>
      <w:r w:rsidDel="00000000" w:rsidR="00000000" w:rsidRPr="00000000">
        <w:rPr>
          <w:rtl w:val="0"/>
        </w:rPr>
        <w:t xml:space="preserve">: company 94,29% nulo, agent 13,67%, country 0,511% y children 4 filas (0,005%). No descartar filas por faltantes; evaluar imputación e indicadores dentro del pipeline. Extremos observados: adr va de 0 a 5.400 (p99=234), adultos hasta 55, lead_time hasta 737 y 580 reservas de cero noches. </w:t>
      </w:r>
    </w:p>
    <w:p w:rsidR="00000000" w:rsidDel="00000000" w:rsidP="00000000" w:rsidRDefault="00000000" w:rsidRPr="00000000" w14:paraId="00000034">
      <w:pPr>
        <w:spacing w:after="120" w:lineRule="auto"/>
        <w:jc w:val="both"/>
        <w:rPr/>
      </w:pPr>
      <w:r w:rsidDel="00000000" w:rsidR="00000000" w:rsidRPr="00000000">
        <w:rPr>
          <w:rtl w:val="0"/>
        </w:rPr>
        <w:t xml:space="preserve">Las seis visualizaciones y conclusiones del notebook, calculadas solo en train, cubren: balance (36,1% canceladas); hotel (City 41,3%, Resort 26,2%); mes (aprox. 27,2–39,6%); anticipación (9,9% hasta 7 días y 77,8% en más de 365 días, n=1.801); depósito (Non Refund 99,2%, No Deposit 26,6%, Refundable 7,4%, n=135; análisis descriptivo, excluido del modelo principal hasta verificar disponibilidad al reservar); y ADR (medianas 88,20 frente a 89,96, con extremos; también excluido del modelo principal).</w:t>
      </w:r>
      <w:r w:rsidDel="00000000" w:rsidR="00000000" w:rsidRPr="00000000">
        <w:rPr>
          <w:rtl w:val="0"/>
        </w:rPr>
      </w:r>
    </w:p>
    <w:p w:rsidR="00000000" w:rsidDel="00000000" w:rsidP="00000000" w:rsidRDefault="00000000" w:rsidRPr="00000000" w14:paraId="00000035">
      <w:pPr>
        <w:pStyle w:val="Heading1"/>
        <w:rPr/>
      </w:pPr>
      <w:bookmarkStart w:colFirst="0" w:colLast="0" w:name="_cagaymbgnnj6" w:id="5"/>
      <w:bookmarkEnd w:id="5"/>
      <w:r w:rsidDel="00000000" w:rsidR="00000000" w:rsidRPr="00000000">
        <w:rPr>
          <w:rtl w:val="0"/>
        </w:rPr>
        <w:t xml:space="preserve">Fugas de datos</w:t>
      </w:r>
    </w:p>
    <w:p w:rsidR="00000000" w:rsidDel="00000000" w:rsidP="00000000" w:rsidRDefault="00000000" w:rsidRPr="00000000" w14:paraId="00000036">
      <w:pPr>
        <w:pStyle w:val="Heading2"/>
        <w:rPr/>
      </w:pPr>
      <w:bookmarkStart w:colFirst="0" w:colLast="0" w:name="_2m8qlomf82i6" w:id="6"/>
      <w:bookmarkEnd w:id="6"/>
      <w:r w:rsidDel="00000000" w:rsidR="00000000" w:rsidRPr="00000000">
        <w:rPr>
          <w:rtl w:val="0"/>
        </w:rPr>
        <w:t xml:space="preserve">Las detectadas y el experimento realizado</w:t>
      </w:r>
    </w:p>
    <w:p w:rsidR="00000000" w:rsidDel="00000000" w:rsidP="00000000" w:rsidRDefault="00000000" w:rsidRPr="00000000" w14:paraId="00000037">
      <w:pPr>
        <w:spacing w:after="120" w:lineRule="auto"/>
        <w:jc w:val="both"/>
        <w:rPr/>
      </w:pPr>
      <w:r w:rsidDel="00000000" w:rsidR="00000000" w:rsidRPr="00000000">
        <w:rPr>
          <w:rtl w:val="0"/>
        </w:rPr>
        <w:t xml:space="preserve">Se auditaron las 32 variables por disponibilidad al reservar y riesgo de proxy del target; el detalle está en la sección 4.1 del notebook. </w:t>
      </w:r>
    </w:p>
    <w:p w:rsidR="00000000" w:rsidDel="00000000" w:rsidP="00000000" w:rsidRDefault="00000000" w:rsidRPr="00000000" w14:paraId="00000038">
      <w:pPr>
        <w:spacing w:after="120" w:lineRule="auto"/>
        <w:jc w:val="both"/>
        <w:rPr/>
      </w:pPr>
      <w:r w:rsidDel="00000000" w:rsidR="00000000" w:rsidRPr="00000000">
        <w:rPr>
          <w:rtl w:val="0"/>
        </w:rPr>
        <w:t xml:space="preserve">reservation_status y reservation_status_date son fuga directa; excluirlas del modelo. También excluir booking_changes y assigned_room_type, que se conocen recién después de crear la reserva. Transformar country, agent y company por cardinalidad/faltantes.</w:t>
      </w:r>
    </w:p>
    <w:p w:rsidR="00000000" w:rsidDel="00000000" w:rsidP="00000000" w:rsidRDefault="00000000" w:rsidRPr="00000000" w14:paraId="00000039">
      <w:pPr>
        <w:spacing w:after="120" w:lineRule="auto"/>
        <w:jc w:val="both"/>
        <w:rPr>
          <w:highlight w:val="yellow"/>
        </w:rPr>
      </w:pPr>
      <w:r w:rsidDel="00000000" w:rsidR="00000000" w:rsidRPr="00000000">
        <w:rPr>
          <w:rtl w:val="0"/>
        </w:rPr>
        <w:t xml:space="preserve">La política del modelo principal excluye estrictamente deposit_type, adr, days_in_waiting_list, required_car_parking_spaces y total_of_special_requests hasta confirmar que cada campo está disponible al crear la reserva. También se excluye adr_per_guest, derivada de adr. La lista se implementa explícitamente en MODEL_EXCLUDE_COLS; reservation_status y reservation_status_date son fugas directas, y booking_changes y assigned_room_type tampoco están disponibles al reservar. Si luego se confirma la disponibilidad temporal de algún campo, podrá evaluarse por separado, sin incorporarlo retroactivamente al modelo principal.</w:t>
      </w:r>
      <w:r w:rsidDel="00000000" w:rsidR="00000000" w:rsidRPr="00000000">
        <w:rPr>
          <w:rtl w:val="0"/>
        </w:rPr>
      </w:r>
    </w:p>
    <w:p w:rsidR="00000000" w:rsidDel="00000000" w:rsidP="00000000" w:rsidRDefault="00000000" w:rsidRPr="00000000" w14:paraId="0000003A">
      <w:pPr>
        <w:spacing w:after="120" w:lineRule="auto"/>
        <w:jc w:val="both"/>
        <w:rPr/>
      </w:pPr>
      <w:r w:rsidDel="00000000" w:rsidR="00000000" w:rsidRPr="00000000">
        <w:rPr>
          <w:rtl w:val="0"/>
        </w:rPr>
        <w:t xml:space="preserve">Experimento de data leakage: </w:t>
      </w:r>
      <w:r w:rsidDel="00000000" w:rsidR="00000000" w:rsidRPr="00000000">
        <w:rPr>
          <w:highlight w:val="yellow"/>
          <w:rtl w:val="0"/>
        </w:rPr>
        <w:t xml:space="preserve">[PENDIENTE DE IMPLEMENTAR: el notebook reserva reservation_status y reservation_status_date para el experimento de fuga, pero todavía no ejecuta el modelo ni calcula cuánto se infla la métrica. No presentar un valor hasta correr la comparación con la misma partición y validación.]</w:t>
      </w:r>
      <w:r w:rsidDel="00000000" w:rsidR="00000000" w:rsidRPr="00000000">
        <w:rPr>
          <w:rtl w:val="0"/>
        </w:rPr>
        <w:t xml:space="preserve">.</w:t>
      </w:r>
    </w:p>
    <w:p w:rsidR="00000000" w:rsidDel="00000000" w:rsidP="00000000" w:rsidRDefault="00000000" w:rsidRPr="00000000" w14:paraId="0000003B">
      <w:pPr>
        <w:pStyle w:val="Heading1"/>
        <w:rPr/>
      </w:pPr>
      <w:bookmarkStart w:colFirst="0" w:colLast="0" w:name="_yd9rtjr4t5dl" w:id="7"/>
      <w:bookmarkEnd w:id="7"/>
      <w:r w:rsidDel="00000000" w:rsidR="00000000" w:rsidRPr="00000000">
        <w:rPr>
          <w:rtl w:val="0"/>
        </w:rPr>
        <w:t xml:space="preserve">Feature engineering, modelos y resultados</w:t>
      </w:r>
    </w:p>
    <w:p w:rsidR="00000000" w:rsidDel="00000000" w:rsidP="00000000" w:rsidRDefault="00000000" w:rsidRPr="00000000" w14:paraId="0000003C">
      <w:pPr>
        <w:spacing w:after="120" w:lineRule="auto"/>
        <w:jc w:val="both"/>
        <w:rPr/>
      </w:pPr>
      <w:r w:rsidDel="00000000" w:rsidR="00000000" w:rsidRPr="00000000">
        <w:rPr>
          <w:rtl w:val="0"/>
        </w:rPr>
        <w:t xml:space="preserve">La función del notebook implementa 11 variables derivadas: total_nights (duración), total_guests y has_children (composición), arrival_month/arrival_dow/arrival_is_weekend y seno/coseno del mes (estacionalidad), lead_time_band (no linealidad), prev_cancel_ratio (historial) y adr_per_guest (precio relativo; excluida porque deriva de ADR). Para categóricas de alta cardinalidad se propone frecuencia/agrupación de raras dentro del Pipeline y one-hot con categorías desconocidas controladas. Ablation y selección de variables aún deben medirse en validación; la función no implica que todas deban conservarse.</w:t>
      </w:r>
    </w:p>
    <w:p w:rsidR="00000000" w:rsidDel="00000000" w:rsidP="00000000" w:rsidRDefault="00000000" w:rsidRPr="00000000" w14:paraId="0000003D">
      <w:pPr>
        <w:spacing w:after="120" w:lineRule="auto"/>
        <w:jc w:val="both"/>
        <w:rPr/>
      </w:pPr>
      <w:r w:rsidDel="00000000" w:rsidR="00000000" w:rsidRPr="00000000">
        <w:rPr>
          <w:rtl w:val="0"/>
        </w:rPr>
        <w:t xml:space="preserve">La función de validación genera cinco folds cronológicos por fecha estimada de reserva, con filtrado de madurez y purga de reservas previas cuyo resultado no sería observable al inicio de cada fold. Los mismos períodos pueden reutilizarse para la variante deduplicada; las copias exactas no cruzan los límites de fold. </w:t>
      </w:r>
    </w:p>
    <w:p w:rsidR="00000000" w:rsidDel="00000000" w:rsidP="00000000" w:rsidRDefault="00000000" w:rsidRPr="00000000" w14:paraId="0000003E">
      <w:pPr>
        <w:spacing w:after="120" w:lineRule="auto"/>
        <w:jc w:val="both"/>
        <w:rPr>
          <w:highlight w:val="yellow"/>
        </w:rPr>
      </w:pPr>
      <w:r w:rsidDel="00000000" w:rsidR="00000000" w:rsidRPr="00000000">
        <w:rPr>
          <w:highlight w:val="yellow"/>
          <w:rtl w:val="0"/>
        </w:rPr>
        <w:t xml:space="preserve">Faltan DummyClassifier, regresión logística, al menos cuatro familias, ajuste solo en train, calibración y la comparación de modelos entre análisis principal y variante deduplicada. Reportar Average Precision y escenarios top 5%, 10% y 20% con precision@k, recall@k y alertas por 1.000.</w:t>
      </w:r>
    </w:p>
    <w:p w:rsidR="00000000" w:rsidDel="00000000" w:rsidP="00000000" w:rsidRDefault="00000000" w:rsidRPr="00000000" w14:paraId="0000003F">
      <w:pPr>
        <w:pStyle w:val="Heading2"/>
        <w:rPr/>
      </w:pPr>
      <w:bookmarkStart w:colFirst="0" w:colLast="0" w:name="_p4q69lgd7kc3" w:id="8"/>
      <w:bookmarkEnd w:id="8"/>
      <w:r w:rsidDel="00000000" w:rsidR="00000000" w:rsidRPr="00000000">
        <w:rPr>
          <w:rtl w:val="0"/>
        </w:rPr>
        <w:t xml:space="preserve">Comparación contra el baseline</w:t>
      </w:r>
    </w:p>
    <w:p w:rsidR="00000000" w:rsidDel="00000000" w:rsidP="00000000" w:rsidRDefault="00000000" w:rsidRPr="00000000" w14:paraId="00000040">
      <w:pPr>
        <w:spacing w:after="120" w:lineRule="auto"/>
        <w:jc w:val="both"/>
        <w:rPr/>
      </w:pPr>
      <w:r w:rsidDel="00000000" w:rsidR="00000000" w:rsidRPr="00000000">
        <w:rPr>
          <w:rtl w:val="0"/>
        </w:rPr>
        <w:t xml:space="preserve">En la búsqueda anidada, promedio de validación externa: Gradient Boosting principal, top 5% (50,05 alertas/1.000), precision@k 0,6699 y recall@k 0,1133; top 10% (100,02/1.000), 0,6188 y 0,2090; top 20% (200,02/1.000), 0,5817 y 0,3927. Random Forest principal obtuvo, respectivamente, 0,6703/0,1130, 0,6421/0,2156 y 0,5637/0,3778. Con entrenamiento deduplicado y la misma validación: Random Forest 0,6070/0,1036, 0,5995/0,2029 y 0,5722/0,3853; Gradient Boosting 0,5090/0,0880, 0,5355/0,1833 y 0,5693/0,3845. La referencia aleatoria tiene AP media 0,3014 y recall esperado de 5%, 10% y 20%. Son escenarios hipotéticos de carga, no evidencia de ahorros ni efectos de una intervención.</w:t>
      </w:r>
      <w:r w:rsidDel="00000000" w:rsidR="00000000" w:rsidRPr="00000000">
        <w:rPr>
          <w:rtl w:val="0"/>
        </w:rPr>
        <w:t xml:space="preserve"> </w:t>
      </w:r>
    </w:p>
    <w:p w:rsidR="00000000" w:rsidDel="00000000" w:rsidP="00000000" w:rsidRDefault="00000000" w:rsidRPr="00000000" w14:paraId="00000041">
      <w:pPr>
        <w:spacing w:after="120" w:lineRule="auto"/>
        <w:jc w:val="both"/>
        <w:rPr>
          <w:highlight w:val="yellow"/>
        </w:rPr>
      </w:pPr>
      <w:r w:rsidDel="00000000" w:rsidR="00000000" w:rsidRPr="00000000">
        <w:rPr>
          <w:highlight w:val="yellow"/>
          <w:rtl w:val="0"/>
        </w:rPr>
        <w:t xml:space="preserve">Pendiente para la evaluación final: seleccionar y ajustar el modelo definitivo con todo train usando validación temporal, calibrar probabilidades, ejecutar el experimento de fuga, calcular intervalos de confianza, analizar errores y completar la interpretabilidad. Evaluar el test reservado una sola vez, después de cerrar las decisiones; aún no se ha usado.</w:t>
      </w:r>
    </w:p>
    <w:p w:rsidR="00000000" w:rsidDel="00000000" w:rsidP="00000000" w:rsidRDefault="00000000" w:rsidRPr="00000000" w14:paraId="00000042">
      <w:pPr>
        <w:pStyle w:val="Heading1"/>
        <w:rPr/>
      </w:pPr>
      <w:bookmarkStart w:colFirst="0" w:colLast="0" w:name="_i954d9f71yqu" w:id="9"/>
      <w:bookmarkEnd w:id="9"/>
      <w:r w:rsidDel="00000000" w:rsidR="00000000" w:rsidRPr="00000000">
        <w:rPr>
          <w:rtl w:val="0"/>
        </w:rPr>
        <w:t xml:space="preserve">Interpretación, riesgos y recomendaciones</w:t>
      </w:r>
    </w:p>
    <w:p w:rsidR="00000000" w:rsidDel="00000000" w:rsidP="00000000" w:rsidRDefault="00000000" w:rsidRPr="00000000" w14:paraId="00000043">
      <w:pPr>
        <w:spacing w:after="120" w:lineRule="auto"/>
        <w:jc w:val="both"/>
        <w:rPr>
          <w:highlight w:val="yellow"/>
        </w:rPr>
      </w:pPr>
      <w:r w:rsidDel="00000000" w:rsidR="00000000" w:rsidRPr="00000000">
        <w:rPr>
          <w:highlight w:val="yellow"/>
          <w:rtl w:val="0"/>
        </w:rPr>
        <w:t xml:space="preserve">[PENDIENTE DE EVALUACIÓN FINAL: aunque se compararon modelos dentro de validación, aún no hay un modelo final ajustado para calcular importancia por permutación, SHAP/dependencia parcial ni analizar errores o subgrupos. El test reservado sigue sin evaluar. No recomendar despliegue sin validación, un plan operativo y piloto supervisado; si se avanza, monitorear deriva, calibración, cancelaciones y desempeño por segmentos.]</w:t>
      </w:r>
    </w:p>
    <w:p w:rsidR="00000000" w:rsidDel="00000000" w:rsidP="00000000" w:rsidRDefault="00000000" w:rsidRPr="00000000" w14:paraId="00000044">
      <w:pPr>
        <w:pStyle w:val="Heading1"/>
        <w:rPr/>
      </w:pPr>
      <w:bookmarkStart w:colFirst="0" w:colLast="0" w:name="_9hg1bgy764ev" w:id="10"/>
      <w:bookmarkEnd w:id="10"/>
      <w:r w:rsidDel="00000000" w:rsidR="00000000" w:rsidRPr="00000000">
        <w:rPr>
          <w:rtl w:val="0"/>
        </w:rPr>
        <w:t xml:space="preserve">Uso de IA </w:t>
      </w:r>
    </w:p>
    <w:p w:rsidR="00000000" w:rsidDel="00000000" w:rsidP="00000000" w:rsidRDefault="00000000" w:rsidRPr="00000000" w14:paraId="00000045">
      <w:pPr>
        <w:pStyle w:val="Heading2"/>
        <w:rPr/>
      </w:pPr>
      <w:bookmarkStart w:colFirst="0" w:colLast="0" w:name="_1gdp8e9x2i8h" w:id="11"/>
      <w:bookmarkEnd w:id="11"/>
      <w:r w:rsidDel="00000000" w:rsidR="00000000" w:rsidRPr="00000000">
        <w:rPr>
          <w:rtl w:val="0"/>
        </w:rPr>
        <w:t xml:space="preserve">Forma en que se utilizó la herramienta de IA </w:t>
      </w:r>
    </w:p>
    <w:p w:rsidR="00000000" w:rsidDel="00000000" w:rsidP="00000000" w:rsidRDefault="00000000" w:rsidRPr="00000000" w14:paraId="00000046">
      <w:pPr>
        <w:spacing w:after="120" w:lineRule="auto"/>
        <w:jc w:val="both"/>
        <w:rPr/>
      </w:pPr>
      <w:r w:rsidDel="00000000" w:rsidR="00000000" w:rsidRPr="00000000">
        <w:rPr>
          <w:rtl w:val="0"/>
        </w:rPr>
        <w:t xml:space="preserve">Se usó Claude (Anthropic) para evaluar candidatos de dataset, orientar la elección de Hotel Booking Demand y generar borradores del notebook y la documentación. También se usó Copilot (Copilot SDK en VS Code) para proponer la métrica de negocio, resumir el EDA, añadir gráficos y variables derivadas, y validar el código. </w:t>
      </w:r>
    </w:p>
    <w:p w:rsidR="00000000" w:rsidDel="00000000" w:rsidP="00000000" w:rsidRDefault="00000000" w:rsidRPr="00000000" w14:paraId="00000047">
      <w:pPr>
        <w:spacing w:after="120" w:lineRule="auto"/>
        <w:jc w:val="both"/>
        <w:rPr/>
      </w:pPr>
      <w:r w:rsidDel="00000000" w:rsidR="00000000" w:rsidRPr="00000000">
        <w:rPr>
          <w:rtl w:val="0"/>
        </w:rPr>
        <w:t xml:space="preserve">La tabla añadida en el notebook fue hecha con ChatGPT:</w:t>
      </w:r>
    </w:p>
    <w:p w:rsidR="00000000" w:rsidDel="00000000" w:rsidP="00000000" w:rsidRDefault="00000000" w:rsidRPr="00000000" w14:paraId="00000048">
      <w:pPr>
        <w:numPr>
          <w:ilvl w:val="0"/>
          <w:numId w:val="1"/>
        </w:numPr>
        <w:spacing w:after="0" w:afterAutospacing="0" w:lineRule="auto"/>
        <w:ind w:left="720" w:hanging="360"/>
        <w:jc w:val="both"/>
        <w:rPr>
          <w:u w:val="none"/>
        </w:rPr>
      </w:pPr>
      <w:r w:rsidDel="00000000" w:rsidR="00000000" w:rsidRPr="00000000">
        <w:rPr>
          <w:rtl w:val="0"/>
        </w:rPr>
        <w:t xml:space="preserve">Evaluar candidatos de dataset y orientar la elección de Hotel Booking Demand.</w:t>
      </w:r>
    </w:p>
    <w:p w:rsidR="00000000" w:rsidDel="00000000" w:rsidP="00000000" w:rsidRDefault="00000000" w:rsidRPr="00000000" w14:paraId="00000049">
      <w:pPr>
        <w:numPr>
          <w:ilvl w:val="0"/>
          <w:numId w:val="1"/>
        </w:numPr>
        <w:spacing w:after="0" w:afterAutospacing="0" w:lineRule="auto"/>
        <w:ind w:left="720" w:hanging="360"/>
        <w:jc w:val="both"/>
        <w:rPr>
          <w:u w:val="none"/>
        </w:rPr>
      </w:pPr>
      <w:r w:rsidDel="00000000" w:rsidR="00000000" w:rsidRPr="00000000">
        <w:rPr>
          <w:rtl w:val="0"/>
        </w:rPr>
        <w:t xml:space="preserve">Armar el esqueleto del notebook (secciones, semilla, carga de datos y partición temporal) y un borrador de la tabla de auditoría de variables.</w:t>
      </w:r>
    </w:p>
    <w:p w:rsidR="00000000" w:rsidDel="00000000" w:rsidP="00000000" w:rsidRDefault="00000000" w:rsidRPr="00000000" w14:paraId="0000004A">
      <w:pPr>
        <w:numPr>
          <w:ilvl w:val="0"/>
          <w:numId w:val="1"/>
        </w:numPr>
        <w:spacing w:after="120" w:lineRule="auto"/>
        <w:ind w:left="720" w:hanging="360"/>
        <w:jc w:val="both"/>
        <w:rPr>
          <w:u w:val="none"/>
        </w:rPr>
      </w:pPr>
      <w:r w:rsidDel="00000000" w:rsidR="00000000" w:rsidRPr="00000000">
        <w:rPr>
          <w:rtl w:val="0"/>
        </w:rPr>
        <w:t xml:space="preserve">Redactar borradores de esta documentación (problema, descripción del dataset y guías por sección).</w:t>
      </w:r>
    </w:p>
    <w:p w:rsidR="00000000" w:rsidDel="00000000" w:rsidP="00000000" w:rsidRDefault="00000000" w:rsidRPr="00000000" w14:paraId="0000004B">
      <w:pPr>
        <w:spacing w:after="120" w:lineRule="auto"/>
        <w:jc w:val="both"/>
        <w:rPr/>
      </w:pPr>
      <w:r w:rsidDel="00000000" w:rsidR="00000000" w:rsidRPr="00000000">
        <w:rPr>
          <w:b w:val="1"/>
          <w:bCs w:val="1"/>
          <w:rtl w:val="0"/>
        </w:rPr>
        <w:t xml:space="preserve">Corrección realizada sobre lo que generó la IA</w:t>
      </w:r>
      <w:r w:rsidDel="00000000" w:rsidR="00000000" w:rsidRPr="00000000">
        <w:rPr>
          <w:rtl w:val="0"/>
        </w:rPr>
        <w:t xml:space="preserve">: Corrección de links que no funcionaban (ejemplo: </w:t>
      </w:r>
      <w:hyperlink r:id="rId9">
        <w:r w:rsidDel="00000000" w:rsidR="00000000" w:rsidRPr="00000000">
          <w:rPr>
            <w:color w:val="1155cc"/>
            <w:u w:val="single"/>
            <w:rtl w:val="0"/>
          </w:rPr>
          <w:t xml:space="preserve">https://baselight.app/u/kaggle/dataset/jessemostipak_hotel_booking_demand</w:t>
        </w:r>
      </w:hyperlink>
      <w:r w:rsidDel="00000000" w:rsidR="00000000" w:rsidRPr="00000000">
        <w:rPr>
          <w:rtl w:val="0"/>
        </w:rPr>
        <w:t xml:space="preserve">, fue da</w:t>
      </w:r>
    </w:p>
    <w:p w:rsidR="00000000" w:rsidDel="00000000" w:rsidP="00000000" w:rsidRDefault="00000000" w:rsidRPr="00000000" w14:paraId="0000004C">
      <w:pPr>
        <w:spacing w:after="120" w:lineRule="auto"/>
        <w:jc w:val="both"/>
        <w:rPr/>
      </w:pPr>
      <w:r w:rsidDel="00000000" w:rsidR="00000000" w:rsidRPr="00000000">
        <w:rPr>
          <w:rtl w:val="0"/>
        </w:rPr>
        <w:t xml:space="preserve">No se inventaron costos ni métricas de modelos, ya que el dataset no contiene costos operativos.</w:t>
      </w:r>
    </w:p>
    <w:p w:rsidR="00000000" w:rsidDel="00000000" w:rsidP="00000000" w:rsidRDefault="00000000" w:rsidRPr="00000000" w14:paraId="0000004D">
      <w:pPr>
        <w:spacing w:after="120" w:lineRule="auto"/>
        <w:jc w:val="both"/>
        <w:rPr/>
      </w:pPr>
      <w:r w:rsidDel="00000000" w:rsidR="00000000" w:rsidRPr="00000000">
        <w:rPr>
          <w:rtl w:val="0"/>
        </w:rPr>
      </w:r>
    </w:p>
    <w:p w:rsidR="00000000" w:rsidDel="00000000" w:rsidP="00000000" w:rsidRDefault="00000000" w:rsidRPr="00000000" w14:paraId="0000004E">
      <w:pPr>
        <w:pStyle w:val="Heading2"/>
        <w:rPr/>
      </w:pPr>
      <w:bookmarkStart w:colFirst="0" w:colLast="0" w:name="_l4ecfvvii8mq" w:id="12"/>
      <w:bookmarkEnd w:id="12"/>
      <w:r w:rsidDel="00000000" w:rsidR="00000000" w:rsidRPr="00000000">
        <w:rPr>
          <w:rtl w:val="0"/>
        </w:rPr>
        <w:t xml:space="preserve">Fuentes</w:t>
      </w:r>
      <w:r w:rsidDel="00000000" w:rsidR="00000000" w:rsidRPr="00000000">
        <w:rPr>
          <w:rtl w:val="0"/>
        </w:rPr>
      </w:r>
    </w:p>
    <w:p w:rsidR="00000000" w:rsidDel="00000000" w:rsidP="00000000" w:rsidRDefault="00000000" w:rsidRPr="00000000" w14:paraId="0000004F">
      <w:pPr>
        <w:spacing w:after="120" w:lineRule="auto"/>
        <w:jc w:val="both"/>
        <w:rPr/>
      </w:pPr>
      <w:r w:rsidDel="00000000" w:rsidR="00000000" w:rsidRPr="00000000">
        <w:rPr>
          <w:rtl w:val="0"/>
        </w:rPr>
        <w:t xml:space="preserve">Antonio, N., Almeida, A. y Nunes, L. (2019). Hotel booking demand datasets. Data in Brief, 22, 41-49. https://doi.org/10.1016/j.dib.2018.11.126. </w:t>
      </w:r>
    </w:p>
    <w:p w:rsidR="00000000" w:rsidDel="00000000" w:rsidP="00000000" w:rsidRDefault="00000000" w:rsidRPr="00000000" w14:paraId="00000050">
      <w:pPr>
        <w:spacing w:after="120" w:lineRule="auto"/>
        <w:jc w:val="both"/>
        <w:rPr/>
      </w:pPr>
      <w:r w:rsidDel="00000000" w:rsidR="00000000" w:rsidRPr="00000000">
        <w:rPr>
          <w:rtl w:val="0"/>
        </w:rPr>
        <w:t xml:space="preserve">Kaggle Hotel booking demand, Jesse Mostipak (2020), </w:t>
      </w:r>
      <w:hyperlink r:id="rId10">
        <w:r w:rsidDel="00000000" w:rsidR="00000000" w:rsidRPr="00000000">
          <w:rPr>
            <w:color w:val="1155cc"/>
            <w:u w:val="single"/>
            <w:rtl w:val="0"/>
          </w:rPr>
          <w:t xml:space="preserve">https://www.kaggle.com/datasets/jessemostipak/hotel-booking-demand/data</w:t>
        </w:r>
      </w:hyperlink>
      <w:r w:rsidDel="00000000" w:rsidR="00000000" w:rsidRPr="00000000">
        <w:rPr>
          <w:rtl w:val="0"/>
        </w:rPr>
        <w:t xml:space="preserve"> </w:t>
      </w:r>
    </w:p>
    <w:p>
      <w:r>
        <w:br w:type="page"/>
      </w:r>
    </w:p>
    <w:p>
      <w:pPr>
        <w:pStyle w:val="Heading1"/>
      </w:pPr>
      <w:r>
        <w:t>Actualización del avance - 28 de octubre de 2026</w:t>
      </w:r>
    </w:p>
    <w:p>
      <w:r>
        <w:t>Este anexo actualiza el estado del proyecto según los cambios incorporados al notebook. Las celdas nuevas todavía no se ejecutaron de punta a punta; por eso no se agregan métricas nuevas ni se reemplazan cifras previas sin verificación.</w:t>
      </w:r>
    </w:p>
    <w:p>
      <w:pPr>
        <w:pStyle w:val="Heading2"/>
      </w:pPr>
      <w:r>
        <w:t>Cambios incorporados al notebook</w:t>
      </w:r>
    </w:p>
    <w:p>
      <w:r>
        <w:t>• Ablation de familias de variables y selección SelectFromModel con ExtraTrees dentro de los folds temporales de entrenamiento.</w:t>
      </w:r>
    </w:p>
    <w:p>
      <w:r>
        <w:t>• Experimento controlado de fuga: comparación entre Gradient Boosting honesto y una variante con reservation_status y reservation_status_date, en los mismos folds de train.</w:t>
      </w:r>
    </w:p>
    <w:p>
      <w:r>
        <w:t>• Calibración temporal fuera de muestra, curva de calibración y tabla de umbrales bajo escenarios hipotéticos de costos relativos. No se inventan costos monetarios ni se elige un escenario operativo.</w:t>
      </w:r>
    </w:p>
    <w:p>
      <w:r>
        <w:t>• Evaluación final protegida por defecto: una única carga del test, métricas requeridas y bootstrap; pendiente de cerrar modelo y umbral.</w:t>
      </w:r>
    </w:p>
    <w:p>
      <w:r>
        <w:t>• Análisis de errores fuera de muestra, desempeño descriptivo por subgrupos, importancia por permutación en validación temporal y dependencia parcial.</w:t>
      </w:r>
    </w:p>
    <w:p>
      <w:r>
        <w:t>• Código para generar requirements.txt con versiones instaladas, guardar el pipeline, crear predict.py y exportar una copia actualizada del DOCX.</w:t>
      </w:r>
    </w:p>
    <w:p>
      <w:pPr>
        <w:pStyle w:val="Heading2"/>
      </w:pPr>
      <w:r>
        <w:t>Estado de los análisis</w:t>
      </w:r>
    </w:p>
    <w:tbl>
      <w:tblPr>
        <w:tblW w:type="auto" w:w="0"/>
        <w:tblLook w:firstColumn="1" w:firstRow="1" w:lastColumn="0" w:lastRow="0" w:noHBand="0" w:noVBand="1" w:val="04A0"/>
      </w:tblPr>
      <w:tblGrid>
        <w:gridCol w:w="3010"/>
        <w:gridCol w:w="3010"/>
        <w:gridCol w:w="3010"/>
      </w:tblGrid>
      <w:tr>
        <w:tc>
          <w:tcPr>
            <w:tcW w:type="dxa" w:w="3010"/>
          </w:tcPr>
          <w:p>
            <w:r>
              <w:t>Análisis</w:t>
            </w:r>
          </w:p>
        </w:tc>
        <w:tc>
          <w:tcPr>
            <w:tcW w:type="dxa" w:w="3010"/>
          </w:tcPr>
          <w:p>
            <w:r>
              <w:t>Estado</w:t>
            </w:r>
          </w:p>
        </w:tc>
        <w:tc>
          <w:tcPr>
            <w:tcW w:type="dxa" w:w="3010"/>
          </w:tcPr>
          <w:p>
            <w:r>
              <w:t>Uso del test</w:t>
            </w:r>
          </w:p>
        </w:tc>
      </w:tr>
      <w:tr>
        <w:tc>
          <w:tcPr>
            <w:tcW w:type="dxa" w:w="3010"/>
          </w:tcPr>
          <w:p>
            <w:r>
              <w:t>Ablation y selección</w:t>
            </w:r>
          </w:p>
        </w:tc>
        <w:tc>
          <w:tcPr>
            <w:tcW w:type="dxa" w:w="3010"/>
          </w:tcPr>
          <w:p>
            <w:r>
              <w:t>Código agregado; falta ejecutar y reportar resultados.</w:t>
            </w:r>
          </w:p>
        </w:tc>
        <w:tc>
          <w:tcPr>
            <w:tcW w:type="dxa" w:w="3010"/>
          </w:tcPr>
          <w:p>
            <w:r>
              <w:t>No usado.</w:t>
            </w:r>
          </w:p>
        </w:tc>
      </w:tr>
      <w:tr>
        <w:tc>
          <w:tcPr>
            <w:tcW w:type="dxa" w:w="3010"/>
          </w:tcPr>
          <w:p>
            <w:r>
              <w:t>Experimento de fuga</w:t>
            </w:r>
          </w:p>
        </w:tc>
        <w:tc>
          <w:tcPr>
            <w:tcW w:type="dxa" w:w="3010"/>
          </w:tcPr>
          <w:p>
            <w:r>
              <w:t>Código agregado; falta medir la diferencia de Average Precision.</w:t>
            </w:r>
          </w:p>
        </w:tc>
        <w:tc>
          <w:tcPr>
            <w:tcW w:type="dxa" w:w="3010"/>
          </w:tcPr>
          <w:p>
            <w:r>
              <w:t>No usado.</w:t>
            </w:r>
          </w:p>
        </w:tc>
      </w:tr>
      <w:tr>
        <w:tc>
          <w:tcPr>
            <w:tcW w:type="dxa" w:w="3010"/>
          </w:tcPr>
          <w:p>
            <w:r>
              <w:t>Calibración y costos</w:t>
            </w:r>
          </w:p>
        </w:tc>
        <w:tc>
          <w:tcPr>
            <w:tcW w:type="dxa" w:w="3010"/>
          </w:tcPr>
          <w:p>
            <w:r>
              <w:t>Métricas y escenarios pendientes de ejecución y acuerdo.</w:t>
            </w:r>
          </w:p>
        </w:tc>
        <w:tc>
          <w:tcPr>
            <w:tcW w:type="dxa" w:w="3010"/>
          </w:tcPr>
          <w:p>
            <w:r>
              <w:t>No usado.</w:t>
            </w:r>
          </w:p>
        </w:tc>
      </w:tr>
      <w:tr>
        <w:tc>
          <w:tcPr>
            <w:tcW w:type="dxa" w:w="3010"/>
          </w:tcPr>
          <w:p>
            <w:r>
              <w:t>Interpretabilidad y errores</w:t>
            </w:r>
          </w:p>
        </w:tc>
        <w:tc>
          <w:tcPr>
            <w:tcW w:type="dxa" w:w="3010"/>
          </w:tcPr>
          <w:p>
            <w:r>
              <w:t>Código de análisis temporal de train agregado; ejecución pendiente.</w:t>
            </w:r>
          </w:p>
        </w:tc>
        <w:tc>
          <w:tcPr>
            <w:tcW w:type="dxa" w:w="3010"/>
          </w:tcPr>
          <w:p>
            <w:r>
              <w:t>No usado.</w:t>
            </w:r>
          </w:p>
        </w:tc>
      </w:tr>
      <w:tr>
        <w:tc>
          <w:tcPr>
            <w:tcW w:type="dxa" w:w="3010"/>
          </w:tcPr>
          <w:p>
            <w:r>
              <w:t>Evaluación final</w:t>
            </w:r>
          </w:p>
        </w:tc>
        <w:tc>
          <w:tcPr>
            <w:tcW w:type="dxa" w:w="3010"/>
          </w:tcPr>
          <w:p>
            <w:r>
              <w:t>Celda protegida y desactivada por defecto; no evaluada.</w:t>
            </w:r>
          </w:p>
        </w:tc>
        <w:tc>
          <w:tcPr>
            <w:tcW w:type="dxa" w:w="3010"/>
          </w:tcPr>
          <w:p>
            <w:r>
              <w:t>Reservado.</w:t>
            </w:r>
          </w:p>
        </w:tc>
      </w:tr>
      <w:tr>
        <w:tc>
          <w:tcPr>
            <w:tcW w:type="dxa" w:w="3010"/>
          </w:tcPr>
          <w:p>
            <w:r>
              <w:t>Empaquetado</w:t>
            </w:r>
          </w:p>
        </w:tc>
        <w:tc>
          <w:tcPr>
            <w:tcW w:type="dxa" w:w="3010"/>
          </w:tcPr>
          <w:p>
            <w:r>
              <w:t>Código agregado; requiere umbral acordado y ejecución.</w:t>
            </w:r>
          </w:p>
        </w:tc>
        <w:tc>
          <w:tcPr>
            <w:tcW w:type="dxa" w:w="3010"/>
          </w:tcPr>
          <w:p>
            <w:r>
              <w:t>No usado.</w:t>
            </w:r>
          </w:p>
        </w:tc>
      </w:tr>
    </w:tbl>
    <w:p>
      <w:pPr>
        <w:pStyle w:val="Heading2"/>
      </w:pPr>
      <w:r>
        <w:t>Aclaraciones y limitaciones</w:t>
      </w:r>
    </w:p>
    <w:p>
      <w:r>
        <w:t>• El cuerpo original conserva texto de una versión anterior. Los baselines, la regresión logística y las cuatro familias de modelos ya están implementados. La calibración sigmoid también está implementada, pero todavía debe ejecutarse y evaluarse.</w:t>
      </w:r>
    </w:p>
    <w:p>
      <w:r>
        <w:t>• El experimento de fuga, la ablation y la selección de variables ahora tienen código, aunque sus métricas siguen pendientes. Las cifras previas del cuerpo principal se conservan y no se presentan como resultados nuevos.</w:t>
      </w:r>
    </w:p>
    <w:p>
      <w:r>
        <w:t>• No hay costos de un hotel real. Los costos relativos son escenarios académicos hipotéticos; el equipo debe acordar el escenario con la cátedra antes de fijar el umbral.</w:t>
      </w:r>
    </w:p>
    <w:p>
      <w:r>
        <w:t>• El informe de avance advierte que una versión anterior inspeccionó etiquetas del holdout y que hay filas compartidas. El test no es completamente ciego: no debe usarse para seleccionar modelos, variables ni umbrales y esa limitación debe acompañar la evaluación final.</w:t>
      </w:r>
    </w:p>
    <w:p>
      <w:r>
        <w:t>• No recomendar despliegue sin validar en datos actuales, revisar subgrupos, acordar costos y realizar un piloto supervisado con monitoreo de deriva y calibración.</w:t>
      </w:r>
    </w:p>
    <w:sectPr>
      <w:headerReference r:id="rId11" w:type="default"/>
      <w:headerReference r:id="rId12" w:type="first"/>
      <w:footerReference r:id="rId13" w:type="default"/>
      <w:footerReference r:id="rId14"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spacing w:line="240" w:lineRule="auto"/>
      <w:jc w:val="both"/>
      <w:rPr/>
    </w:pPr>
    <w:r w:rsidDel="00000000" w:rsidR="00000000" w:rsidRPr="00000000">
      <w:rPr>
        <w:rtl w:val="0"/>
      </w:rPr>
    </w:r>
  </w:p>
  <w:p w:rsidR="00000000" w:rsidDel="00000000" w:rsidP="00000000" w:rsidRDefault="00000000" w:rsidRPr="00000000" w14:paraId="00000053">
    <w:pPr>
      <w:jc w:val="right"/>
      <w:rPr/>
    </w:pPr>
    <w:r w:rsidDel="00000000" w:rsidR="00000000" w:rsidRPr="00000000">
      <w:rPr>
        <w:rtl w:val="0"/>
      </w:rPr>
    </w:r>
  </w:p>
  <w:p w:rsidR="00000000" w:rsidDel="00000000" w:rsidP="00000000" w:rsidRDefault="00000000" w:rsidRPr="00000000" w14:paraId="0000005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b w:val="1"/>
        <w:bCs w:val="1"/>
        <w:sz w:val="30"/>
        <w:szCs w:val="30"/>
      </w:rPr>
    </w:pPr>
    <w:r w:rsidDel="00000000" w:rsidR="00000000" w:rsidRPr="00000000">
      <w:rPr>
        <w:rtl w:val="0"/>
      </w:rPr>
    </w:r>
  </w:p>
  <w:p w:rsidR="00000000" w:rsidDel="00000000" w:rsidP="00000000" w:rsidRDefault="00000000" w:rsidRPr="00000000" w14:paraId="00000056">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5524500</wp:posOffset>
          </wp:positionH>
          <wp:positionV relativeFrom="paragraph">
            <wp:posOffset>-342899</wp:posOffset>
          </wp:positionV>
          <wp:extent cx="872836" cy="800100"/>
          <wp:effectExtent b="0" l="0" r="0" t="0"/>
          <wp:wrapNone/>
          <wp:docPr id="1" name="image1.jpg"/>
          <a:graphic>
            <a:graphicData uri="http://schemas.openxmlformats.org/drawingml/2006/picture">
              <pic:pic>
                <pic:nvPicPr>
                  <pic:cNvPr id="0" name="image1.jpg"/>
                  <pic:cNvPicPr preferRelativeResize="0"/>
                </pic:nvPicPr>
                <pic:blipFill>
                  <a:blip r:embed="rId1">
                    <a:alphaModFix amt="32000"/>
                  </a:blip>
                  <a:srcRect b="0" l="0" r="0" t="0"/>
                  <a:stretch>
                    <a:fillRect/>
                  </a:stretch>
                </pic:blipFill>
                <pic:spPr>
                  <a:xfrm>
                    <a:off x="0" y="0"/>
                    <a:ext cx="872836" cy="8001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www.kaggle.com/datasets/jessemostipak/hotel-booking-demand/data"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aselight.app/u/kaggle/dataset/jessemostipak_hotel_booking_demand" TargetMode="Externa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www.sciencedirect.com/science/article/pii/S2352340918315191" TargetMode="External"/><Relationship Id="rId7" Type="http://schemas.openxmlformats.org/officeDocument/2006/relationships/hyperlink" Target="https://www.kaggle.com/datasets/jessemostipak/hotel-booking-demand" TargetMode="External"/><Relationship Id="rId8" Type="http://schemas.openxmlformats.org/officeDocument/2006/relationships/hyperlink" Target="https://creativecommons.org/licenses/by/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