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Campaign Performance Analysis</w:t>
      </w:r>
    </w:p>
    <w:p>
      <w:r>
        <w:t>Prepared for FreshChoice Foods</w:t>
      </w:r>
    </w:p>
    <w:p>
      <w:r>
        <w:t>Date: June 2026</w:t>
      </w:r>
    </w:p>
    <w:p/>
    <w:p>
      <w:pPr>
        <w:pStyle w:val="Heading1"/>
      </w:pPr>
      <w:r>
        <w:t>1. Executive Summary</w:t>
      </w:r>
    </w:p>
    <w:p>
      <w:r>
        <w:t>FreshChoice Foods ran 5 marketing campaigns with an overall negative ROI. This analysis examined 2,240 customer records across 28 attributes to identify why campaigns underperformed and how to improve Campaign 6.</w:t>
      </w:r>
    </w:p>
    <w:p>
      <w:r>
        <w:t>The core finding is that previous campaigns were not targeted. Only 14.9% of customers accepted Campaign 6. However, specific customer segments performed dramatically better. By focusing marketing spend on high-income customers without children, FreshChoice can nearly triple the acceptance rate while reducing costs.</w:t>
      </w:r>
    </w:p>
    <w:p>
      <w:pPr>
        <w:pStyle w:val="Heading1"/>
      </w:pPr>
      <w:r>
        <w:t>2. Key Findings</w:t>
      </w:r>
    </w:p>
    <w:p>
      <w:pPr>
        <w:pStyle w:val="Heading2"/>
      </w:pPr>
      <w:r>
        <w:t>2.1 Campaign Performance Overview</w:t>
      </w:r>
    </w:p>
    <w:p>
      <w:r>
        <w:t>Previous campaigns had acceptance rates between 1.3% and 7.5%. Campaign 6 achieved 14.9%, but 85% of marketing budget was spent on customers who did not respond.</w:t>
      </w:r>
    </w:p>
    <w:p>
      <w:pPr>
        <w:pStyle w:val="Heading2"/>
      </w:pPr>
      <w:r>
        <w:t>2.2 Income Brackets</w:t>
      </w:r>
    </w:p>
    <w:p>
      <w:r>
        <w:t>High-income customers (earning above 80,000) accepted Campaign 6 at a rate of 40%, compared to just 12% for customers earning below 80,000. Accepters earned an average of 60,183 vs 50,846 for non-accepters — a difference of approximately 9,300.</w:t>
      </w:r>
    </w:p>
    <w:p>
      <w:pPr>
        <w:pStyle w:val="Heading2"/>
      </w:pPr>
      <w:r>
        <w:t>2.3 Family Status</w:t>
      </w:r>
    </w:p>
    <w:p>
      <w:r>
        <w:t>Customers with no children or teens at home accepted at 26.5%, while those with children accepted at only 10.3%. This suggests family responsibilities reduce engagement with marketing offers.</w:t>
      </w:r>
    </w:p>
    <w:p>
      <w:pPr>
        <w:pStyle w:val="Heading2"/>
      </w:pPr>
      <w:r>
        <w:t>2.4 Combined Segmentation</w:t>
      </w:r>
    </w:p>
    <w:p>
      <w:r>
        <w:t>When income and family status are combined, the results are striking:</w:t>
      </w:r>
    </w:p>
    <w:p>
      <w:pPr>
        <w:pStyle w:val="ListBullet"/>
      </w:pPr>
      <w:r>
        <w:t>High income, no children: 41.5% acceptance rate (78 of 188)</w:t>
      </w:r>
    </w:p>
    <w:p>
      <w:pPr>
        <w:pStyle w:val="ListBullet"/>
      </w:pPr>
      <w:r>
        <w:t>High income, with children: 31.0% (9 of 29)</w:t>
      </w:r>
    </w:p>
    <w:p>
      <w:pPr>
        <w:pStyle w:val="ListBullet"/>
      </w:pPr>
      <w:r>
        <w:t>Below 80k, no children: 20.2% (91 of 450)</w:t>
      </w:r>
    </w:p>
    <w:p>
      <w:pPr>
        <w:pStyle w:val="ListBullet"/>
      </w:pPr>
      <w:r>
        <w:t>Below 80k, with children: 9.9% (156 of 1,573)</w:t>
      </w:r>
    </w:p>
    <w:p>
      <w:pPr>
        <w:pStyle w:val="Heading2"/>
      </w:pPr>
      <w:r>
        <w:t>2.5 Education Level</w:t>
      </w:r>
    </w:p>
    <w:p>
      <w:r>
        <w:t>Higher education correlates with higher acceptance. PhD holders accepted at 20.8%, while customers with Basic education accepted at only 3.7%.</w:t>
      </w:r>
    </w:p>
    <w:p>
      <w:pPr>
        <w:pStyle w:val="Heading2"/>
      </w:pPr>
      <w:r>
        <w:t>2.6 Product Spending Patterns</w:t>
      </w:r>
    </w:p>
    <w:p>
      <w:r>
        <w:t>Customers who accepted Campaign 6 spent significantly more across all product categories, particularly on wines, meat products, and gold products. Non-accepters had higher web visit counts but lower actual purchase rates.</w:t>
      </w:r>
    </w:p>
    <w:p>
      <w:pPr>
        <w:pStyle w:val="Heading1"/>
      </w:pPr>
      <w:r>
        <w:t>3. Why Was ROI Negative?</w:t>
      </w:r>
    </w:p>
    <w:p>
      <w:r>
        <w:t>The primary cause of negative ROI was untargeted budget allocation. Marketing spend was distributed evenly across all 2,240 customers, but the majority (85%) had no intention of responding. In particular:</w:t>
      </w:r>
    </w:p>
    <w:p>
      <w:pPr>
        <w:pStyle w:val="ListBullet"/>
      </w:pPr>
      <w:r>
        <w:t>Customers with children represent 69% of the database but accept at only 10.3%</w:t>
      </w:r>
    </w:p>
    <w:p>
      <w:pPr>
        <w:pStyle w:val="ListBullet"/>
      </w:pPr>
      <w:r>
        <w:t>Low-to-medium income customers represent 90% of the database but accept at only 12%</w:t>
      </w:r>
    </w:p>
    <w:p>
      <w:pPr>
        <w:pStyle w:val="ListBullet"/>
      </w:pPr>
      <w:r>
        <w:t>Campaigns 2 through 5 had acceptance rates below 8%, suggesting repeated outreach to uninterested segments wasted resources</w:t>
      </w:r>
    </w:p>
    <w:p>
      <w:pPr>
        <w:pStyle w:val="Heading1"/>
      </w:pPr>
      <w:r>
        <w:t>4. Recommendations for Campaign 6</w:t>
      </w:r>
    </w:p>
    <w:p>
      <w:pPr>
        <w:pStyle w:val="Heading2"/>
      </w:pPr>
      <w:r>
        <w:t>4.1 Primary Target Segment</w:t>
      </w:r>
    </w:p>
    <w:p>
      <w:r>
        <w:t>Focus Campaign 6 exclusively on high-income customers (income above 80,000) with no children or teens at home. This 188-person segment delivered 78 acceptances at a 41.5% rate. Scaling this approach could generate 334 acceptances from just 805 targeted customers — the same result as mailing all 2,240 customers, but with 64% less marketing spend.</w:t>
      </w:r>
    </w:p>
    <w:p>
      <w:pPr>
        <w:pStyle w:val="Heading2"/>
      </w:pPr>
      <w:r>
        <w:t>4.2 Secondary Target Segment</w:t>
      </w:r>
    </w:p>
    <w:p>
      <w:r>
        <w:t>If budget permits, expand to medium-income customers (40,000-80,000) with no children. This group accepts at 20%, still above the 14.9% baseline, and represents a larger addressable pool of 450 customers.</w:t>
      </w:r>
    </w:p>
    <w:p>
      <w:pPr>
        <w:pStyle w:val="Heading2"/>
      </w:pPr>
      <w:r>
        <w:t>4.3 Campaign Design Suggestions</w:t>
      </w:r>
    </w:p>
    <w:p>
      <w:pPr>
        <w:pStyle w:val="ListBullet"/>
      </w:pPr>
      <w:r>
        <w:t>Emphasize wine and premium meat products in creative assets, as accepters spend heavily on these</w:t>
      </w:r>
    </w:p>
    <w:p>
      <w:pPr>
        <w:pStyle w:val="ListBullet"/>
      </w:pPr>
      <w:r>
        <w:t>Use catalog and in-store channels rather than web, since accepters prefer physical purchasing</w:t>
      </w:r>
    </w:p>
    <w:p>
      <w:pPr>
        <w:pStyle w:val="ListBullet"/>
      </w:pPr>
      <w:r>
        <w:t>Avoid households with children unless offering family-specific promotions</w:t>
      </w:r>
    </w:p>
    <w:p>
      <w:pPr>
        <w:pStyle w:val="Heading2"/>
      </w:pPr>
      <w:r>
        <w:t>4.4 Avoid These Segments</w:t>
      </w:r>
    </w:p>
    <w:p>
      <w:r>
        <w:t>Customers with two or more children (less than 5% acceptance rate) and customers on Basic education level (3.7% acceptance) should be excluded from Campaign 6 targeting to avoid wasted spend.</w:t>
      </w:r>
    </w:p>
    <w:p>
      <w:pPr>
        <w:pStyle w:val="Heading1"/>
      </w:pPr>
      <w:r>
        <w:t>5. Methodology</w:t>
      </w:r>
    </w:p>
    <w:p>
      <w:r>
        <w:t>Data was cleaned using Python (pandas) and analyzed using SQLite. The customer database was normalized into four related tables: customers, product spending, purchase channels, and campaign responses. All findings are based on SQL queries with GROUP BY aggregations and cross-table JOINs on customer ID. Results were verified against the overall campaign baseline of 14.9% acceptance.</w:t>
      </w:r>
    </w:p>
    <w:p>
      <w:pPr>
        <w:pStyle w:val="Heading1"/>
      </w:pPr>
      <w:r>
        <w:t>6. Conclusion</w:t>
      </w:r>
    </w:p>
    <w:p>
      <w:r>
        <w:t>FreshChoice Foods can significantly improve Campaign 6 ROI by adopting a data-driven targeting strategy. The evidence is clear: high-income customers without children are the most responsive segment, accepting at nearly 3 times the baseline rate. By concentrating marketing budget on this group and avoiding low-propensity segments, FreshChoice can achieve the same or better results with substantially lower costs.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