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DIGITAL PERSONAL DATA PROTECTION</w:t>
      </w:r>
    </w:p>
    <w:p>
      <w:pPr>
        <w:spacing w:after="60" w:before="0"/>
        <w:jc w:val="center"/>
      </w:pPr>
      <w:r>
        <w:rPr>
          <w:rFonts w:ascii="Arial" w:cs="Arial" w:eastAsia="Arial" w:hAnsi="Arial"/>
          <w:b/>
          <w:bCs/>
          <w:color w:val="2E75B6"/>
          <w:sz w:val="44"/>
          <w:szCs w:val="44"/>
        </w:rPr>
        <w:t xml:space="preserve">ACT, 2023  &amp;  RULES, 2025</w:t>
      </w:r>
    </w:p>
    <w:p>
      <w:pPr>
        <w:pBdr>
          <w:bottom w:val="thick" w:color="C55A11" w:sz="12" w:space="1"/>
        </w:pBdr>
        <w:spacing w:after="60" w:before="60"/>
        <w:jc w:val="center"/>
      </w:pPr>
    </w:p>
    <w:p>
      <w:pPr>
        <w:spacing w:after="60" w:before="120"/>
        <w:jc w:val="center"/>
      </w:pPr>
      <w:r>
        <w:rPr>
          <w:rFonts w:ascii="Arial" w:cs="Arial" w:eastAsia="Arial" w:hAnsi="Arial"/>
          <w:i/>
          <w:iCs/>
          <w:color w:val="C55A11"/>
          <w:sz w:val="30"/>
          <w:szCs w:val="30"/>
        </w:rPr>
        <w:t xml:space="preserve">Consolidated Reference Document</w:t>
      </w:r>
    </w:p>
    <w:p>
      <w:pPr>
        <w:spacing w:after="60" w:before="60"/>
        <w:jc w:val="center"/>
      </w:pPr>
      <w:r>
        <w:rPr>
          <w:rFonts w:ascii="Arial" w:cs="Arial" w:eastAsia="Arial" w:hAnsi="Arial"/>
          <w:color w:val="2F2F2F"/>
          <w:sz w:val="22"/>
          <w:szCs w:val="22"/>
        </w:rPr>
        <w:t xml:space="preserve">Including all Gazette Notifications, DPDP Rules 2025, Enforcement Timeline,</w:t>
      </w:r>
    </w:p>
    <w:p>
      <w:pPr>
        <w:spacing w:after="60" w:before="0"/>
        <w:jc w:val="center"/>
      </w:pPr>
      <w:r>
        <w:rPr>
          <w:rFonts w:ascii="Arial" w:cs="Arial" w:eastAsia="Arial" w:hAnsi="Arial"/>
          <w:color w:val="2F2F2F"/>
          <w:sz w:val="22"/>
          <w:szCs w:val="22"/>
        </w:rPr>
        <w:t xml:space="preserve">Data Protection Board Constitution &amp; Phased Compliance Roadmap</w:t>
      </w:r>
    </w:p>
    <w:p>
      <w:pPr>
        <w:spacing w:after="40" w:before="40"/>
      </w:pPr>
      <w:r>
        <w:t xml:space="preserve"/>
      </w:r>
    </w:p>
    <w:p>
      <w:pPr>
        <w:spacing w:after="60" w:before="60"/>
        <w:jc w:val="center"/>
      </w:pPr>
      <w:r>
        <w:rPr>
          <w:rFonts w:ascii="Arial" w:cs="Arial" w:eastAsia="Arial" w:hAnsi="Arial"/>
          <w:color w:val="666666"/>
          <w:sz w:val="20"/>
          <w:szCs w:val="20"/>
        </w:rPr>
        <w:t xml:space="preserve">Act No. 22 of 2023  |  Gazette G.S.R. 843(E)–846(E) dated 13 November 2025  |  Full compliance deadline: 13 May 2027</w:t>
      </w:r>
    </w:p>
    <w:p>
      <w:pPr>
        <w:spacing w:after="60" w:before="60"/>
        <w:jc w:val="center"/>
      </w:pPr>
      <w:r>
        <w:rPr>
          <w:rFonts w:ascii="Arial" w:cs="Arial" w:eastAsia="Arial" w:hAnsi="Arial"/>
          <w:b/>
          <w:bCs/>
          <w:color w:val="1F4E79"/>
          <w:sz w:val="20"/>
          <w:szCs w:val="20"/>
        </w:rPr>
        <w:t xml:space="preserve">Administered by: Ministry of Electronics and Information Technology (MeitY)</w:t>
      </w:r>
    </w:p>
    <w:p>
      <w:pPr>
        <w:spacing w:after="240" w:before="60"/>
        <w:jc w:val="center"/>
      </w:pPr>
      <w:r>
        <w:rPr>
          <w:rFonts w:ascii="Arial" w:cs="Arial" w:eastAsia="Arial" w:hAnsi="Arial"/>
          <w:color w:val="C55A11"/>
          <w:sz w:val="20"/>
          <w:szCs w:val="20"/>
        </w:rPr>
        <w:t xml:space="preserve">Last Updated: May 2026</w:t>
      </w:r>
    </w:p>
    <w:p>
      <w:r>
        <w:br w:type="page"/>
      </w:r>
    </w:p>
    <w:p>
      <w:pPr>
        <w:pStyle w:val="Heading1"/>
        <w:spacing w:after="120" w:before="360"/>
      </w:pPr>
      <w:r>
        <w:rPr>
          <w:rFonts w:ascii="Arial" w:cs="Arial" w:eastAsia="Arial" w:hAnsi="Arial"/>
          <w:b/>
          <w:bCs/>
          <w:color w:val="1F4E79"/>
          <w:sz w:val="32"/>
          <w:szCs w:val="32"/>
        </w:rPr>
        <w:t xml:space="preserve">Official Sources &amp; Download Links</w:t>
      </w:r>
    </w:p>
    <w:p>
      <w:pPr>
        <w:spacing w:after="80" w:before="80"/>
      </w:pPr>
      <w:r>
        <w:rPr>
          <w:rFonts w:ascii="Arial" w:cs="Arial" w:eastAsia="Arial" w:hAnsi="Arial"/>
          <w:color w:val="2F2F2F"/>
          <w:sz w:val="22"/>
          <w:szCs w:val="22"/>
        </w:rPr>
        <w:t xml:space="preserve">All primary source documents are available from the Government of India portals. The following are authoritative official links: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3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4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 URL</w:t>
            </w:r>
          </w:p>
        </w:tc>
        <w:tc>
          <w:tcPr>
            <w:tcW w:type="dxa" w:w="1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DPDP Act, 2023 (Full Text)</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https://www.meity.gov.in/writereaddata/files/Digital Personal Data Protection Act 2023.pdf</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11 Aug 2023</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DPDP Rules, 2025 – English</w:t>
            </w:r>
          </w:p>
        </w:tc>
        <w:tc>
          <w:tcPr>
            <w:tcW w:type="dxa" w:w="4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https://www.dpdpa.com/DPDP_Rules_2025_English_only.pdf</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13 Nov 2025</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Gazette G.S.R. 843(E) – Commencement</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https://egazette.gov.in (search GSR 843E)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13 Nov 2025</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Gazette G.S.R. 844(E) – DPBI Establishment</w:t>
            </w:r>
          </w:p>
        </w:tc>
        <w:tc>
          <w:tcPr>
            <w:tcW w:type="dxa" w:w="4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https://egazette.gov.in (search GSR 844E)</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13 Nov 2025</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Gazette G.S.R. 845(E) – DPBI Members</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https://egazette.gov.in (search GSR 845E)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13 Nov 2025</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Gazette G.S.R. 846(E) – DPDP Rules 2025</w:t>
            </w:r>
          </w:p>
        </w:tc>
        <w:tc>
          <w:tcPr>
            <w:tcW w:type="dxa" w:w="4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https://egazette.gov.in (search GSR 846E)</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13 Nov 2025</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PIB Official Rules Summary PDF</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https://static.pib.gov.in/WriteReadData/specificdocs/documents/2025/nov/doc20251117695301.pdf</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17 Nov 2025</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MeitY DPDP Portal</w:t>
            </w:r>
          </w:p>
        </w:tc>
        <w:tc>
          <w:tcPr>
            <w:tcW w:type="dxa" w:w="4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https://www.meity.gov.in/data-protection-framework</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Ongoing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DSCI Summary of DPDP Rules 2025</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https://www.dsci.in/files/content/documents/2025/Digital-Personal-Data-Protection-Rules-2025.pdf</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Nov 2025</w:t>
            </w:r>
          </w:p>
        </w:tc>
      </w:tr>
    </w:tbl>
    <w:p>
      <w:pPr>
        <w:spacing w:after="40" w:before="40"/>
      </w:pPr>
      <w:r>
        <w:t xml:space="preserve"/>
      </w:r>
    </w:p>
    <w:p>
      <w:pPr>
        <w:pStyle w:val="Heading1"/>
        <w:spacing w:after="120" w:before="360"/>
      </w:pPr>
      <w:r>
        <w:rPr>
          <w:rFonts w:ascii="Arial" w:cs="Arial" w:eastAsia="Arial" w:hAnsi="Arial"/>
          <w:b/>
          <w:bCs/>
          <w:color w:val="1F4E79"/>
          <w:sz w:val="32"/>
          <w:szCs w:val="32"/>
        </w:rPr>
        <w:t xml:space="preserve">1. Legislative History &amp; Timeline</w:t>
      </w:r>
    </w:p>
    <w:p>
      <w:pPr>
        <w:pBdr>
          <w:bottom w:val="single" w:color="2E75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Nov 2022</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Personal Data Protection Bill 2019 withdrawn; revised draft initiated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18 Nov 2022</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MeitY releases new draft data protection bill for public consultation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3 Aug 2023</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Digital Personal Data Protection Bill 2023 introduced in Lok Sabha</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7 Aug 2023</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Bill passed by Lok Sabha (Act No. 22 of 2023)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9 Aug 2023</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Bill passed by Rajya Sabha</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11 Aug 2023</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Presidential assent – DPDP Act 2023 published in Gazette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3 Jan 2025</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Draft DPDP Rules 2025 released for public consultation (G.S.R. 02(E))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3 Jan – 18 Feb 2025</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Public consultation period; 6,915 inputs received from industry, civil society, citizens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13 Nov 2025</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Final DPDP Rules 2025 notified (G.S.R. 846(E)); Act operationalised via Gazette G.S.R. 843(E)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13 Nov 2025</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Data Protection Board of India (DPBI) established (G.S.R. 844(E), 845(E))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13 Nov 2026</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Rule 4 (Consent Manager registration) takes effect – Stage 2</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13 May 2027</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Full compliance mandatory for all remaining provisions – Stage 3</w:t>
            </w:r>
          </w:p>
        </w:tc>
      </w:tr>
    </w:tbl>
    <w:p>
      <w:pPr>
        <w:spacing w:after="40" w:before="40"/>
      </w:pPr>
      <w:r>
        <w:t xml:space="preserve"/>
      </w:r>
    </w:p>
    <w:p>
      <w:pPr>
        <w:pStyle w:val="Heading1"/>
        <w:spacing w:after="120" w:before="360"/>
      </w:pPr>
      <w:r>
        <w:rPr>
          <w:rFonts w:ascii="Arial" w:cs="Arial" w:eastAsia="Arial" w:hAnsi="Arial"/>
          <w:b/>
          <w:bCs/>
          <w:color w:val="1F4E79"/>
          <w:sz w:val="32"/>
          <w:szCs w:val="32"/>
        </w:rPr>
        <w:t xml:space="preserve">2. Phased Implementation Roadmap</w:t>
      </w:r>
    </w:p>
    <w:p>
      <w:pPr>
        <w:pBdr>
          <w:bottom w:val="single" w:color="2E75B6" w:sz="6" w:space="1"/>
        </w:pBdr>
        <w:spacing w:after="120" w:before="120"/>
      </w:pPr>
    </w:p>
    <w:p>
      <w:pPr>
        <w:pStyle w:val="Heading2"/>
        <w:spacing w:after="80" w:before="280"/>
      </w:pPr>
      <w:r>
        <w:rPr>
          <w:rFonts w:ascii="Arial" w:cs="Arial" w:eastAsia="Arial" w:hAnsi="Arial"/>
          <w:b/>
          <w:bCs/>
          <w:color w:val="2E75B6"/>
          <w:sz w:val="26"/>
          <w:szCs w:val="26"/>
        </w:rPr>
        <w:t xml:space="preserve">Stage 1 – Immediate Effect (13 November 2025)</w:t>
      </w:r>
    </w:p>
    <w:p>
      <w:pPr>
        <w:pStyle w:val="ListParagraph"/>
        <w:numPr>
          <w:ilvl w:val="0"/>
          <w:numId w:val="2"/>
        </w:numPr>
        <w:spacing w:after="40" w:before="40"/>
      </w:pPr>
      <w:r>
        <w:rPr>
          <w:rFonts w:ascii="Arial" w:cs="Arial" w:eastAsia="Arial" w:hAnsi="Arial"/>
          <w:color w:val="2F2F2F"/>
          <w:sz w:val="22"/>
          <w:szCs w:val="22"/>
        </w:rPr>
        <w:t xml:space="preserve">Data Protection Board of India (DPBI) formally established, headquartered in NCR</w:t>
      </w:r>
    </w:p>
    <w:p>
      <w:pPr>
        <w:pStyle w:val="ListParagraph"/>
        <w:numPr>
          <w:ilvl w:val="0"/>
          <w:numId w:val="2"/>
        </w:numPr>
        <w:spacing w:after="40" w:before="40"/>
      </w:pPr>
      <w:r>
        <w:rPr>
          <w:rFonts w:ascii="Arial" w:cs="Arial" w:eastAsia="Arial" w:hAnsi="Arial"/>
          <w:color w:val="2F2F2F"/>
          <w:sz w:val="22"/>
          <w:szCs w:val="22"/>
        </w:rPr>
        <w:t xml:space="preserve">Digital complaint portal and mobile application launched</w:t>
      </w:r>
    </w:p>
    <w:p>
      <w:pPr>
        <w:pStyle w:val="ListParagraph"/>
        <w:numPr>
          <w:ilvl w:val="0"/>
          <w:numId w:val="2"/>
        </w:numPr>
        <w:spacing w:after="40" w:before="40"/>
      </w:pPr>
      <w:r>
        <w:rPr>
          <w:rFonts w:ascii="Arial" w:cs="Arial" w:eastAsia="Arial" w:hAnsi="Arial"/>
          <w:color w:val="2F2F2F"/>
          <w:sz w:val="22"/>
          <w:szCs w:val="22"/>
        </w:rPr>
        <w:t xml:space="preserve">Rule 4 provisions (Board appointment, functioning, digital office) activated</w:t>
      </w:r>
    </w:p>
    <w:p>
      <w:pPr>
        <w:pStyle w:val="ListParagraph"/>
        <w:numPr>
          <w:ilvl w:val="0"/>
          <w:numId w:val="2"/>
        </w:numPr>
        <w:spacing w:after="40" w:before="40"/>
      </w:pPr>
      <w:r>
        <w:rPr>
          <w:rFonts w:ascii="Arial" w:cs="Arial" w:eastAsia="Arial" w:hAnsi="Arial"/>
          <w:color w:val="2F2F2F"/>
          <w:sz w:val="22"/>
          <w:szCs w:val="22"/>
        </w:rPr>
        <w:t xml:space="preserve">DPBI enforcement and investigative powers operational</w:t>
      </w:r>
    </w:p>
    <w:p>
      <w:pPr>
        <w:pStyle w:val="ListParagraph"/>
        <w:numPr>
          <w:ilvl w:val="0"/>
          <w:numId w:val="2"/>
        </w:numPr>
        <w:spacing w:after="40" w:before="40"/>
      </w:pPr>
      <w:r>
        <w:rPr>
          <w:rFonts w:ascii="Arial" w:cs="Arial" w:eastAsia="Arial" w:hAnsi="Arial"/>
          <w:color w:val="2F2F2F"/>
          <w:sz w:val="22"/>
          <w:szCs w:val="22"/>
        </w:rPr>
        <w:t xml:space="preserve">Old SPDI Rules, 2011 continue in force for 18 more months (no compliance vacuum)</w:t>
      </w:r>
    </w:p>
    <w:p>
      <w:pPr>
        <w:pStyle w:val="ListParagraph"/>
        <w:numPr>
          <w:ilvl w:val="0"/>
          <w:numId w:val="2"/>
        </w:numPr>
        <w:spacing w:after="40" w:before="40"/>
      </w:pPr>
      <w:r>
        <w:rPr>
          <w:rFonts w:ascii="Arial" w:cs="Arial" w:eastAsia="Arial" w:hAnsi="Arial"/>
          <w:color w:val="2F2F2F"/>
          <w:sz w:val="22"/>
          <w:szCs w:val="22"/>
        </w:rPr>
        <w:t xml:space="preserve">Rules 1, 2 and 17–21 now in force</w:t>
      </w:r>
    </w:p>
    <w:p>
      <w:pPr>
        <w:pStyle w:val="ListParagraph"/>
        <w:numPr>
          <w:ilvl w:val="0"/>
          <w:numId w:val="2"/>
        </w:numPr>
        <w:spacing w:after="40" w:before="40"/>
      </w:pPr>
      <w:r>
        <w:rPr>
          <w:rFonts w:ascii="Arial" w:cs="Arial" w:eastAsia="Arial" w:hAnsi="Arial"/>
          <w:color w:val="2F2F2F"/>
          <w:sz w:val="22"/>
          <w:szCs w:val="22"/>
        </w:rPr>
        <w:t xml:space="preserve">Sub-section (2) of Section 1, Section 2, Sections 18–26, 35, 38–44 operative</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Stage 2 – One Year from Notification (13 November 2026)</w:t>
      </w:r>
    </w:p>
    <w:p>
      <w:pPr>
        <w:pStyle w:val="ListParagraph"/>
        <w:numPr>
          <w:ilvl w:val="0"/>
          <w:numId w:val="2"/>
        </w:numPr>
        <w:spacing w:after="40" w:before="40"/>
      </w:pPr>
      <w:r>
        <w:rPr>
          <w:rFonts w:ascii="Arial" w:cs="Arial" w:eastAsia="Arial" w:hAnsi="Arial"/>
          <w:color w:val="2F2F2F"/>
          <w:sz w:val="22"/>
          <w:szCs w:val="22"/>
        </w:rPr>
        <w:t xml:space="preserve">Rule 4 (Consent Manager registration) commences</w:t>
      </w:r>
    </w:p>
    <w:p>
      <w:pPr>
        <w:pStyle w:val="ListParagraph"/>
        <w:numPr>
          <w:ilvl w:val="0"/>
          <w:numId w:val="2"/>
        </w:numPr>
        <w:spacing w:after="40" w:before="40"/>
      </w:pPr>
      <w:r>
        <w:rPr>
          <w:rFonts w:ascii="Arial" w:cs="Arial" w:eastAsia="Arial" w:hAnsi="Arial"/>
          <w:color w:val="2F2F2F"/>
          <w:sz w:val="22"/>
          <w:szCs w:val="22"/>
        </w:rPr>
        <w:t xml:space="preserve">Consent Managers must register with DPBI; meet stringent conditions in Schedule I</w:t>
      </w:r>
    </w:p>
    <w:p>
      <w:pPr>
        <w:pStyle w:val="ListParagraph"/>
        <w:numPr>
          <w:ilvl w:val="0"/>
          <w:numId w:val="2"/>
        </w:numPr>
        <w:spacing w:after="40" w:before="40"/>
      </w:pPr>
      <w:r>
        <w:rPr>
          <w:rFonts w:ascii="Arial" w:cs="Arial" w:eastAsia="Arial" w:hAnsi="Arial"/>
          <w:color w:val="2F2F2F"/>
          <w:sz w:val="22"/>
          <w:szCs w:val="22"/>
        </w:rPr>
        <w:t xml:space="preserve">Neutrality, data integrity, and grievance handling obligations become operative</w:t>
      </w:r>
    </w:p>
    <w:p>
      <w:pPr>
        <w:pStyle w:val="ListParagraph"/>
        <w:numPr>
          <w:ilvl w:val="0"/>
          <w:numId w:val="2"/>
        </w:numPr>
        <w:spacing w:after="40" w:before="40"/>
      </w:pPr>
      <w:r>
        <w:rPr>
          <w:rFonts w:ascii="Arial" w:cs="Arial" w:eastAsia="Arial" w:hAnsi="Arial"/>
          <w:color w:val="2F2F2F"/>
          <w:sz w:val="22"/>
          <w:szCs w:val="22"/>
        </w:rPr>
        <w:t xml:space="preserve">Section 6(9) and Section 27(1)(d) of the Act take effect</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Stage 3 – Eighteen Months from Notification (13 May 2027)</w:t>
      </w:r>
    </w:p>
    <w:p>
      <w:pPr>
        <w:pStyle w:val="ListParagraph"/>
        <w:numPr>
          <w:ilvl w:val="0"/>
          <w:numId w:val="2"/>
        </w:numPr>
        <w:spacing w:after="40" w:before="40"/>
      </w:pPr>
      <w:r>
        <w:rPr>
          <w:rFonts w:ascii="Arial" w:cs="Arial" w:eastAsia="Arial" w:hAnsi="Arial"/>
          <w:color w:val="2F2F2F"/>
          <w:sz w:val="22"/>
          <w:szCs w:val="22"/>
        </w:rPr>
        <w:t xml:space="preserve">Rules 3, 5–16, 22 and 23 come into force — full compliance deadline</w:t>
      </w:r>
    </w:p>
    <w:p>
      <w:pPr>
        <w:pStyle w:val="ListParagraph"/>
        <w:numPr>
          <w:ilvl w:val="0"/>
          <w:numId w:val="2"/>
        </w:numPr>
        <w:spacing w:after="40" w:before="40"/>
      </w:pPr>
      <w:r>
        <w:rPr>
          <w:rFonts w:ascii="Arial" w:cs="Arial" w:eastAsia="Arial" w:hAnsi="Arial"/>
          <w:color w:val="2F2F2F"/>
          <w:sz w:val="22"/>
          <w:szCs w:val="22"/>
        </w:rPr>
        <w:t xml:space="preserve">ALL data fiduciary obligations operative: consent, notices, breach reporting</w:t>
      </w:r>
    </w:p>
    <w:p>
      <w:pPr>
        <w:pStyle w:val="ListParagraph"/>
        <w:numPr>
          <w:ilvl w:val="0"/>
          <w:numId w:val="2"/>
        </w:numPr>
        <w:spacing w:after="40" w:before="40"/>
      </w:pPr>
      <w:r>
        <w:rPr>
          <w:rFonts w:ascii="Arial" w:cs="Arial" w:eastAsia="Arial" w:hAnsi="Arial"/>
          <w:color w:val="2F2F2F"/>
          <w:sz w:val="22"/>
          <w:szCs w:val="22"/>
        </w:rPr>
        <w:t xml:space="preserve">Children's data protections, data principal rights, erasure, portability</w:t>
      </w:r>
    </w:p>
    <w:p>
      <w:pPr>
        <w:pStyle w:val="ListParagraph"/>
        <w:numPr>
          <w:ilvl w:val="0"/>
          <w:numId w:val="2"/>
        </w:numPr>
        <w:spacing w:after="40" w:before="40"/>
      </w:pPr>
      <w:r>
        <w:rPr>
          <w:rFonts w:ascii="Arial" w:cs="Arial" w:eastAsia="Arial" w:hAnsi="Arial"/>
          <w:color w:val="2F2F2F"/>
          <w:sz w:val="22"/>
          <w:szCs w:val="22"/>
        </w:rPr>
        <w:t xml:space="preserve">Significant Data Fiduciary (SDF) obligations: DPIA, audit, DPO appointment</w:t>
      </w:r>
    </w:p>
    <w:p>
      <w:pPr>
        <w:pStyle w:val="ListParagraph"/>
        <w:numPr>
          <w:ilvl w:val="0"/>
          <w:numId w:val="2"/>
        </w:numPr>
        <w:spacing w:after="40" w:before="40"/>
      </w:pPr>
      <w:r>
        <w:rPr>
          <w:rFonts w:ascii="Arial" w:cs="Arial" w:eastAsia="Arial" w:hAnsi="Arial"/>
          <w:color w:val="2F2F2F"/>
          <w:sz w:val="22"/>
          <w:szCs w:val="22"/>
        </w:rPr>
        <w:t xml:space="preserve">Cross-border data transfer restrictions and approved country list operative</w:t>
      </w:r>
    </w:p>
    <w:p>
      <w:pPr>
        <w:pStyle w:val="ListParagraph"/>
        <w:numPr>
          <w:ilvl w:val="0"/>
          <w:numId w:val="2"/>
        </w:numPr>
        <w:spacing w:after="40" w:before="40"/>
      </w:pPr>
      <w:r>
        <w:rPr>
          <w:rFonts w:ascii="Arial" w:cs="Arial" w:eastAsia="Arial" w:hAnsi="Arial"/>
          <w:color w:val="2F2F2F"/>
          <w:sz w:val="22"/>
          <w:szCs w:val="22"/>
        </w:rPr>
        <w:t xml:space="preserve">SPDI Rules, 2011 fully replaced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E75B6" w:sz="8"/>
              <w:left w:val="thick" w:color="2E75B6" w:sz="8"/>
              <w:bottom w:val="single" w:color="AAAAAA" w:sz="1"/>
              <w:right w:val="single" w:color="AAAAAA"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Key Compliance Deadline</w:t>
            </w:r>
          </w:p>
          <w:p>
            <w:r>
              <w:rPr>
                <w:rFonts w:ascii="Arial" w:cs="Arial" w:eastAsia="Arial" w:hAnsi="Arial"/>
                <w:color w:val="2F2F2F"/>
                <w:sz w:val="21"/>
                <w:szCs w:val="21"/>
              </w:rPr>
              <w:t xml:space="preserve">13 May 2027 — Full compliance mandatory for all organisations processing personal data in India or providing goods/services to individuals in India. Non-compliance attracts penalties up to INR 250 Crore per breach.</w:t>
            </w:r>
          </w:p>
        </w:tc>
      </w:tr>
    </w:tbl>
    <w:p>
      <w:pPr>
        <w:spacing w:after="40" w:before="40"/>
      </w:pPr>
      <w:r>
        <w:t xml:space="preserve"/>
      </w:r>
    </w:p>
    <w:p>
      <w:r>
        <w:br w:type="page"/>
      </w:r>
    </w:p>
    <w:p>
      <w:pPr>
        <w:pStyle w:val="Heading1"/>
        <w:spacing w:after="120" w:before="360"/>
      </w:pPr>
      <w:r>
        <w:rPr>
          <w:rFonts w:ascii="Arial" w:cs="Arial" w:eastAsia="Arial" w:hAnsi="Arial"/>
          <w:b/>
          <w:bCs/>
          <w:color w:val="1F4E79"/>
          <w:sz w:val="32"/>
          <w:szCs w:val="32"/>
        </w:rPr>
        <w:t xml:space="preserve">3. DPDP Act 2023 – Chapter-wise Summary</w:t>
      </w:r>
    </w:p>
    <w:p>
      <w:pPr>
        <w:pBdr>
          <w:bottom w:val="single" w:color="2E75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Chapter / Section</w:t>
            </w:r>
          </w:p>
        </w:tc>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Provisions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Chapter I (Sec 1–2)</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Preliminary</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Short title, commencement, definitions (Data Principal, Data Fiduciary, Consent Manager, DPBI, Processing, Personal Data, Significant Data Fiduciary)</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Chapter II (Sec 3–8)</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Obligations of Data Fiduciary</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Grounds for processing; consent; deemed consent; notice requirements; children's data; purpose limitation; accuracy; storage limitation; reasonable safeguards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Chapter III (Sec 9–14)</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Rights &amp; Duties of Data Principal</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Right to information; access; correction; erasure; grievance redressal; nominate; duty not to furnish false data</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Chapter IV (Sec 15–18)</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Special Obligations – SDFs</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Significant Data Fiduciary designation; DPIA; periodic audit; DPO appointment; cross-border transfer restrictions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Chapter V (Sec 19–26)</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Data Protection Board</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Establishment; composition; powers; digital office; adjudication; inquiry; directions; appeals to TDSAT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Chapter VI (Sec 27–33)</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Exemptions</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State; research/archiving; national security; enforcement; journalism; personal/domestic use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Chapter VII (Sec 34–40)</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Penalties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Schedule of penalties up to INR 250 Cr; offences; cognizance; presumption; modification of other laws (IT Act, RTI Act)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Chapter VIII (Sec 41–44)</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Miscellaneous</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Power to issue directions; rules; savings; repeal of SPDI rules (upon commencement)</w:t>
            </w:r>
          </w:p>
        </w:tc>
      </w:tr>
    </w:tbl>
    <w:p>
      <w:pPr>
        <w:spacing w:after="40" w:before="40"/>
      </w:pPr>
      <w:r>
        <w:t xml:space="preserve"/>
      </w:r>
    </w:p>
    <w:p>
      <w:pPr>
        <w:pStyle w:val="Heading1"/>
        <w:spacing w:after="120" w:before="360"/>
      </w:pPr>
      <w:r>
        <w:rPr>
          <w:rFonts w:ascii="Arial" w:cs="Arial" w:eastAsia="Arial" w:hAnsi="Arial"/>
          <w:b/>
          <w:bCs/>
          <w:color w:val="1F4E79"/>
          <w:sz w:val="32"/>
          <w:szCs w:val="32"/>
        </w:rPr>
        <w:t xml:space="preserve">4. Key Definitions (Section 2)</w:t>
      </w:r>
    </w:p>
    <w:p>
      <w:pPr>
        <w:pBdr>
          <w:bottom w:val="single" w:color="2E75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Personal Data</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Any data about an individual who is identifiable by or in relation to such data</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Data Principal</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Individual to whom the personal data relates; includes parent/lawful guardian for children/disabled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Data Fiduciary</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Any person who determines the purpose and means of processing personal data</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Data Processor</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Any person who processes personal data on behalf of a Data Fiduciary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Consent Manager</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 registered entity that enables Data Principals to give, manage, review, and withdraw consent via interoperable platform</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Significant Data Fiduciary (SDF)</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Entity notified by Central Government based on volume, sensitivity, risk to national security/sovereignty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Processing</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Automated or semi-automated operations on personal data — collection, recording, storage, use, disclosure, erasure, etc.</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Data Protection Board (DPBI)</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Statutory body established under the Act to adjudicate complaints and impose penalties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Digital Office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Faceless online office of DPBI; all proceedings conducted digitally</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Consent</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Free, specific, informed, unconditional, and unambiguous; may be withdrawn at any time</w:t>
            </w:r>
          </w:p>
        </w:tc>
      </w:tr>
    </w:tbl>
    <w:p>
      <w:pPr>
        <w:spacing w:after="40" w:before="40"/>
      </w:pPr>
      <w:r>
        <w:t xml:space="preserve"/>
      </w:r>
    </w:p>
    <w:p>
      <w:r>
        <w:br w:type="page"/>
      </w:r>
    </w:p>
    <w:p>
      <w:pPr>
        <w:pStyle w:val="Heading1"/>
        <w:spacing w:after="120" w:before="360"/>
      </w:pPr>
      <w:r>
        <w:rPr>
          <w:rFonts w:ascii="Arial" w:cs="Arial" w:eastAsia="Arial" w:hAnsi="Arial"/>
          <w:b/>
          <w:bCs/>
          <w:color w:val="1F4E79"/>
          <w:sz w:val="32"/>
          <w:szCs w:val="32"/>
        </w:rPr>
        <w:t xml:space="preserve">5. DPDP Rules 2025 – Rule-wise Summary</w:t>
      </w:r>
    </w:p>
    <w:p>
      <w:pPr>
        <w:pBdr>
          <w:bottom w:val="single" w:color="2E75B6" w:sz="6" w:space="1"/>
        </w:pBdr>
        <w:spacing w:after="120" w:before="120"/>
      </w:pPr>
    </w:p>
    <w:p>
      <w:pPr>
        <w:spacing w:after="80" w:before="80"/>
      </w:pPr>
      <w:r>
        <w:rPr>
          <w:rFonts w:ascii="Arial" w:cs="Arial" w:eastAsia="Arial" w:hAnsi="Arial"/>
          <w:color w:val="2F2F2F"/>
          <w:sz w:val="22"/>
          <w:szCs w:val="22"/>
        </w:rPr>
        <w:t xml:space="preserve">Notified on 13 November 2025 via Gazette G.S.R. 846(E). The Rules comprise 23 Rules and 1 Schedule.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0"/>
        <w:gridCol w:w="2500"/>
        <w:gridCol w:w="5880"/>
      </w:tblGrid>
      <w:tr>
        <w:trPr>
          <w:tblHeader/>
        </w:trPr>
        <w:tc>
          <w:tcPr>
            <w:tcW w:type="dxa" w:w="9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 No.</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58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Rule 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Short Title &amp; Commencement</w:t>
            </w:r>
          </w:p>
        </w:tc>
        <w:tc>
          <w:tcPr>
            <w:tcW w:type="dxa" w:w="5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Phased commencement: Rules 1,2,17–21 immediate; Rule 4 after 1 year; Rules 3,5–16,22,23 after 18 months</w:t>
            </w:r>
          </w:p>
        </w:tc>
      </w:tr>
      <w:tr>
        <w:tc>
          <w:tcPr>
            <w:tcW w:type="dxa" w:w="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Rule 2</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Definitions</w:t>
            </w:r>
          </w:p>
        </w:tc>
        <w:tc>
          <w:tcPr>
            <w:tcW w:type="dxa" w:w="5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Incorporates Act definitions; defines 'Consent Manager', 'Digital Office', 'Notice', 'Schedule I' obligations</w:t>
            </w:r>
          </w:p>
        </w:tc>
      </w:tr>
      <w:tr>
        <w:tc>
          <w:tcPr>
            <w:tcW w:type="dxa" w:w="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Rule 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Notice to Data Principals</w:t>
            </w:r>
          </w:p>
        </w:tc>
        <w:tc>
          <w:tcPr>
            <w:tcW w:type="dxa" w:w="5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Clear, plain-language notices specifying: categories of data, purpose, retention period, third-party sharing, withdrawal mechanism; must be accessible to persons with disabilities</w:t>
            </w:r>
          </w:p>
        </w:tc>
      </w:tr>
      <w:tr>
        <w:tc>
          <w:tcPr>
            <w:tcW w:type="dxa" w:w="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Rule 4</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Consent Managers</w:t>
            </w:r>
          </w:p>
        </w:tc>
        <w:tc>
          <w:tcPr>
            <w:tcW w:type="dxa" w:w="5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Must register with DPBI; neutrality requirements; interoperable platforms; data integrity obligations; grievance redressal; Schedule I compliance (effective 13 Nov 2026)</w:t>
            </w:r>
          </w:p>
        </w:tc>
      </w:tr>
      <w:tr>
        <w:tc>
          <w:tcPr>
            <w:tcW w:type="dxa" w:w="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Rule 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Verifiable Consent – Children &amp; Disabled</w:t>
            </w:r>
          </w:p>
        </w:tc>
        <w:tc>
          <w:tcPr>
            <w:tcW w:type="dxa" w:w="5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Data Fiduciary must obtain verifiable parental/guardian consent before processing data of children (&lt;18 yrs) or persons with disability having lawful guardian</w:t>
            </w:r>
          </w:p>
        </w:tc>
      </w:tr>
      <w:tr>
        <w:tc>
          <w:tcPr>
            <w:tcW w:type="dxa" w:w="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Rule 6</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Processing by State – Subsidies</w:t>
            </w:r>
          </w:p>
        </w:tc>
        <w:tc>
          <w:tcPr>
            <w:tcW w:type="dxa" w:w="5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Conditions under which State/instrumentalities may process data without consent for service delivery and subsidies</w:t>
            </w:r>
          </w:p>
        </w:tc>
      </w:tr>
      <w:tr>
        <w:tc>
          <w:tcPr>
            <w:tcW w:type="dxa" w:w="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Rule 7</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Security Safeguards</w:t>
            </w:r>
          </w:p>
        </w:tc>
        <w:tc>
          <w:tcPr>
            <w:tcW w:type="dxa" w:w="5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Reasonable security safeguards; encryption; access controls; breach prevention; periodic review; vendor management</w:t>
            </w:r>
          </w:p>
        </w:tc>
      </w:tr>
      <w:tr>
        <w:tc>
          <w:tcPr>
            <w:tcW w:type="dxa" w:w="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Rule 8</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Personal Data Breach Notification</w:t>
            </w:r>
          </w:p>
        </w:tc>
        <w:tc>
          <w:tcPr>
            <w:tcW w:type="dxa" w:w="5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Data Fiduciary must notify DPBI and affected Data Principals of a breach within prescribed timeline; notification must include nature, scale, mitigation taken</w:t>
            </w:r>
          </w:p>
        </w:tc>
      </w:tr>
      <w:tr>
        <w:tc>
          <w:tcPr>
            <w:tcW w:type="dxa" w:w="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Rule 9</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Erasure of Data</w:t>
            </w:r>
          </w:p>
        </w:tc>
        <w:tc>
          <w:tcPr>
            <w:tcW w:type="dxa" w:w="5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Data must be erased when: purpose fulfilled; consent withdrawn; or as per retention period; processors must comply within notified timelines</w:t>
            </w:r>
          </w:p>
        </w:tc>
      </w:tr>
      <w:tr>
        <w:tc>
          <w:tcPr>
            <w:tcW w:type="dxa" w:w="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Rule 10</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Grievance Redressal Officer (GRO)</w:t>
            </w:r>
          </w:p>
        </w:tc>
        <w:tc>
          <w:tcPr>
            <w:tcW w:type="dxa" w:w="5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Appointment of GRO; contact details must be published; GRO must acknowledge complaint within 48 hours; resolve within prescribed period</w:t>
            </w:r>
          </w:p>
        </w:tc>
      </w:tr>
      <w:tr>
        <w:tc>
          <w:tcPr>
            <w:tcW w:type="dxa" w:w="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Rule 11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Data Principal Rights – Access</w:t>
            </w:r>
          </w:p>
        </w:tc>
        <w:tc>
          <w:tcPr>
            <w:tcW w:type="dxa" w:w="5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Procedures for Data Principals to request summary of personal data held and processing activities</w:t>
            </w:r>
          </w:p>
        </w:tc>
      </w:tr>
      <w:tr>
        <w:tc>
          <w:tcPr>
            <w:tcW w:type="dxa" w:w="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Rule 12</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Data Principal Rights – Correction &amp; Erasure</w:t>
            </w:r>
          </w:p>
        </w:tc>
        <w:tc>
          <w:tcPr>
            <w:tcW w:type="dxa" w:w="5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Procedures to request correction, completion, updating, or erasure of inaccurate/incomplete/unnecessary data</w:t>
            </w:r>
          </w:p>
        </w:tc>
      </w:tr>
      <w:tr>
        <w:tc>
          <w:tcPr>
            <w:tcW w:type="dxa" w:w="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Rule 13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Data Principal – Nominee Rights</w:t>
            </w:r>
          </w:p>
        </w:tc>
        <w:tc>
          <w:tcPr>
            <w:tcW w:type="dxa" w:w="5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Data Principal may nominate person to exercise rights on death or incapacity</w:t>
            </w:r>
          </w:p>
        </w:tc>
      </w:tr>
      <w:tr>
        <w:tc>
          <w:tcPr>
            <w:tcW w:type="dxa" w:w="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Rule 14</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Significant Data Fiduciary – Obligations</w:t>
            </w:r>
          </w:p>
        </w:tc>
        <w:tc>
          <w:tcPr>
            <w:tcW w:type="dxa" w:w="5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DPIA requirements; periodic audit by independent auditor; Data Protection Officer appointment; Algorithm impact assessment</w:t>
            </w:r>
          </w:p>
        </w:tc>
      </w:tr>
      <w:tr>
        <w:tc>
          <w:tcPr>
            <w:tcW w:type="dxa" w:w="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Rule 15</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Cross-Border Data Transfers</w:t>
            </w:r>
          </w:p>
        </w:tc>
        <w:tc>
          <w:tcPr>
            <w:tcW w:type="dxa" w:w="5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Transfers permitted to countries/territories notified by Central Government; prohibited transfers to blacklisted jurisdictions</w:t>
            </w:r>
          </w:p>
        </w:tc>
      </w:tr>
      <w:tr>
        <w:tc>
          <w:tcPr>
            <w:tcW w:type="dxa" w:w="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Rule 16</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Exemptions – Research &amp; Archiving</w:t>
            </w:r>
          </w:p>
        </w:tc>
        <w:tc>
          <w:tcPr>
            <w:tcW w:type="dxa" w:w="5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Processing for research, archiving, statistics; personal data must be anonymised; not to be used for decisions affecting individuals</w:t>
            </w:r>
          </w:p>
        </w:tc>
      </w:tr>
      <w:tr>
        <w:tc>
          <w:tcPr>
            <w:tcW w:type="dxa" w:w="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Rules 17–21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DPBI Constitution &amp; Procedure</w:t>
            </w:r>
          </w:p>
        </w:tc>
        <w:tc>
          <w:tcPr>
            <w:tcW w:type="dxa" w:w="5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DPBI Chairperson and Member qualifications; appointment process; service conditions; digital office operation; inquiry procedures</w:t>
            </w:r>
          </w:p>
        </w:tc>
      </w:tr>
      <w:tr>
        <w:tc>
          <w:tcPr>
            <w:tcW w:type="dxa" w:w="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Rule 22</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Penalties – Schedule</w:t>
            </w:r>
          </w:p>
        </w:tc>
        <w:tc>
          <w:tcPr>
            <w:tcW w:type="dxa" w:w="5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Penalty amounts per Schedule of the Act; DPBI powers to direct correction, deletion, blocking</w:t>
            </w:r>
          </w:p>
        </w:tc>
      </w:tr>
      <w:tr>
        <w:tc>
          <w:tcPr>
            <w:tcW w:type="dxa" w:w="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Rule 23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Miscellaneous</w:t>
            </w:r>
          </w:p>
        </w:tc>
        <w:tc>
          <w:tcPr>
            <w:tcW w:type="dxa" w:w="5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Forms, formats, manner of filing complaints; language requirements; accessibility standards for digital office</w:t>
            </w:r>
          </w:p>
        </w:tc>
      </w:tr>
      <w:tr>
        <w:tc>
          <w:tcPr>
            <w:tcW w:type="dxa" w:w="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Schedule I</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Consent Manager Obligations</w:t>
            </w:r>
          </w:p>
        </w:tc>
        <w:tc>
          <w:tcPr>
            <w:tcW w:type="dxa" w:w="5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Registration conditions; minimum net worth; technical standards; audit obligations; neutrality; data integrity safeguards</w:t>
            </w:r>
          </w:p>
        </w:tc>
      </w:tr>
    </w:tbl>
    <w:p>
      <w:pPr>
        <w:spacing w:after="40" w:before="40"/>
      </w:pPr>
      <w:r>
        <w:t xml:space="preserve"/>
      </w:r>
    </w:p>
    <w:p>
      <w:r>
        <w:br w:type="page"/>
      </w:r>
    </w:p>
    <w:p>
      <w:pPr>
        <w:pStyle w:val="Heading1"/>
        <w:spacing w:after="120" w:before="360"/>
      </w:pPr>
      <w:r>
        <w:rPr>
          <w:rFonts w:ascii="Arial" w:cs="Arial" w:eastAsia="Arial" w:hAnsi="Arial"/>
          <w:b/>
          <w:bCs/>
          <w:color w:val="1F4E79"/>
          <w:sz w:val="32"/>
          <w:szCs w:val="32"/>
        </w:rPr>
        <w:t xml:space="preserve">6. Rights of Data Principals (Sections 11–14)</w:t>
      </w:r>
    </w:p>
    <w:p>
      <w:pPr>
        <w:pBdr>
          <w:bottom w:val="single" w:color="2E75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6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Right</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Right to Information / Access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Sec 11</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Right to obtain summary of personal data held by Data Fiduciary and information about processing; identities of Data Processors and third parties to whom data is shared</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Right to Correction &amp; Erasure</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Sec 12</w:t>
            </w:r>
          </w:p>
        </w:tc>
        <w:tc>
          <w:tcPr>
            <w:tcW w:type="dxa" w:w="5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Right to correct inaccurate/incomplete personal data; right to erase data no longer necessary for the specified purpose; right to update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Right to Grievance Redressal</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Sec 13</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Right to have grievance addressed by Data Fiduciary; escalation to DPBI if not resolved satisfactorily within prescribed time</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Right to Nominate</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Sec 14</w:t>
            </w:r>
          </w:p>
        </w:tc>
        <w:tc>
          <w:tcPr>
            <w:tcW w:type="dxa" w:w="5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Right to nominate any individual to exercise rights on behalf of the Data Principal in the event of death or incapacity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Right to Withdraw Consent</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Sec 6(4)</w:t>
            </w:r>
          </w:p>
        </w:tc>
        <w:tc>
          <w:tcPr>
            <w:tcW w:type="dxa" w:w="5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Consent can be withdrawn at any time; as easy to withdraw as to give; withdrawal does not affect lawfulness of prior processing</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Data Portability</w:t>
            </w:r>
          </w:p>
        </w:tc>
        <w:tc>
          <w:tcPr>
            <w:tcW w:type="dxa" w:w="1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Sec 12 r/w Rules</w:t>
            </w:r>
          </w:p>
        </w:tc>
        <w:tc>
          <w:tcPr>
            <w:tcW w:type="dxa" w:w="56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Right to obtain personal data in a structured, commonly used, machine-readable format (detailed implementation via Rules)</w:t>
            </w:r>
          </w:p>
        </w:tc>
      </w:tr>
    </w:tbl>
    <w:p>
      <w:pPr>
        <w:spacing w:after="40" w:before="40"/>
      </w:pPr>
      <w:r>
        <w:t xml:space="preserve"/>
      </w:r>
    </w:p>
    <w:p>
      <w:pPr>
        <w:pStyle w:val="Heading1"/>
        <w:spacing w:after="120" w:before="360"/>
      </w:pPr>
      <w:r>
        <w:rPr>
          <w:rFonts w:ascii="Arial" w:cs="Arial" w:eastAsia="Arial" w:hAnsi="Arial"/>
          <w:b/>
          <w:bCs/>
          <w:color w:val="1F4E79"/>
          <w:sz w:val="32"/>
          <w:szCs w:val="32"/>
        </w:rPr>
        <w:t xml:space="preserve">7. Obligations of Data Fiduciaries (Chapter II)</w:t>
      </w:r>
    </w:p>
    <w:p>
      <w:pPr>
        <w:pBdr>
          <w:bottom w:val="single" w:color="2E75B6" w:sz="6" w:space="1"/>
        </w:pBdr>
        <w:spacing w:after="120" w:before="120"/>
      </w:pPr>
    </w:p>
    <w:p>
      <w:pPr>
        <w:pStyle w:val="Heading2"/>
        <w:spacing w:after="80" w:before="280"/>
      </w:pPr>
      <w:r>
        <w:rPr>
          <w:rFonts w:ascii="Arial" w:cs="Arial" w:eastAsia="Arial" w:hAnsi="Arial"/>
          <w:b/>
          <w:bCs/>
          <w:color w:val="2E75B6"/>
          <w:sz w:val="26"/>
          <w:szCs w:val="26"/>
        </w:rPr>
        <w:t xml:space="preserve">7.1 General Obligations (Section 8)</w:t>
      </w:r>
    </w:p>
    <w:p>
      <w:pPr>
        <w:pStyle w:val="ListParagraph"/>
        <w:numPr>
          <w:ilvl w:val="0"/>
          <w:numId w:val="2"/>
        </w:numPr>
        <w:spacing w:after="40" w:before="40"/>
      </w:pPr>
      <w:r>
        <w:rPr>
          <w:rFonts w:ascii="Arial" w:cs="Arial" w:eastAsia="Arial" w:hAnsi="Arial"/>
          <w:color w:val="2F2F2F"/>
          <w:sz w:val="22"/>
          <w:szCs w:val="22"/>
        </w:rPr>
        <w:t xml:space="preserve">Process personal data only for the specified, lawful purpose for which consent was given</w:t>
      </w:r>
    </w:p>
    <w:p>
      <w:pPr>
        <w:pStyle w:val="ListParagraph"/>
        <w:numPr>
          <w:ilvl w:val="0"/>
          <w:numId w:val="2"/>
        </w:numPr>
        <w:spacing w:after="40" w:before="40"/>
      </w:pPr>
      <w:r>
        <w:rPr>
          <w:rFonts w:ascii="Arial" w:cs="Arial" w:eastAsia="Arial" w:hAnsi="Arial"/>
          <w:color w:val="2F2F2F"/>
          <w:sz w:val="22"/>
          <w:szCs w:val="22"/>
        </w:rPr>
        <w:t xml:space="preserve">Maintain accuracy, completeness and consistency of personal data</w:t>
      </w:r>
    </w:p>
    <w:p>
      <w:pPr>
        <w:pStyle w:val="ListParagraph"/>
        <w:numPr>
          <w:ilvl w:val="0"/>
          <w:numId w:val="2"/>
        </w:numPr>
        <w:spacing w:after="40" w:before="40"/>
      </w:pPr>
      <w:r>
        <w:rPr>
          <w:rFonts w:ascii="Arial" w:cs="Arial" w:eastAsia="Arial" w:hAnsi="Arial"/>
          <w:color w:val="2F2F2F"/>
          <w:sz w:val="22"/>
          <w:szCs w:val="22"/>
        </w:rPr>
        <w:t xml:space="preserve">Retain data only as long as necessary; erase after purpose is served</w:t>
      </w:r>
    </w:p>
    <w:p>
      <w:pPr>
        <w:pStyle w:val="ListParagraph"/>
        <w:numPr>
          <w:ilvl w:val="0"/>
          <w:numId w:val="2"/>
        </w:numPr>
        <w:spacing w:after="40" w:before="40"/>
      </w:pPr>
      <w:r>
        <w:rPr>
          <w:rFonts w:ascii="Arial" w:cs="Arial" w:eastAsia="Arial" w:hAnsi="Arial"/>
          <w:color w:val="2F2F2F"/>
          <w:sz w:val="22"/>
          <w:szCs w:val="22"/>
        </w:rPr>
        <w:t xml:space="preserve">Implement reasonable security safeguards to prevent personal data breach</w:t>
      </w:r>
    </w:p>
    <w:p>
      <w:pPr>
        <w:pStyle w:val="ListParagraph"/>
        <w:numPr>
          <w:ilvl w:val="0"/>
          <w:numId w:val="2"/>
        </w:numPr>
        <w:spacing w:after="40" w:before="40"/>
      </w:pPr>
      <w:r>
        <w:rPr>
          <w:rFonts w:ascii="Arial" w:cs="Arial" w:eastAsia="Arial" w:hAnsi="Arial"/>
          <w:color w:val="2F2F2F"/>
          <w:sz w:val="22"/>
          <w:szCs w:val="22"/>
        </w:rPr>
        <w:t xml:space="preserve">Notify DPBI and affected Data Principals of breach without delay</w:t>
      </w:r>
    </w:p>
    <w:p>
      <w:pPr>
        <w:pStyle w:val="ListParagraph"/>
        <w:numPr>
          <w:ilvl w:val="0"/>
          <w:numId w:val="2"/>
        </w:numPr>
        <w:spacing w:after="40" w:before="40"/>
      </w:pPr>
      <w:r>
        <w:rPr>
          <w:rFonts w:ascii="Arial" w:cs="Arial" w:eastAsia="Arial" w:hAnsi="Arial"/>
          <w:color w:val="2F2F2F"/>
          <w:sz w:val="22"/>
          <w:szCs w:val="22"/>
        </w:rPr>
        <w:t xml:space="preserve">Appoint Grievance Redressal Officer accessible to Data Principals</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7.2 Grounds for Processing (Sections 4–8)</w:t>
      </w:r>
    </w:p>
    <w:p>
      <w:pPr>
        <w:pStyle w:val="ListParagraph"/>
        <w:numPr>
          <w:ilvl w:val="0"/>
          <w:numId w:val="2"/>
        </w:numPr>
        <w:spacing w:after="40" w:before="40"/>
      </w:pPr>
      <w:r>
        <w:rPr>
          <w:rFonts w:ascii="Arial" w:cs="Arial" w:eastAsia="Arial" w:hAnsi="Arial"/>
          <w:color w:val="2F2F2F"/>
          <w:sz w:val="22"/>
          <w:szCs w:val="22"/>
        </w:rPr>
        <w:t xml:space="preserve">Consent of the Data Principal — free, specific, informed, unconditional, unambiguous</w:t>
      </w:r>
    </w:p>
    <w:p>
      <w:pPr>
        <w:pStyle w:val="ListParagraph"/>
        <w:numPr>
          <w:ilvl w:val="0"/>
          <w:numId w:val="2"/>
        </w:numPr>
        <w:spacing w:after="40" w:before="40"/>
      </w:pPr>
      <w:r>
        <w:rPr>
          <w:rFonts w:ascii="Arial" w:cs="Arial" w:eastAsia="Arial" w:hAnsi="Arial"/>
          <w:color w:val="2F2F2F"/>
          <w:sz w:val="22"/>
          <w:szCs w:val="22"/>
        </w:rPr>
        <w:t xml:space="preserve">Deemed Consent (Section 7): For legitimate state purposes, legal obligations, medical emergencies, employment, public interest functions</w:t>
      </w:r>
    </w:p>
    <w:p>
      <w:pPr>
        <w:pStyle w:val="ListParagraph"/>
        <w:numPr>
          <w:ilvl w:val="0"/>
          <w:numId w:val="2"/>
        </w:numPr>
        <w:spacing w:after="40" w:before="40"/>
      </w:pPr>
      <w:r>
        <w:rPr>
          <w:rFonts w:ascii="Arial" w:cs="Arial" w:eastAsia="Arial" w:hAnsi="Arial"/>
          <w:color w:val="2F2F2F"/>
          <w:sz w:val="22"/>
          <w:szCs w:val="22"/>
        </w:rPr>
        <w:t xml:space="preserve">Processing of children's data — verifiable parental consent mandatory; prohibition on behavioural monitoring, targeted advertising, tracking of children</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7.3 Additional Obligations – Significant Data Fiduciaries (Section 15–17)</w:t>
      </w:r>
    </w:p>
    <w:p>
      <w:pPr>
        <w:pStyle w:val="ListParagraph"/>
        <w:numPr>
          <w:ilvl w:val="0"/>
          <w:numId w:val="2"/>
        </w:numPr>
        <w:spacing w:after="40" w:before="40"/>
      </w:pPr>
      <w:r>
        <w:rPr>
          <w:rFonts w:ascii="Arial" w:cs="Arial" w:eastAsia="Arial" w:hAnsi="Arial"/>
          <w:color w:val="2F2F2F"/>
          <w:sz w:val="22"/>
          <w:szCs w:val="22"/>
        </w:rPr>
        <w:t xml:space="preserve">Mandatory appointment of a Data Protection Officer (DPO) — based in India, accountable to Board of Directors</w:t>
      </w:r>
    </w:p>
    <w:p>
      <w:pPr>
        <w:pStyle w:val="ListParagraph"/>
        <w:numPr>
          <w:ilvl w:val="0"/>
          <w:numId w:val="2"/>
        </w:numPr>
        <w:spacing w:after="40" w:before="40"/>
      </w:pPr>
      <w:r>
        <w:rPr>
          <w:rFonts w:ascii="Arial" w:cs="Arial" w:eastAsia="Arial" w:hAnsi="Arial"/>
          <w:color w:val="2F2F2F"/>
          <w:sz w:val="22"/>
          <w:szCs w:val="22"/>
        </w:rPr>
        <w:t xml:space="preserve">Appointment of an independent Data Auditor to audit compliance annually</w:t>
      </w:r>
    </w:p>
    <w:p>
      <w:pPr>
        <w:pStyle w:val="ListParagraph"/>
        <w:numPr>
          <w:ilvl w:val="0"/>
          <w:numId w:val="2"/>
        </w:numPr>
        <w:spacing w:after="40" w:before="40"/>
      </w:pPr>
      <w:r>
        <w:rPr>
          <w:rFonts w:ascii="Arial" w:cs="Arial" w:eastAsia="Arial" w:hAnsi="Arial"/>
          <w:color w:val="2F2F2F"/>
          <w:sz w:val="22"/>
          <w:szCs w:val="22"/>
        </w:rPr>
        <w:t xml:space="preserve">Data Protection Impact Assessment (DPIA) for high-risk processing</w:t>
      </w:r>
    </w:p>
    <w:p>
      <w:pPr>
        <w:pStyle w:val="ListParagraph"/>
        <w:numPr>
          <w:ilvl w:val="0"/>
          <w:numId w:val="2"/>
        </w:numPr>
        <w:spacing w:after="40" w:before="40"/>
      </w:pPr>
      <w:r>
        <w:rPr>
          <w:rFonts w:ascii="Arial" w:cs="Arial" w:eastAsia="Arial" w:hAnsi="Arial"/>
          <w:color w:val="2F2F2F"/>
          <w:sz w:val="22"/>
          <w:szCs w:val="22"/>
        </w:rPr>
        <w:t xml:space="preserve">Algorithmic accountability — assess impact of automated decisions on Data Principals</w:t>
      </w:r>
    </w:p>
    <w:p>
      <w:pPr>
        <w:pStyle w:val="ListParagraph"/>
        <w:numPr>
          <w:ilvl w:val="0"/>
          <w:numId w:val="2"/>
        </w:numPr>
        <w:spacing w:after="40" w:before="40"/>
      </w:pPr>
      <w:r>
        <w:rPr>
          <w:rFonts w:ascii="Arial" w:cs="Arial" w:eastAsia="Arial" w:hAnsi="Arial"/>
          <w:color w:val="2F2F2F"/>
          <w:sz w:val="22"/>
          <w:szCs w:val="22"/>
        </w:rPr>
        <w:t xml:space="preserve">No cross-border transfer to jurisdictions not notified by Central Government</w:t>
      </w:r>
    </w:p>
    <w:p>
      <w:pPr>
        <w:spacing w:after="40" w:before="40"/>
      </w:pPr>
      <w:r>
        <w:t xml:space="preserve"/>
      </w:r>
    </w:p>
    <w:p>
      <w:r>
        <w:br w:type="page"/>
      </w:r>
    </w:p>
    <w:p>
      <w:pPr>
        <w:pStyle w:val="Heading1"/>
        <w:spacing w:after="120" w:before="360"/>
      </w:pPr>
      <w:r>
        <w:rPr>
          <w:rFonts w:ascii="Arial" w:cs="Arial" w:eastAsia="Arial" w:hAnsi="Arial"/>
          <w:b/>
          <w:bCs/>
          <w:color w:val="1F4E79"/>
          <w:sz w:val="32"/>
          <w:szCs w:val="32"/>
        </w:rPr>
        <w:t xml:space="preserve">8. Penalties Schedule (Section 33 &amp; Schedule)</w:t>
      </w:r>
    </w:p>
    <w:p>
      <w:pPr>
        <w:pBdr>
          <w:bottom w:val="single" w:color="2E75B6" w:sz="6" w:space="1"/>
        </w:pBdr>
        <w:spacing w:after="120" w:before="120"/>
      </w:pPr>
    </w:p>
    <w:p>
      <w:pPr>
        <w:spacing w:after="80" w:before="80"/>
      </w:pPr>
      <w:r>
        <w:rPr>
          <w:rFonts w:ascii="Arial" w:cs="Arial" w:eastAsia="Arial" w:hAnsi="Arial"/>
          <w:color w:val="2F2F2F"/>
          <w:sz w:val="22"/>
          <w:szCs w:val="22"/>
        </w:rPr>
        <w:t xml:space="preserve">Penalties imposed by DPBI after due inquiry. Maximum penalties per breach:</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3060"/>
      </w:tblGrid>
      <w:tr>
        <w:trPr>
          <w:tblHeader/>
        </w:trPr>
        <w:tc>
          <w:tcPr>
            <w:tcW w:type="dxa" w:w="6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Violation</w:t>
            </w:r>
          </w:p>
        </w:tc>
        <w:tc>
          <w:tcPr>
            <w:tcW w:type="dxa" w:w="3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Maximum Penalty</w:t>
            </w:r>
          </w:p>
        </w:tc>
      </w:tr>
      <w:tr>
        <w:tc>
          <w:tcPr>
            <w:tcW w:type="dxa" w:w="6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Failure to implement reasonable security safeguards resulting in a personal data breach</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INR 250 Crore (INR 2.5 Billion)</w:t>
            </w:r>
          </w:p>
        </w:tc>
      </w:tr>
      <w:tr>
        <w:tc>
          <w:tcPr>
            <w:tcW w:type="dxa" w:w="6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Failure to notify DPBI / Data Principals of personal data breach</w:t>
            </w:r>
          </w:p>
        </w:tc>
        <w:tc>
          <w:tcPr>
            <w:tcW w:type="dxa" w:w="3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INR 200 Crore</w:t>
            </w:r>
          </w:p>
        </w:tc>
      </w:tr>
      <w:tr>
        <w:tc>
          <w:tcPr>
            <w:tcW w:type="dxa" w:w="6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Processing children's data in violation of the Act / Rules</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INR 200 Crore</w:t>
            </w:r>
          </w:p>
        </w:tc>
      </w:tr>
      <w:tr>
        <w:tc>
          <w:tcPr>
            <w:tcW w:type="dxa" w:w="6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Non-compliance by Significant Data Fiduciaries with additional obligations</w:t>
            </w:r>
          </w:p>
        </w:tc>
        <w:tc>
          <w:tcPr>
            <w:tcW w:type="dxa" w:w="3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INR 150 Crore</w:t>
            </w:r>
          </w:p>
        </w:tc>
      </w:tr>
      <w:tr>
        <w:tc>
          <w:tcPr>
            <w:tcW w:type="dxa" w:w="6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Non-compliance with obligations by Data Processors / Consent Managers</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INR 50 Crore</w:t>
            </w:r>
          </w:p>
        </w:tc>
      </w:tr>
      <w:tr>
        <w:tc>
          <w:tcPr>
            <w:tcW w:type="dxa" w:w="6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Failure of Data Principal to comply with duties (e.g. filing false grievances)</w:t>
            </w:r>
          </w:p>
        </w:tc>
        <w:tc>
          <w:tcPr>
            <w:tcW w:type="dxa" w:w="3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INR 10,000</w:t>
            </w:r>
          </w:p>
        </w:tc>
      </w:tr>
      <w:tr>
        <w:tc>
          <w:tcPr>
            <w:tcW w:type="dxa" w:w="6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Any other provision of the Act or Rules</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INR 50 Crore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E75B6" w:sz="8"/>
              <w:left w:val="thick" w:color="2E75B6" w:sz="8"/>
              <w:bottom w:val="single" w:color="AAAAAA" w:sz="1"/>
              <w:right w:val="single" w:color="AAAAAA"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DPBI Powers</w:t>
            </w:r>
          </w:p>
          <w:p>
            <w:r>
              <w:rPr>
                <w:rFonts w:ascii="Arial" w:cs="Arial" w:eastAsia="Arial" w:hAnsi="Arial"/>
                <w:color w:val="2F2F2F"/>
                <w:sz w:val="21"/>
                <w:szCs w:val="21"/>
              </w:rPr>
              <w:t xml:space="preserve">The DPBI may: (a) investigate complaints; (b) conduct inquiries; (c) impose penalties per Schedule; (d) issue directions to correct / delete / cease processing; (e) block access to data or platforms. Appeals against DPBI orders lie to the Telecom Disputes Settlement and Appellate Tribunal (TDSAT).</w:t>
            </w:r>
          </w:p>
        </w:tc>
      </w:tr>
    </w:tbl>
    <w:p>
      <w:pPr>
        <w:spacing w:after="40" w:before="40"/>
      </w:pPr>
      <w:r>
        <w:t xml:space="preserve"/>
      </w:r>
    </w:p>
    <w:p>
      <w:pPr>
        <w:pStyle w:val="Heading1"/>
        <w:spacing w:after="120" w:before="360"/>
      </w:pPr>
      <w:r>
        <w:rPr>
          <w:rFonts w:ascii="Arial" w:cs="Arial" w:eastAsia="Arial" w:hAnsi="Arial"/>
          <w:b/>
          <w:bCs/>
          <w:color w:val="1F4E79"/>
          <w:sz w:val="32"/>
          <w:szCs w:val="32"/>
        </w:rPr>
        <w:t xml:space="preserve">9. Exemptions (Chapter VI, Sections 17 &amp; 27–33)</w:t>
      </w:r>
    </w:p>
    <w:p>
      <w:pPr>
        <w:pBdr>
          <w:bottom w:val="single" w:color="2E75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60"/>
        <w:gridCol w:w="580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Nature of Exemption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State instrumentalities – national security</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Sec 17(1)(a)</w:t>
            </w:r>
          </w:p>
        </w:tc>
        <w:tc>
          <w:tcPr>
            <w:tcW w:type="dxa" w:w="5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Central Government may exempt any agency of the Government from any/all provisions in the interest of sovereignty, security, public order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Research, archiving, statistics</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Sec 17(1)(b)</w:t>
            </w:r>
          </w:p>
        </w:tc>
        <w:tc>
          <w:tcPr>
            <w:tcW w:type="dxa" w:w="5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Processing for research / archiving / statistics that is not used for decisions affecting specific individuals; data must be anonymised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Startups / small entities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Sec 17(2)</w:t>
            </w:r>
          </w:p>
        </w:tc>
        <w:tc>
          <w:tcPr>
            <w:tcW w:type="dxa" w:w="5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Central Government may notify certain Data Fiduciaries (e.g. startups) to be exempt from specified obligations for a specified period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Personal / domestic use</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Sec 17(2)(a)</w:t>
            </w:r>
          </w:p>
        </w:tc>
        <w:tc>
          <w:tcPr>
            <w:tcW w:type="dxa" w:w="5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Individuals processing data purely for personal/domestic purposes are exempt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Journalistic purposes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Sec 17(2)(c)</w:t>
            </w:r>
          </w:p>
        </w:tc>
        <w:tc>
          <w:tcPr>
            <w:tcW w:type="dxa" w:w="5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Processing for journalistic, educational, artistic, literary purposes in public interest — subject to reasonable exceptions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Legal proceedings / court orders</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Sec 27(1)(c)</w:t>
            </w:r>
          </w:p>
        </w:tc>
        <w:tc>
          <w:tcPr>
            <w:tcW w:type="dxa" w:w="5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Processing required by court order or to enforce legal rights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Employment processing</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Sec 7(f)</w:t>
            </w:r>
          </w:p>
        </w:tc>
        <w:tc>
          <w:tcPr>
            <w:tcW w:type="dxa" w:w="5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Deemed consent for processing data of employees for employment-related purposes (e.g. payroll, benefits, performance)</w:t>
            </w:r>
          </w:p>
        </w:tc>
      </w:tr>
    </w:tbl>
    <w:p>
      <w:pPr>
        <w:spacing w:after="40" w:before="40"/>
      </w:pPr>
      <w:r>
        <w:t xml:space="preserve"/>
      </w:r>
    </w:p>
    <w:p>
      <w:r>
        <w:br w:type="page"/>
      </w:r>
    </w:p>
    <w:p>
      <w:pPr>
        <w:pStyle w:val="Heading1"/>
        <w:spacing w:after="120" w:before="360"/>
      </w:pPr>
      <w:r>
        <w:rPr>
          <w:rFonts w:ascii="Arial" w:cs="Arial" w:eastAsia="Arial" w:hAnsi="Arial"/>
          <w:b/>
          <w:bCs/>
          <w:color w:val="1F4E79"/>
          <w:sz w:val="32"/>
          <w:szCs w:val="32"/>
        </w:rPr>
        <w:t xml:space="preserve">10. Cross-Border Data Transfers (Section 16 &amp; Rule 15)</w:t>
      </w:r>
    </w:p>
    <w:p>
      <w:pPr>
        <w:pBdr>
          <w:bottom w:val="single" w:color="2E75B6" w:sz="6" w:space="1"/>
        </w:pBdr>
        <w:spacing w:after="120" w:before="120"/>
      </w:pPr>
    </w:p>
    <w:p>
      <w:pPr>
        <w:spacing w:after="80" w:before="80"/>
      </w:pPr>
      <w:r>
        <w:rPr>
          <w:rFonts w:ascii="Arial" w:cs="Arial" w:eastAsia="Arial" w:hAnsi="Arial"/>
          <w:color w:val="2F2F2F"/>
          <w:sz w:val="22"/>
          <w:szCs w:val="22"/>
        </w:rPr>
        <w:t xml:space="preserve">The DPDP Act adopts an 'allowlist' (positive list) approach for cross-border transfers:</w:t>
      </w:r>
    </w:p>
    <w:p>
      <w:pPr>
        <w:spacing w:after="40" w:before="40"/>
      </w:pPr>
      <w:r>
        <w:t xml:space="preserve"/>
      </w:r>
    </w:p>
    <w:p>
      <w:pPr>
        <w:pStyle w:val="ListParagraph"/>
        <w:numPr>
          <w:ilvl w:val="0"/>
          <w:numId w:val="2"/>
        </w:numPr>
        <w:spacing w:after="40" w:before="40"/>
      </w:pPr>
      <w:r>
        <w:rPr>
          <w:rFonts w:ascii="Arial" w:cs="Arial" w:eastAsia="Arial" w:hAnsi="Arial"/>
          <w:color w:val="2F2F2F"/>
          <w:sz w:val="22"/>
          <w:szCs w:val="22"/>
        </w:rPr>
        <w:t xml:space="preserve">Personal data may be transferred outside India only to countries/territories notified by the Central Government</w:t>
      </w:r>
    </w:p>
    <w:p>
      <w:pPr>
        <w:pStyle w:val="ListParagraph"/>
        <w:numPr>
          <w:ilvl w:val="0"/>
          <w:numId w:val="2"/>
        </w:numPr>
        <w:spacing w:after="40" w:before="40"/>
      </w:pPr>
      <w:r>
        <w:rPr>
          <w:rFonts w:ascii="Arial" w:cs="Arial" w:eastAsia="Arial" w:hAnsi="Arial"/>
          <w:color w:val="2F2F2F"/>
          <w:sz w:val="22"/>
          <w:szCs w:val="22"/>
        </w:rPr>
        <w:t xml:space="preserve">MeitY will maintain and update the list of permitted jurisdictions; transfers to non-listed countries are prohibited for SDFs</w:t>
      </w:r>
    </w:p>
    <w:p>
      <w:pPr>
        <w:pStyle w:val="ListParagraph"/>
        <w:numPr>
          <w:ilvl w:val="0"/>
          <w:numId w:val="2"/>
        </w:numPr>
        <w:spacing w:after="40" w:before="40"/>
      </w:pPr>
      <w:r>
        <w:rPr>
          <w:rFonts w:ascii="Arial" w:cs="Arial" w:eastAsia="Arial" w:hAnsi="Arial"/>
          <w:color w:val="2F2F2F"/>
          <w:sz w:val="22"/>
          <w:szCs w:val="22"/>
        </w:rPr>
        <w:t xml:space="preserve">General Data Fiduciaries have more flexibility pending SDF-specific restrictions</w:t>
      </w:r>
    </w:p>
    <w:p>
      <w:pPr>
        <w:pStyle w:val="ListParagraph"/>
        <w:numPr>
          <w:ilvl w:val="0"/>
          <w:numId w:val="2"/>
        </w:numPr>
        <w:spacing w:after="40" w:before="40"/>
      </w:pPr>
      <w:r>
        <w:rPr>
          <w:rFonts w:ascii="Arial" w:cs="Arial" w:eastAsia="Arial" w:hAnsi="Arial"/>
          <w:color w:val="2F2F2F"/>
          <w:sz w:val="22"/>
          <w:szCs w:val="22"/>
        </w:rPr>
        <w:t xml:space="preserve">Data Localisation: The Act does not mandate blanket data localisation, unlike earlier draft bills</w:t>
      </w:r>
    </w:p>
    <w:p>
      <w:pPr>
        <w:pStyle w:val="ListParagraph"/>
        <w:numPr>
          <w:ilvl w:val="0"/>
          <w:numId w:val="2"/>
        </w:numPr>
        <w:spacing w:after="40" w:before="40"/>
      </w:pPr>
      <w:r>
        <w:rPr>
          <w:rFonts w:ascii="Arial" w:cs="Arial" w:eastAsia="Arial" w:hAnsi="Arial"/>
          <w:color w:val="2F2F2F"/>
          <w:sz w:val="22"/>
          <w:szCs w:val="22"/>
        </w:rPr>
        <w:t xml:space="preserve">Processing for offering goods/services to Data Principals in India by foreign entities falls under the Act's jurisdiction regardless of where processing occurs</w:t>
      </w:r>
    </w:p>
    <w:p>
      <w:pPr>
        <w:pStyle w:val="ListParagraph"/>
        <w:numPr>
          <w:ilvl w:val="0"/>
          <w:numId w:val="2"/>
        </w:numPr>
        <w:spacing w:after="40" w:before="40"/>
      </w:pPr>
      <w:r>
        <w:rPr>
          <w:rFonts w:ascii="Arial" w:cs="Arial" w:eastAsia="Arial" w:hAnsi="Arial"/>
          <w:color w:val="2F2F2F"/>
          <w:sz w:val="22"/>
          <w:szCs w:val="22"/>
        </w:rPr>
        <w:t xml:space="preserve">Contractual safeguards and standard contractual clauses may be prescribed for cross-border flows</w:t>
      </w:r>
    </w:p>
    <w:p>
      <w:pPr>
        <w:spacing w:after="40" w:before="40"/>
      </w:pPr>
      <w:r>
        <w:t xml:space="preserve"/>
      </w:r>
    </w:p>
    <w:p>
      <w:pPr>
        <w:pStyle w:val="Heading1"/>
        <w:spacing w:after="120" w:before="360"/>
      </w:pPr>
      <w:r>
        <w:rPr>
          <w:rFonts w:ascii="Arial" w:cs="Arial" w:eastAsia="Arial" w:hAnsi="Arial"/>
          <w:b/>
          <w:bCs/>
          <w:color w:val="1F4E79"/>
          <w:sz w:val="32"/>
          <w:szCs w:val="32"/>
        </w:rPr>
        <w:t xml:space="preserve">11. Key Changes: Draft Rules (Jan 2025) → Final Rules (Nov 2025)</w:t>
      </w:r>
    </w:p>
    <w:p>
      <w:pPr>
        <w:pBdr>
          <w:bottom w:val="single" w:color="2E75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80"/>
        <w:gridCol w:w="388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Draft Rules (Jan 2025)</w:t>
            </w:r>
          </w:p>
        </w:tc>
        <w:tc>
          <w:tcPr>
            <w:tcW w:type="dxa" w:w="38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Final Rules (Nov 2025)</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Implementation Timeline</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 specific phased timeline given</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Clear 3-stage rollout: immediate, 12 months, 18 months. Hard deadline: 13 May 2027</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Consent Managers</w:t>
            </w:r>
          </w:p>
        </w:tc>
        <w:tc>
          <w:tcPr>
            <w:tcW w:type="dxa" w:w="30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Broad framework only</w:t>
            </w:r>
          </w:p>
        </w:tc>
        <w:tc>
          <w:tcPr>
            <w:tcW w:type="dxa" w:w="3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Detailed Schedule I obligations; registration with DPBI; stringent net worth, audit, neutrality requirements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Children's Data</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Parental consent required</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Verifiable parental/guardian consent; specific prohibition on behavioural monitoring and tracking of children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Breach Notification</w:t>
            </w:r>
          </w:p>
        </w:tc>
        <w:tc>
          <w:tcPr>
            <w:tcW w:type="dxa" w:w="30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General obligation</w:t>
            </w:r>
          </w:p>
        </w:tc>
        <w:tc>
          <w:tcPr>
            <w:tcW w:type="dxa" w:w="3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Specific timelines and format for notifying DPBI and Data Principals prescribed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DPBI Composition</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Not finalised</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4 Members; Chairperson; head office in NCR; fully digital adjudication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Cross-Border Transfers</w:t>
            </w:r>
          </w:p>
        </w:tc>
        <w:tc>
          <w:tcPr>
            <w:tcW w:type="dxa" w:w="30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Allowlist approach outlined</w:t>
            </w:r>
          </w:p>
        </w:tc>
        <w:tc>
          <w:tcPr>
            <w:tcW w:type="dxa" w:w="3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Mechanism confirmed; countries to be notified via separate gazette; no blanket data localisation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Grievance Mechanism</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GRO appointment required</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GRO must acknowledge within 48 hours; specific resolution timelines prescribed</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SDF Obligations</w:t>
            </w:r>
          </w:p>
        </w:tc>
        <w:tc>
          <w:tcPr>
            <w:tcW w:type="dxa" w:w="30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DPIA and audit mentioned</w:t>
            </w:r>
          </w:p>
        </w:tc>
        <w:tc>
          <w:tcPr>
            <w:tcW w:type="dxa" w:w="38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DPIA, audit, DPO, algorithmic impact assessment — all formalised with timelines and formats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SPDI Rules 2011</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Transition not clear</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SPDI Rules continue for 18 months from Nov 2025 (until May 2027); then replaced entirely</w:t>
            </w:r>
          </w:p>
        </w:tc>
      </w:tr>
    </w:tbl>
    <w:p>
      <w:pPr>
        <w:spacing w:after="40" w:before="40"/>
      </w:pPr>
      <w:r>
        <w:t xml:space="preserve"/>
      </w:r>
    </w:p>
    <w:p>
      <w:pPr>
        <w:pStyle w:val="Heading1"/>
        <w:spacing w:after="120" w:before="360"/>
      </w:pPr>
      <w:r>
        <w:rPr>
          <w:rFonts w:ascii="Arial" w:cs="Arial" w:eastAsia="Arial" w:hAnsi="Arial"/>
          <w:b/>
          <w:bCs/>
          <w:color w:val="1F4E79"/>
          <w:sz w:val="32"/>
          <w:szCs w:val="32"/>
        </w:rPr>
        <w:t xml:space="preserve">12. Compliance Checklist for Organisations</w:t>
      </w:r>
    </w:p>
    <w:p>
      <w:pPr>
        <w:pBdr>
          <w:bottom w:val="single" w:color="2E75B6" w:sz="6" w:space="1"/>
        </w:pBdr>
        <w:spacing w:after="120" w:before="120"/>
      </w:pPr>
    </w:p>
    <w:p>
      <w:pPr>
        <w:pStyle w:val="Heading2"/>
        <w:spacing w:after="80" w:before="280"/>
      </w:pPr>
      <w:r>
        <w:rPr>
          <w:rFonts w:ascii="Arial" w:cs="Arial" w:eastAsia="Arial" w:hAnsi="Arial"/>
          <w:b/>
          <w:bCs/>
          <w:color w:val="2E75B6"/>
          <w:sz w:val="26"/>
          <w:szCs w:val="26"/>
        </w:rPr>
        <w:t xml:space="preserve">Immediate Actions (By Nov 2026)</w:t>
      </w:r>
    </w:p>
    <w:p>
      <w:pPr>
        <w:pStyle w:val="ListParagraph"/>
        <w:numPr>
          <w:ilvl w:val="0"/>
          <w:numId w:val="3"/>
        </w:numPr>
        <w:spacing w:after="40" w:before="40"/>
      </w:pPr>
      <w:r>
        <w:rPr>
          <w:rFonts w:ascii="Arial" w:cs="Arial" w:eastAsia="Arial" w:hAnsi="Arial"/>
          <w:color w:val="2F2F2F"/>
          <w:sz w:val="22"/>
          <w:szCs w:val="22"/>
        </w:rPr>
        <w:t xml:space="preserve">Map all personal data processed across systems — data inventory and flow mapping</w:t>
      </w:r>
    </w:p>
    <w:p>
      <w:pPr>
        <w:pStyle w:val="ListParagraph"/>
        <w:numPr>
          <w:ilvl w:val="0"/>
          <w:numId w:val="3"/>
        </w:numPr>
        <w:spacing w:after="40" w:before="40"/>
      </w:pPr>
      <w:r>
        <w:rPr>
          <w:rFonts w:ascii="Arial" w:cs="Arial" w:eastAsia="Arial" w:hAnsi="Arial"/>
          <w:color w:val="2F2F2F"/>
          <w:sz w:val="22"/>
          <w:szCs w:val="22"/>
        </w:rPr>
        <w:t xml:space="preserve">Appoint a Grievance Redressal Officer (GRO); publish contact details</w:t>
      </w:r>
    </w:p>
    <w:p>
      <w:pPr>
        <w:pStyle w:val="ListParagraph"/>
        <w:numPr>
          <w:ilvl w:val="0"/>
          <w:numId w:val="3"/>
        </w:numPr>
        <w:spacing w:after="40" w:before="40"/>
      </w:pPr>
      <w:r>
        <w:rPr>
          <w:rFonts w:ascii="Arial" w:cs="Arial" w:eastAsia="Arial" w:hAnsi="Arial"/>
          <w:color w:val="2F2F2F"/>
          <w:sz w:val="22"/>
          <w:szCs w:val="22"/>
        </w:rPr>
        <w:t xml:space="preserve">Review and redesign consent mechanisms; ensure consent is free, specific, informed, unambiguous</w:t>
      </w:r>
    </w:p>
    <w:p>
      <w:pPr>
        <w:pStyle w:val="ListParagraph"/>
        <w:numPr>
          <w:ilvl w:val="0"/>
          <w:numId w:val="3"/>
        </w:numPr>
        <w:spacing w:after="40" w:before="40"/>
      </w:pPr>
      <w:r>
        <w:rPr>
          <w:rFonts w:ascii="Arial" w:cs="Arial" w:eastAsia="Arial" w:hAnsi="Arial"/>
          <w:color w:val="2F2F2F"/>
          <w:sz w:val="22"/>
          <w:szCs w:val="22"/>
        </w:rPr>
        <w:t xml:space="preserve">Update Privacy Notices per Rule 3 requirements (purpose, retention, third parties, withdrawal)</w:t>
      </w:r>
    </w:p>
    <w:p>
      <w:pPr>
        <w:pStyle w:val="ListParagraph"/>
        <w:numPr>
          <w:ilvl w:val="0"/>
          <w:numId w:val="3"/>
        </w:numPr>
        <w:spacing w:after="40" w:before="40"/>
      </w:pPr>
      <w:r>
        <w:rPr>
          <w:rFonts w:ascii="Arial" w:cs="Arial" w:eastAsia="Arial" w:hAnsi="Arial"/>
          <w:color w:val="2F2F2F"/>
          <w:sz w:val="22"/>
          <w:szCs w:val="22"/>
        </w:rPr>
        <w:t xml:space="preserve">Assess whether organisation qualifies as a Significant Data Fiduciary</w:t>
      </w:r>
    </w:p>
    <w:p>
      <w:pPr>
        <w:pStyle w:val="ListParagraph"/>
        <w:numPr>
          <w:ilvl w:val="0"/>
          <w:numId w:val="3"/>
        </w:numPr>
        <w:spacing w:after="40" w:before="40"/>
      </w:pPr>
      <w:r>
        <w:rPr>
          <w:rFonts w:ascii="Arial" w:cs="Arial" w:eastAsia="Arial" w:hAnsi="Arial"/>
          <w:color w:val="2F2F2F"/>
          <w:sz w:val="22"/>
          <w:szCs w:val="22"/>
        </w:rPr>
        <w:t xml:space="preserve">Implement security safeguards; review vendor/processor agreements</w:t>
      </w:r>
    </w:p>
    <w:p>
      <w:pPr>
        <w:pStyle w:val="ListParagraph"/>
        <w:numPr>
          <w:ilvl w:val="0"/>
          <w:numId w:val="3"/>
        </w:numPr>
        <w:spacing w:after="40" w:before="40"/>
      </w:pPr>
      <w:r>
        <w:rPr>
          <w:rFonts w:ascii="Arial" w:cs="Arial" w:eastAsia="Arial" w:hAnsi="Arial"/>
          <w:color w:val="2F2F2F"/>
          <w:sz w:val="22"/>
          <w:szCs w:val="22"/>
        </w:rPr>
        <w:t xml:space="preserve">Set up personal data breach detection and notification process</w:t>
      </w:r>
    </w:p>
    <w:p>
      <w:pPr>
        <w:spacing w:after="40" w:before="40"/>
      </w:pPr>
      <w:r>
        <w:t xml:space="preserve"/>
      </w:r>
    </w:p>
    <w:p>
      <w:pPr>
        <w:pStyle w:val="Heading2"/>
        <w:spacing w:after="80" w:before="280"/>
      </w:pPr>
      <w:r>
        <w:rPr>
          <w:rFonts w:ascii="Arial" w:cs="Arial" w:eastAsia="Arial" w:hAnsi="Arial"/>
          <w:b/>
          <w:bCs/>
          <w:color w:val="2E75B6"/>
          <w:sz w:val="26"/>
          <w:szCs w:val="26"/>
        </w:rPr>
        <w:t xml:space="preserve">Actions Before May 2027 Full Compliance Deadline</w:t>
      </w:r>
    </w:p>
    <w:p>
      <w:pPr>
        <w:pStyle w:val="ListParagraph"/>
        <w:numPr>
          <w:ilvl w:val="0"/>
          <w:numId w:val="3"/>
        </w:numPr>
        <w:spacing w:after="40" w:before="40"/>
      </w:pPr>
      <w:r>
        <w:rPr>
          <w:rFonts w:ascii="Arial" w:cs="Arial" w:eastAsia="Arial" w:hAnsi="Arial"/>
          <w:color w:val="2F2F2F"/>
          <w:sz w:val="22"/>
          <w:szCs w:val="22"/>
        </w:rPr>
        <w:t xml:space="preserve">Operationalise all Data Principal rights: access, correction, erasure, nominate</w:t>
      </w:r>
    </w:p>
    <w:p>
      <w:pPr>
        <w:pStyle w:val="ListParagraph"/>
        <w:numPr>
          <w:ilvl w:val="0"/>
          <w:numId w:val="3"/>
        </w:numPr>
        <w:spacing w:after="40" w:before="40"/>
      </w:pPr>
      <w:r>
        <w:rPr>
          <w:rFonts w:ascii="Arial" w:cs="Arial" w:eastAsia="Arial" w:hAnsi="Arial"/>
          <w:color w:val="2F2F2F"/>
          <w:sz w:val="22"/>
          <w:szCs w:val="22"/>
        </w:rPr>
        <w:t xml:space="preserve">If SDF: appoint DPO based in India; engage independent Data Auditor; conduct DPIA</w:t>
      </w:r>
    </w:p>
    <w:p>
      <w:pPr>
        <w:pStyle w:val="ListParagraph"/>
        <w:numPr>
          <w:ilvl w:val="0"/>
          <w:numId w:val="3"/>
        </w:numPr>
        <w:spacing w:after="40" w:before="40"/>
      </w:pPr>
      <w:r>
        <w:rPr>
          <w:rFonts w:ascii="Arial" w:cs="Arial" w:eastAsia="Arial" w:hAnsi="Arial"/>
          <w:color w:val="2F2F2F"/>
          <w:sz w:val="22"/>
          <w:szCs w:val="22"/>
        </w:rPr>
        <w:t xml:space="preserve">Implement verifiable parental consent for children's data processing</w:t>
      </w:r>
    </w:p>
    <w:p>
      <w:pPr>
        <w:pStyle w:val="ListParagraph"/>
        <w:numPr>
          <w:ilvl w:val="0"/>
          <w:numId w:val="3"/>
        </w:numPr>
        <w:spacing w:after="40" w:before="40"/>
      </w:pPr>
      <w:r>
        <w:rPr>
          <w:rFonts w:ascii="Arial" w:cs="Arial" w:eastAsia="Arial" w:hAnsi="Arial"/>
          <w:color w:val="2F2F2F"/>
          <w:sz w:val="22"/>
          <w:szCs w:val="22"/>
        </w:rPr>
        <w:t xml:space="preserve">Establish data retention schedules; automate erasure workflows</w:t>
      </w:r>
    </w:p>
    <w:p>
      <w:pPr>
        <w:pStyle w:val="ListParagraph"/>
        <w:numPr>
          <w:ilvl w:val="0"/>
          <w:numId w:val="3"/>
        </w:numPr>
        <w:spacing w:after="40" w:before="40"/>
      </w:pPr>
      <w:r>
        <w:rPr>
          <w:rFonts w:ascii="Arial" w:cs="Arial" w:eastAsia="Arial" w:hAnsi="Arial"/>
          <w:color w:val="2F2F2F"/>
          <w:sz w:val="22"/>
          <w:szCs w:val="22"/>
        </w:rPr>
        <w:t xml:space="preserve">Review cross-border transfer agreements for compliance with approved country list</w:t>
      </w:r>
    </w:p>
    <w:p>
      <w:pPr>
        <w:pStyle w:val="ListParagraph"/>
        <w:numPr>
          <w:ilvl w:val="0"/>
          <w:numId w:val="3"/>
        </w:numPr>
        <w:spacing w:after="40" w:before="40"/>
      </w:pPr>
      <w:r>
        <w:rPr>
          <w:rFonts w:ascii="Arial" w:cs="Arial" w:eastAsia="Arial" w:hAnsi="Arial"/>
          <w:color w:val="2F2F2F"/>
          <w:sz w:val="22"/>
          <w:szCs w:val="22"/>
        </w:rPr>
        <w:t xml:space="preserve">Integrate Consent Manager if operating consent-based business at scale</w:t>
      </w:r>
    </w:p>
    <w:p>
      <w:pPr>
        <w:pStyle w:val="ListParagraph"/>
        <w:numPr>
          <w:ilvl w:val="0"/>
          <w:numId w:val="3"/>
        </w:numPr>
        <w:spacing w:after="40" w:before="40"/>
      </w:pPr>
      <w:r>
        <w:rPr>
          <w:rFonts w:ascii="Arial" w:cs="Arial" w:eastAsia="Arial" w:hAnsi="Arial"/>
          <w:color w:val="2F2F2F"/>
          <w:sz w:val="22"/>
          <w:szCs w:val="22"/>
        </w:rPr>
        <w:t xml:space="preserve">Complete gap assessment against DPDP Rules 2025 all 23 Rules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2E75B6" w:sz="8"/>
              <w:left w:val="thick" w:color="2E75B6" w:sz="8"/>
              <w:bottom w:val="single" w:color="AAAAAA" w:sz="1"/>
              <w:right w:val="single" w:color="AAAAAA" w:sz="1"/>
            </w:tcBorders>
            <w:shd w:fill="D6E4F0" w:val="clear"/>
            <w:tcMar>
              <w:top w:type="dxa" w:w="120"/>
              <w:left w:type="dxa" w:w="180"/>
              <w:bottom w:type="dxa" w:w="120"/>
              <w:right w:type="dxa" w:w="180"/>
            </w:tcMar>
          </w:tcPr>
          <w:p>
            <w:r>
              <w:rPr>
                <w:rFonts w:ascii="Arial" w:cs="Arial" w:eastAsia="Arial" w:hAnsi="Arial"/>
                <w:b/>
                <w:bCs/>
                <w:color w:val="1F4E79"/>
                <w:sz w:val="22"/>
                <w:szCs w:val="22"/>
              </w:rPr>
              <w:t xml:space="preserve">Note on SPDI Rules 2011</w:t>
            </w:r>
          </w:p>
          <w:p>
            <w:r>
              <w:rPr>
                <w:rFonts w:ascii="Arial" w:cs="Arial" w:eastAsia="Arial" w:hAnsi="Arial"/>
                <w:color w:val="2F2F2F"/>
                <w:sz w:val="21"/>
                <w:szCs w:val="21"/>
              </w:rPr>
              <w:t xml:space="preserve">The Information Technology (Reasonable Security Practices and Procedures and Sensitive Personal Data or Information) Rules, 2011 remain in force until 13 May 2027. Organisations must continue to comply with SPDI Rules until then, while also transitioning to DPDP Rules. Post-May 2027, SPDI Rules are fully replaced.</w:t>
            </w:r>
          </w:p>
        </w:tc>
      </w:tr>
    </w:tbl>
    <w:p>
      <w:pPr>
        <w:spacing w:after="40" w:before="40"/>
      </w:pPr>
      <w:r>
        <w:t xml:space="preserve"/>
      </w:r>
    </w:p>
    <w:p>
      <w:r>
        <w:br w:type="page"/>
      </w:r>
    </w:p>
    <w:p>
      <w:pPr>
        <w:pStyle w:val="Heading1"/>
        <w:spacing w:after="120" w:before="360"/>
      </w:pPr>
      <w:r>
        <w:rPr>
          <w:rFonts w:ascii="Arial" w:cs="Arial" w:eastAsia="Arial" w:hAnsi="Arial"/>
          <w:b/>
          <w:bCs/>
          <w:color w:val="1F4E79"/>
          <w:sz w:val="32"/>
          <w:szCs w:val="32"/>
        </w:rPr>
        <w:t xml:space="preserve">13. Impact on Other Laws</w:t>
      </w:r>
    </w:p>
    <w:p>
      <w:pPr>
        <w:pBdr>
          <w:bottom w:val="single" w:color="2E75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Law</w:t>
            </w:r>
          </w:p>
        </w:tc>
        <w:tc>
          <w:tcPr>
            <w:tcW w:type="dxa" w:w="6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 under DPDP Act 2023</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IT Act, 2000 (Sec 43A &amp; 72A)</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Sections 43A (compensation for data breach) and 72A (penalty for disclosure) remain operative but DPDP Act governs specifically for personal data protection framework</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SPDI Rules, 2011</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Continue until 13 May 2027; then replaced by DPDP Rules 2025 upon full commencement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Right to Information Act, 2005 (Sec 8(1)(j))</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DPDP Act amends RTI Act Sec 8(1)(j) to protect personal information that has no relationship to public activity/interest — aligns with Puttaswamy privacy ruling</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Aadhaar Act, 2016</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Aadhaar-based authentication may be used as one method for verifiable consent for children/guardians; specifics to be prescribed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IT (Intermediary Guidelines) Rules, 2021</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Continue to operate; DPDP Act governs the personal data dimension; Social Media Intermediaries as Data Fiduciaries must comply with DPDP Act</w:t>
            </w:r>
          </w:p>
        </w:tc>
      </w:tr>
      <w:tr>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Digital India Act (proposed)</w:t>
            </w:r>
          </w:p>
        </w:tc>
        <w:tc>
          <w:tcPr>
            <w:tcW w:type="dxa" w:w="6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DPDP Act forms the data protection pillar; Digital India Act (under development) will govern the broader digital ecosystem including platform regulation</w:t>
            </w:r>
          </w:p>
        </w:tc>
      </w:tr>
    </w:tbl>
    <w:p>
      <w:pPr>
        <w:spacing w:after="40" w:before="40"/>
      </w:pPr>
      <w:r>
        <w:t xml:space="preserve"/>
      </w:r>
    </w:p>
    <w:p>
      <w:pPr>
        <w:pStyle w:val="Heading1"/>
        <w:spacing w:after="120" w:before="360"/>
      </w:pPr>
      <w:r>
        <w:rPr>
          <w:rFonts w:ascii="Arial" w:cs="Arial" w:eastAsia="Arial" w:hAnsi="Arial"/>
          <w:b/>
          <w:bCs/>
          <w:color w:val="1F4E79"/>
          <w:sz w:val="32"/>
          <w:szCs w:val="32"/>
        </w:rPr>
        <w:t xml:space="preserve">14. Glossary of Key Terms</w:t>
      </w:r>
    </w:p>
    <w:p>
      <w:pPr>
        <w:pBdr>
          <w:bottom w:val="single" w:color="2E75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Full Form / Meaning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DPDP Act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Digital Personal Data Protection Act, 2023</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DPDPA</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Digital Personal Data Protection Act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DPBI</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Data Protection Board of India</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DPO</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Data Protection Officer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DPIA</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Data Protection Impact Assessment</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MeitY</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Ministry of Electronics and Information Technology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SDF</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Significant Data Fiduciary</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SPDI Rules</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Sensitive Personal Data or Information Rules, 2011 under IT Act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TDSAT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Telecom Disputes Settlement and Appellate Tribunal (appellate body for DPBI orders)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GRO</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Grievance Redressal Officer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RTI Act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Right to Information Act, 2005</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GDPR</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General Data Protection Regulation (EU) — comparable framework</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Indian Rupee; 1 Crore = 10 million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GSR</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2F2F2F"/>
                <w:sz w:val="20"/>
                <w:szCs w:val="20"/>
              </w:rPr>
              <w:t xml:space="preserve">General Statutory Rule — Gazette notification format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NCR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2F2F2F"/>
                <w:sz w:val="20"/>
                <w:szCs w:val="20"/>
              </w:rPr>
              <w:t xml:space="preserve">National Capital Region (Delhi) — DPBI headquarters location</w:t>
            </w:r>
          </w:p>
        </w:tc>
      </w:tr>
    </w:tbl>
    <w:p>
      <w:pPr>
        <w:spacing w:after="40" w:before="40"/>
      </w:pPr>
      <w:r>
        <w:t xml:space="preserve"/>
      </w:r>
    </w:p>
    <w:p>
      <w:pPr>
        <w:pBdr>
          <w:bottom w:val="single" w:color="2E75B6" w:sz="6" w:space="1"/>
        </w:pBdr>
        <w:spacing w:after="120" w:before="120"/>
      </w:pPr>
    </w:p>
    <w:p>
      <w:pPr>
        <w:spacing w:after="60" w:before="120"/>
      </w:pPr>
      <w:r>
        <w:rPr>
          <w:rFonts w:ascii="Arial" w:cs="Arial" w:eastAsia="Arial" w:hAnsi="Arial"/>
          <w:b/>
          <w:bCs/>
          <w:color w:val="C55A11"/>
          <w:sz w:val="20"/>
          <w:szCs w:val="20"/>
        </w:rPr>
        <w:t xml:space="preserve">DISCLAIMER</w:t>
      </w:r>
    </w:p>
    <w:p>
      <w:pPr>
        <w:spacing w:after="80" w:before="80"/>
      </w:pPr>
      <w:r>
        <w:rPr>
          <w:rFonts w:ascii="Arial" w:cs="Arial" w:eastAsia="Arial" w:hAnsi="Arial"/>
          <w:color w:val="666666"/>
          <w:sz w:val="22"/>
          <w:szCs w:val="22"/>
        </w:rPr>
        <w:t xml:space="preserve">This document is a consolidated reference/summary prepared for informational purposes based on publicly available official sources as of May 2026. It does not constitute legal advice. For authoritative legal text, always refer to the official Gazette notifications available at egazette.gov.in and the MeitY portal at meity.gov.in. The DPDP Rules are subject to ongoing interpretation and may be supplemented by further notifications, guidelines, and advisories issued by MeitY and the DPBI. Organisations should consult qualified legal counsel for compliance advice.</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100"/>
    </w:pPr>
    <w:r>
      <w:rPr>
        <w:rFonts w:ascii="Arial" w:cs="Arial" w:eastAsia="Arial" w:hAnsi="Arial"/>
        <w:color w:val="666666"/>
        <w:sz w:val="18"/>
        <w:szCs w:val="18"/>
      </w:rPr>
      <w:t xml:space="preserve">Ministry of Electronics &amp; Information Technology, Government of India</w:t>
    </w:r>
    <w:r>
      <w:rPr>
        <w:rFonts w:ascii="Arial" w:cs="Arial" w:eastAsia="Arial" w:hAnsi="Arial"/>
        <w:color w:val="666666"/>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pPr>
    <w:r>
      <w:rPr>
        <w:rFonts w:ascii="Arial" w:cs="Arial" w:eastAsia="Arial" w:hAnsi="Arial"/>
        <w:color w:val="666666"/>
        <w:sz w:val="18"/>
        <w:szCs w:val="18"/>
      </w:rPr>
      <w:t xml:space="preserve">DIGITAL PERSONAL DATA PROTECTION ACT, 2023  |  RULES 2025  |  Consolidated Reference  |  Updated: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2026-05-21T06:10:37.887Z</dcterms:created>
  <dcterms:modified xsi:type="dcterms:W3CDTF">2026-05-21T06:10:37.888Z</dcterms:modified>
</cp:coreProperties>
</file>

<file path=docProps/custom.xml><?xml version="1.0" encoding="utf-8"?>
<Properties xmlns="http://schemas.openxmlformats.org/officeDocument/2006/custom-properties" xmlns:vt="http://schemas.openxmlformats.org/officeDocument/2006/docPropsVTypes"/>
</file>