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5E7B" w:val="clear"/>
            <w:tcMar>
              <w:top w:type="dxa" w:w="300"/>
              <w:left w:type="dxa" w:w="300"/>
              <w:bottom w:type="dxa" w:w="300"/>
              <w:right w:type="dxa" w:w="300"/>
            </w:tcMar>
          </w:tcPr>
          <w:p>
            <w:pPr>
              <w:spacing w:after="80"/>
              <w:jc w:val="center"/>
            </w:pPr>
            <w:r>
              <w:rPr>
                <w:rFonts w:ascii="Arial" w:cs="Arial" w:eastAsia="Arial" w:hAnsi="Arial"/>
                <w:b/>
                <w:bCs/>
                <w:color w:val="FFFFFF"/>
                <w:sz w:val="48"/>
                <w:szCs w:val="48"/>
              </w:rPr>
              <w:t xml:space="preserve">DawaiSathi</w:t>
            </w:r>
          </w:p>
          <w:p>
            <w:pPr>
              <w:spacing w:after="80"/>
              <w:jc w:val="center"/>
            </w:pPr>
            <w:r>
              <w:rPr>
                <w:rFonts w:ascii="Arial" w:cs="Arial" w:eastAsia="Arial" w:hAnsi="Arial"/>
                <w:color w:val="B0D8E8"/>
                <w:sz w:val="32"/>
                <w:szCs w:val="32"/>
              </w:rPr>
              <w:t xml:space="preserve">दवाई साथी</w:t>
            </w:r>
          </w:p>
          <w:p>
            <w:pPr>
              <w:spacing w:after="0"/>
              <w:jc w:val="center"/>
            </w:pPr>
            <w:r>
              <w:rPr>
                <w:rFonts w:ascii="Arial" w:cs="Arial" w:eastAsia="Arial" w:hAnsi="Arial"/>
                <w:color w:val="D0E8F0"/>
                <w:sz w:val="22"/>
                <w:szCs w:val="22"/>
              </w:rPr>
              <w:t xml:space="preserve">A Visual Medication Reminder for Low-Resource Settings</w:t>
            </w:r>
          </w:p>
        </w:tc>
      </w:tr>
    </w:tbl>
    <w:p>
      <w:pPr>
        <w:spacing w:after="0" w:before="80"/>
        <w:jc w:val="center"/>
      </w:pPr>
      <w:r>
        <w:rPr>
          <w:rFonts w:ascii="Arial" w:cs="Arial" w:eastAsia="Arial" w:hAnsi="Arial"/>
          <w:i/>
          <w:iCs/>
          <w:color w:val="888888"/>
          <w:sz w:val="18"/>
          <w:szCs w:val="18"/>
        </w:rPr>
        <w:t xml:space="preserve">Executive Summary  |  March 2026  |  Open Source Community Project</w:t>
      </w:r>
    </w:p>
    <w:p>
      <w:pPr>
        <w:pStyle w:val="Heading1"/>
      </w:pPr>
      <w:r>
        <w:t xml:space="preserve">1. The Problem</w:t>
      </w:r>
    </w:p>
    <w:p>
      <w:pPr>
        <w:spacing w:after="140"/>
      </w:pPr>
      <w:r>
        <w:t xml:space="preserve">Medication non-adherence in Indian households is a quiet crisis hiding in plain sight. The chain of failure is systemic: doctors write prescriptions by hand, pharmacists dispense medicines with minimal explanation, and family caregivers—often without medical literacy—are left to decode when, how much, and which pill to give. The problem compounds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b/>
                <w:bCs/>
                <w:color w:val="FFFFFF"/>
                <w:sz w:val="20"/>
                <w:szCs w:val="20"/>
              </w:rPr>
              <w:t xml:space="preserve">Challenge</w:t>
            </w:r>
          </w:p>
        </w:tc>
        <w:tc>
          <w:tcPr>
            <w:tcW w:type="dxa" w:w="656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vAlign w:val="center"/>
          </w:tcPr>
          <w:p>
            <w:r>
              <w:rPr>
                <w:b/>
                <w:bCs/>
                <w:color w:val="FFFFFF"/>
                <w:sz w:val="20"/>
                <w:szCs w:val="20"/>
              </w:rPr>
              <w:t xml:space="preserve">Reality on the Ground</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Illegible Prescriptions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Handwritten prescriptions in medical shorthand are unreadable to most family members; pharmacists decode them but don’t pass context to caregivers.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Cut Medicine Strips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Medicines are routinely sold in partial strips. Labels get cut, distorted, or lost—making it impossible to identify pills by reading packaging.</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Oral-Only Instructions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Dosage instructions are passed verbally: “give 3 after breakfast.” No written backup exists once the pharmacist interaction ends.</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Caregiver Rotation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Multiple family members share the responsibility of administering medicine, leading to missed or duplicate doses when handoffs fail.</w:t>
            </w:r>
          </w:p>
        </w:tc>
      </w:tr>
      <w:tr>
        <w:tc>
          <w:tcPr>
            <w:tcW w:type="dxa" w:w="28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Silent Deterioration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 missed critical medicine often goes unnoticed for days or weeks, surfacing only when the patient’s condition visibly worsens.</w:t>
            </w:r>
          </w:p>
        </w:tc>
      </w:tr>
    </w:tbl>
    <w:p>
      <w:pPr>
        <w:spacing w:after="100" w:before="200"/>
      </w:pPr>
    </w:p>
    <w:p>
      <w:pPr>
        <w:pStyle w:val="Heading1"/>
      </w:pPr>
      <w:r>
        <w:t xml:space="preserve">2. The Unmet Need</w:t>
      </w:r>
    </w:p>
    <w:p>
      <w:pPr>
        <w:spacing w:after="140"/>
      </w:pPr>
      <w:r>
        <w:t xml:space="preserve">Existing medication reminder apps assume a literate, English-speaking, smartphone-savvy user who can type drug names and set alarms. They solve for the affluent and the self-medicating. The real gap is in </w:t>
      </w:r>
      <w:r>
        <w:rPr>
          <w:b/>
          <w:bCs/>
        </w:rPr>
        <w:t xml:space="preserve">low-resource, multi-caregiver households</w:t>
      </w:r>
      <w:r>
        <w:t xml:space="preserve"> where:</w:t>
      </w:r>
    </w:p>
    <w:p>
      <w:pPr>
        <w:pStyle w:val="ListParagraph"/>
        <w:numPr>
          <w:ilvl w:val="0"/>
          <w:numId w:val="2"/>
        </w:numPr>
        <w:spacing w:after="60"/>
      </w:pPr>
      <w:r>
        <w:rPr>
          <w:sz w:val="21"/>
          <w:szCs w:val="21"/>
        </w:rPr>
        <w:t xml:space="preserve">The person giving the medicine is not the person who visited the doctor.</w:t>
      </w:r>
    </w:p>
    <w:p>
      <w:pPr>
        <w:pStyle w:val="ListParagraph"/>
        <w:numPr>
          <w:ilvl w:val="0"/>
          <w:numId w:val="2"/>
        </w:numPr>
        <w:spacing w:after="60"/>
      </w:pPr>
      <w:r>
        <w:rPr>
          <w:sz w:val="21"/>
          <w:szCs w:val="21"/>
        </w:rPr>
        <w:t xml:space="preserve">No one in the household can confidently read medical labels or prescriptions.</w:t>
      </w:r>
    </w:p>
    <w:p>
      <w:pPr>
        <w:pStyle w:val="ListParagraph"/>
        <w:numPr>
          <w:ilvl w:val="0"/>
          <w:numId w:val="2"/>
        </w:numPr>
        <w:spacing w:after="60"/>
      </w:pPr>
      <w:r>
        <w:rPr>
          <w:sz w:val="21"/>
          <w:szCs w:val="21"/>
        </w:rPr>
        <w:t xml:space="preserve">The patient may be elderly, cognitively impaired, or a child—unable to self-manage.</w:t>
      </w:r>
    </w:p>
    <w:p>
      <w:pPr>
        <w:pStyle w:val="ListParagraph"/>
        <w:numPr>
          <w:ilvl w:val="0"/>
          <w:numId w:val="2"/>
        </w:numPr>
        <w:spacing w:after="60"/>
      </w:pPr>
      <w:r>
        <w:rPr>
          <w:sz w:val="21"/>
          <w:szCs w:val="21"/>
        </w:rPr>
        <w:t xml:space="preserve">Smartphones are present but data literacy is low; the interface must be visual, not textual.</w:t>
      </w:r>
    </w:p>
    <w:p>
      <w:pPr>
        <w:pStyle w:val="ListParagraph"/>
        <w:numPr>
          <w:ilvl w:val="0"/>
          <w:numId w:val="2"/>
        </w:numPr>
        <w:spacing w:after="60"/>
      </w:pPr>
      <w:r>
        <w:rPr>
          <w:sz w:val="21"/>
          <w:szCs w:val="21"/>
        </w:rPr>
        <w:t xml:space="preserve">There is no digital record of what was prescribed, what was given, and what was missed.</w:t>
      </w:r>
    </w:p>
    <w:p>
      <w:pPr>
        <w:spacing w:after="100" w:before="100"/>
      </w:pPr>
      <w:r>
        <w:t xml:space="preserve">What is needed is a </w:t>
      </w:r>
      <w:r>
        <w:rPr>
          <w:b/>
          <w:bCs/>
          <w:color w:val="E8734A"/>
        </w:rPr>
        <w:t xml:space="preserve">visual-first, photo-driven, shared medication management system</w:t>
      </w:r>
      <w:r>
        <w:t xml:space="preserve"> that works for families—not just individuals—and bridges the gap between the doctor’s prescription and the caregiver’s daily reality.</w:t>
      </w:r>
    </w:p>
    <w:p>
      <w:pPr>
        <w:sectPr>
          <w:headerReference w:type="default" r:id="rId7"/>
          <w:footerReference w:type="default" r:id="rId8"/>
          <w:pgSz w:w="12240" w:h="15840" w:orient="portrait"/>
          <w:pgMar w:top="1440" w:right="1440" w:bottom="1200" w:left="1440" w:header="708" w:footer="708" w:gutter="0"/>
          <w:pgNumType/>
          <w:docGrid w:linePitch="360"/>
        </w:sectPr>
      </w:pPr>
    </w:p>
    <w:p>
      <w:pPr>
        <w:pStyle w:val="Heading1"/>
      </w:pPr>
      <w:r>
        <w:t xml:space="preserve">3. Proposed Solution: DawaiSathi</w:t>
      </w:r>
    </w:p>
    <w:p>
      <w:pPr>
        <w:spacing w:after="120"/>
      </w:pPr>
      <w:r>
        <w:rPr>
          <w:b/>
          <w:bCs/>
        </w:rPr>
        <w:t xml:space="preserve">DawaiSathi</w:t>
      </w:r>
      <w:r>
        <w:t xml:space="preserve"> (“Medicine Companion”) is a free, open-source mobile app designed for shared family medication management in low-resource settings. The core principle: </w:t>
      </w:r>
      <w:r>
        <w:rPr>
          <w:b/>
          <w:bCs/>
          <w:i/>
          <w:iCs/>
        </w:rPr>
        <w:t xml:space="preserve">if you can take a photo and tap a coloured button, you can manage medicine safely.</w:t>
      </w:r>
    </w:p>
    <w:p>
      <w:pPr>
        <w:pStyle w:val="Heading3"/>
      </w:pPr>
      <w:r>
        <w:t xml:space="preserve">How It Works</w:t>
      </w:r>
    </w:p>
    <w:p>
      <w:pPr>
        <w:pStyle w:val="ListParagraph"/>
        <w:numPr>
          <w:ilvl w:val="0"/>
          <w:numId w:val="3"/>
        </w:numPr>
        <w:spacing w:after="60"/>
      </w:pPr>
      <w:r>
        <w:rPr>
          <w:b/>
          <w:bCs/>
          <w:sz w:val="21"/>
          <w:szCs w:val="21"/>
        </w:rPr>
        <w:t xml:space="preserve">Snap the Prescription:</w:t>
      </w:r>
      <w:r>
        <w:rPr>
          <w:sz w:val="21"/>
          <w:szCs w:val="21"/>
        </w:rPr>
        <w:t xml:space="preserve"> A caregiver photographs the handwritten prescription. OCR + AI extracts medicine names, dosages, and timing (with manual correction).</w:t>
      </w:r>
    </w:p>
    <w:p>
      <w:pPr>
        <w:pStyle w:val="ListParagraph"/>
        <w:numPr>
          <w:ilvl w:val="0"/>
          <w:numId w:val="3"/>
        </w:numPr>
        <w:spacing w:after="60"/>
      </w:pPr>
      <w:r>
        <w:rPr>
          <w:b/>
          <w:bCs/>
          <w:sz w:val="21"/>
          <w:szCs w:val="21"/>
        </w:rPr>
        <w:t xml:space="preserve">Snap Each Medicine Strip:</w:t>
      </w:r>
      <w:r>
        <w:rPr>
          <w:sz w:val="21"/>
          <w:szCs w:val="21"/>
        </w:rPr>
        <w:t xml:space="preserve"> Each medicine is photographed and linked to its entry. The photo becomes the visual identifier—no label reading required.</w:t>
      </w:r>
    </w:p>
    <w:p>
      <w:pPr>
        <w:pStyle w:val="ListParagraph"/>
        <w:numPr>
          <w:ilvl w:val="0"/>
          <w:numId w:val="3"/>
        </w:numPr>
        <w:spacing w:after="60"/>
      </w:pPr>
      <w:r>
        <w:rPr>
          <w:b/>
          <w:bCs/>
          <w:sz w:val="21"/>
          <w:szCs w:val="21"/>
        </w:rPr>
        <w:t xml:space="preserve">Visual Schedule Board:</w:t>
      </w:r>
      <w:r>
        <w:rPr>
          <w:sz w:val="21"/>
          <w:szCs w:val="21"/>
        </w:rPr>
        <w:t xml:space="preserve"> A colour-coded, time-of-day dashboard (Morning / Afternoon / Evening / Night) shows medicine photos with dosage count. Tap to mark as given.</w:t>
      </w:r>
    </w:p>
    <w:p>
      <w:pPr>
        <w:pStyle w:val="ListParagraph"/>
        <w:numPr>
          <w:ilvl w:val="0"/>
          <w:numId w:val="3"/>
        </w:numPr>
        <w:spacing w:after="60"/>
      </w:pPr>
      <w:r>
        <w:rPr>
          <w:b/>
          <w:bCs/>
          <w:sz w:val="21"/>
          <w:szCs w:val="21"/>
        </w:rPr>
        <w:t xml:space="preserve">Family Shared Access:</w:t>
      </w:r>
      <w:r>
        <w:rPr>
          <w:sz w:val="21"/>
          <w:szCs w:val="21"/>
        </w:rPr>
        <w:t xml:space="preserve"> Multiple family members join via a simple code. Everyone sees the same schedule; anyone can mark a dose. An audit trail shows who gave what and when.</w:t>
      </w:r>
    </w:p>
    <w:p>
      <w:pPr>
        <w:pStyle w:val="ListParagraph"/>
        <w:numPr>
          <w:ilvl w:val="0"/>
          <w:numId w:val="3"/>
        </w:numPr>
        <w:spacing w:after="60"/>
      </w:pPr>
      <w:r>
        <w:rPr>
          <w:b/>
          <w:bCs/>
          <w:sz w:val="21"/>
          <w:szCs w:val="21"/>
        </w:rPr>
        <w:t xml:space="preserve">Smart Reminders:</w:t>
      </w:r>
      <w:r>
        <w:rPr>
          <w:sz w:val="21"/>
          <w:szCs w:val="21"/>
        </w:rPr>
        <w:t xml:space="preserve"> Push notifications at scheduled times. Escalation alerts if a dose is not marked within a configurable window. Weekly summary of adherence.</w:t>
      </w:r>
    </w:p>
    <w:p>
      <w:pPr>
        <w:pStyle w:val="ListParagraph"/>
        <w:numPr>
          <w:ilvl w:val="0"/>
          <w:numId w:val="3"/>
        </w:numPr>
        <w:spacing w:after="60"/>
      </w:pPr>
      <w:r>
        <w:rPr>
          <w:b/>
          <w:bCs/>
          <w:sz w:val="21"/>
          <w:szCs w:val="21"/>
        </w:rPr>
        <w:t xml:space="preserve">Multilingual + Voice:</w:t>
      </w:r>
      <w:r>
        <w:rPr>
          <w:sz w:val="21"/>
          <w:szCs w:val="21"/>
        </w:rPr>
        <w:t xml:space="preserve"> Interface in Hindi, Tamil, Telugu, Bengali, and other Indian languages. Optional voice readout of instructions for visually impaired or illiterate caregivers.</w:t>
      </w:r>
    </w:p>
    <w:p>
      <w:pPr>
        <w:spacing w:before="160"/>
      </w:pPr>
    </w:p>
    <w:p>
      <w:pPr>
        <w:pStyle w:val="Heading1"/>
      </w:pPr>
      <w:r>
        <w:t xml:space="preserve">4. Potential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734A" w:val="clear"/>
            <w:tcMar>
              <w:top w:type="dxa" w:w="80"/>
              <w:left w:type="dxa" w:w="120"/>
              <w:bottom w:type="dxa" w:w="80"/>
              <w:right w:type="dxa" w:w="120"/>
            </w:tcMar>
          </w:tcPr>
          <w:p>
            <w:r>
              <w:rPr>
                <w:b/>
                <w:bCs/>
                <w:color w:val="FFFFFF"/>
                <w:sz w:val="20"/>
                <w:szCs w:val="20"/>
              </w:rPr>
              <w:t xml:space="preserve">Impact Area</w:t>
            </w:r>
          </w:p>
        </w:tc>
        <w:tc>
          <w:tcPr>
            <w:tcW w:type="dxa" w:w="6960"/>
            <w:tcBorders>
              <w:top w:val="single" w:color="CCCCCC" w:sz="1"/>
              <w:left w:val="single" w:color="CCCCCC" w:sz="1"/>
              <w:bottom w:val="single" w:color="CCCCCC" w:sz="1"/>
              <w:right w:val="single" w:color="CCCCCC" w:sz="1"/>
            </w:tcBorders>
            <w:shd w:fill="E8734A" w:val="clear"/>
            <w:tcMar>
              <w:top w:type="dxa" w:w="80"/>
              <w:left w:type="dxa" w:w="120"/>
              <w:bottom w:type="dxa" w:w="80"/>
              <w:right w:type="dxa" w:w="120"/>
            </w:tcMar>
          </w:tcPr>
          <w:p>
            <w:r>
              <w:rPr>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Patient Safety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Reduces missed doses of critical medications (cardiac, diabetes, psychiatric) that cause preventable hospitalisations and deterioration.</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Caregiver 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Empowers non-medical family members with a visual system that eliminates guesswork. Reduces caregiver stress and guilt.</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Doctor-Home 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Creates a digital prescription record that can be shared back with doctors, improving follow-up consultations and medication reviews.</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Scalability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India has 300M+ smartphone users in households managing chronic illness. A free, multilingual, open-source tool can reach underserved populations at near-zero marginal cost.</w:t>
            </w:r>
          </w:p>
        </w:tc>
      </w:tr>
      <w:tr>
        <w:tc>
          <w:tcPr>
            <w:tcW w:type="dxa" w:w="2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b/>
                <w:bCs/>
                <w:color w:val="2C3E50"/>
                <w:sz w:val="20"/>
                <w:szCs w:val="20"/>
              </w:rPr>
              <w:t xml:space="preserve">Public Health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C3E50"/>
                <w:sz w:val="20"/>
                <w:szCs w:val="20"/>
              </w:rPr>
              <w:t xml:space="preserve">Aggregated, anonymised adherence data can inform public health policy on medication compliance patterns across demographics.</w:t>
            </w:r>
          </w:p>
        </w:tc>
      </w:tr>
    </w:tbl>
    <w:p>
      <w:pPr>
        <w:spacing w:before="200"/>
      </w:pPr>
    </w:p>
    <w:p>
      <w:pPr>
        <w:pStyle w:val="Heading1"/>
      </w:pPr>
      <w:r>
        <w:t xml:space="preserve">5. Recommendation: Open Source, Community-Driven</w:t>
      </w:r>
    </w:p>
    <w:p>
      <w:pPr>
        <w:spacing w:after="120"/>
      </w:pPr>
      <w:r>
        <w:t xml:space="preserve">We strongly recommend launching DawaiSathi as a </w:t>
      </w:r>
      <w:r>
        <w:rPr>
          <w:b/>
          <w:bCs/>
        </w:rPr>
        <w:t xml:space="preserve">community-driven open-source project</w:t>
      </w:r>
      <w:r>
        <w:t xml:space="preserve"> under an MIT or Apache 2.0 licence, rather than a closed-source free app. The rationale:</w:t>
      </w:r>
    </w:p>
    <w:p>
      <w:pPr>
        <w:pStyle w:val="ListParagraph"/>
        <w:numPr>
          <w:ilvl w:val="0"/>
          <w:numId w:val="2"/>
        </w:numPr>
        <w:spacing w:after="70"/>
      </w:pPr>
      <w:r>
        <w:rPr>
          <w:b/>
          <w:bCs/>
          <w:sz w:val="21"/>
          <w:szCs w:val="21"/>
        </w:rPr>
        <w:t xml:space="preserve">Trust in healthcare tools:</w:t>
      </w:r>
      <w:r>
        <w:rPr>
          <w:sz w:val="21"/>
          <w:szCs w:val="21"/>
        </w:rPr>
        <w:t xml:space="preserve"> Open source allows NGOs, hospitals, and government programmes to audit the code before deploying to vulnerable populations. Transparency is a prerequisite for adoption in health-adjacent tools.</w:t>
      </w:r>
    </w:p>
    <w:p>
      <w:pPr>
        <w:pStyle w:val="ListParagraph"/>
        <w:numPr>
          <w:ilvl w:val="0"/>
          <w:numId w:val="2"/>
        </w:numPr>
        <w:spacing w:after="70"/>
      </w:pPr>
      <w:r>
        <w:rPr>
          <w:b/>
          <w:bCs/>
          <w:sz w:val="21"/>
          <w:szCs w:val="21"/>
        </w:rPr>
        <w:t xml:space="preserve">Localisation at scale:</w:t>
      </w:r>
      <w:r>
        <w:rPr>
          <w:sz w:val="21"/>
          <w:szCs w:val="21"/>
        </w:rPr>
        <w:t xml:space="preserve"> India has 22 official languages. Community contributors can localise the app far faster than any single team. Volunteer translators from medical and tech communities are a proven model.</w:t>
      </w:r>
    </w:p>
    <w:p>
      <w:pPr>
        <w:pStyle w:val="ListParagraph"/>
        <w:numPr>
          <w:ilvl w:val="0"/>
          <w:numId w:val="2"/>
        </w:numPr>
        <w:spacing w:after="70"/>
      </w:pPr>
      <w:r>
        <w:rPr>
          <w:b/>
          <w:bCs/>
          <w:sz w:val="21"/>
          <w:szCs w:val="21"/>
        </w:rPr>
        <w:t xml:space="preserve">Sustainability:</w:t>
      </w:r>
      <w:r>
        <w:rPr>
          <w:sz w:val="21"/>
          <w:szCs w:val="21"/>
        </w:rPr>
        <w:t xml:space="preserve"> A closed free app depends on one team’s funding and energy. An open-source project can survive its founders through community stewardship, institutional adoption, and forks.</w:t>
      </w:r>
    </w:p>
    <w:p>
      <w:pPr>
        <w:pStyle w:val="ListParagraph"/>
        <w:numPr>
          <w:ilvl w:val="0"/>
          <w:numId w:val="2"/>
        </w:numPr>
        <w:spacing w:after="70"/>
      </w:pPr>
      <w:r>
        <w:rPr>
          <w:b/>
          <w:bCs/>
          <w:sz w:val="21"/>
          <w:szCs w:val="21"/>
        </w:rPr>
        <w:t xml:space="preserve">Ecosystem integration:</w:t>
      </w:r>
      <w:r>
        <w:rPr>
          <w:sz w:val="21"/>
          <w:szCs w:val="21"/>
        </w:rPr>
        <w:t xml:space="preserve"> Open APIs and open code enable integration with ABDM (Ayushman Bharat Digital Mission), e-pharmacy platforms, and hospital EMRs—accelerating adoption without gatekeeping.</w:t>
      </w:r>
    </w:p>
    <w:p>
      <w:pPr>
        <w:pStyle w:val="ListParagraph"/>
        <w:numPr>
          <w:ilvl w:val="0"/>
          <w:numId w:val="2"/>
        </w:numPr>
        <w:spacing w:after="70"/>
      </w:pPr>
      <w:r>
        <w:rPr>
          <w:b/>
          <w:bCs/>
          <w:sz w:val="21"/>
          <w:szCs w:val="21"/>
        </w:rPr>
        <w:t xml:space="preserve">Credibility for funding:</w:t>
      </w:r>
      <w:r>
        <w:rPr>
          <w:sz w:val="21"/>
          <w:szCs w:val="21"/>
        </w:rPr>
        <w:t xml:space="preserve"> Open-source health projects attract grants from organisations like the Digital Public Goods Alliance, Gates Foundation, and Niti Aayog’s innovation programmes.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4A" w:sz="6"/>
              <w:left w:val="single" w:color="E8734A" w:sz="6"/>
              <w:bottom w:val="single" w:color="E8734A" w:sz="6"/>
              <w:right w:val="single" w:color="E8734A" w:sz="6"/>
            </w:tcBorders>
            <w:shd w:fill="FFF3EE" w:val="clear"/>
            <w:tcMar>
              <w:top w:type="dxa" w:w="160"/>
              <w:left w:type="dxa" w:w="200"/>
              <w:bottom w:type="dxa" w:w="160"/>
              <w:right w:type="dxa" w:w="200"/>
            </w:tcMar>
          </w:tcPr>
          <w:p>
            <w:pPr>
              <w:spacing w:after="60"/>
              <w:jc w:val="center"/>
            </w:pPr>
            <w:r>
              <w:rPr>
                <w:rFonts w:ascii="Arial" w:cs="Arial" w:eastAsia="Arial" w:hAnsi="Arial"/>
                <w:b/>
                <w:bCs/>
                <w:color w:val="E8734A"/>
                <w:sz w:val="24"/>
                <w:szCs w:val="24"/>
              </w:rPr>
              <w:t xml:space="preserve">The Ask</w:t>
            </w:r>
          </w:p>
          <w:p>
            <w:pPr>
              <w:jc w:val="center"/>
            </w:pPr>
            <w:r>
              <w:rPr>
                <w:color w:val="2C3E50"/>
                <w:sz w:val="21"/>
                <w:szCs w:val="21"/>
              </w:rPr>
              <w:t xml:space="preserve">Join us in building DawaiSathi as an open-source Digital Public Good. We are looking for contributors in mobile development (React Native / Flutter), AI/ML (prescription OCR), UX design for low-literacy users, medical domain expertise, and Indian language localisation.</w:t>
            </w:r>
          </w:p>
        </w:tc>
      </w:tr>
    </w:tbl>
    <w:sectPr>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Confidential Draft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6" w:space="4"/>
      </w:pBdr>
      <w:spacing w:after="0"/>
    </w:pPr>
    <w:r>
      <w:rPr>
        <w:rFonts w:ascii="Arial" w:cs="Arial" w:eastAsia="Arial" w:hAnsi="Arial"/>
        <w:b/>
        <w:bCs/>
        <w:color w:val="1B5E7B"/>
        <w:sz w:val="20"/>
        <w:szCs w:val="20"/>
      </w:rPr>
      <w:t xml:space="preserve">DawaiSathi</w:t>
    </w:r>
    <w:r>
      <w:rPr>
        <w:rFonts w:ascii="Arial" w:cs="Arial" w:eastAsia="Arial" w:hAnsi="Arial"/>
        <w:color w:val="888888"/>
        <w:sz w:val="16"/>
        <w:szCs w:val="16"/>
      </w:rPr>
      <w:t xml:space="preserve">  |  Executive Summary  |  Open Source Medication Reminder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5E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73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2026-03-16T04:10:40.154Z</dcterms:created>
  <dcterms:modified xsi:type="dcterms:W3CDTF">2026-03-16T04:10:40.155Z</dcterms:modified>
</cp:coreProperties>
</file>

<file path=docProps/custom.xml><?xml version="1.0" encoding="utf-8"?>
<Properties xmlns="http://schemas.openxmlformats.org/officeDocument/2006/custom-properties" xmlns:vt="http://schemas.openxmlformats.org/officeDocument/2006/docPropsVTypes"/>
</file>