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1ee7222a396eeeaedaebd1de5850628c71fc03"/>
    <w:p>
      <w:pPr>
        <w:pStyle w:val="Heading1"/>
      </w:pPr>
      <w:r>
        <w:t xml:space="preserve">Figure 1. Single-nucleus transcriptomic atlas of the tibialis anterior muscle in muscle-specific ERCC1 knockout (Skm-KO) and littermate Control mice.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UMAP embedding of 87</w:t>
      </w:r>
      <w:r>
        <w:t xml:space="preserve">,</w:t>
      </w:r>
      <w:r>
        <w:t xml:space="preserve">916 high-quality nuclei from tibialis anterior (TA) muscle profiled by snRNA-seq, integrated across the Skm-KO cohort (this study,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,</m:t>
        </m:r>
        <m:r>
          <m:t>394</m:t>
        </m:r>
      </m:oMath>
      <w:r>
        <w:t xml:space="preserve"> </w:t>
      </w:r>
      <w:r>
        <w:t xml:space="preserve">nuclei) and a contemporaneously processed aging-reference cohort (</w:t>
      </w:r>
      <m:oMath>
        <m:r>
          <m:t>n</m:t>
        </m:r>
        <m:r>
          <m:rPr>
            <m:sty m:val="p"/>
          </m:rPr>
          <m:t>=</m:t>
        </m:r>
        <m:r>
          <m:t>37</m:t>
        </m:r>
        <m:r>
          <m:rPr>
            <m:sty m:val="p"/>
          </m:rPr>
          <m:t>,</m:t>
        </m:r>
        <m:r>
          <m:t>522</m:t>
        </m:r>
      </m:oMath>
      <w:r>
        <w:t xml:space="preserve"> </w:t>
      </w:r>
      <w:r>
        <w:t xml:space="preserve">nuclei) on a shared scANVI latent space. Thirteen transcriptionally distinct populations were resolved and annotated by canonical markers: fast-twitch myofibers (Fast IIB, Fast IIX, Fast IIA), their respective myotendinous-junction sub-states (MTJ-IIB, MTJ-IIX, MTJ-IIA), muscle stem cells (MuSC), fibro-adipogenic progenitors (FAPs), endothelial cells (EC), pericytes, tenocytes (Tendon), neuromuscular-junction nuclei (NMJ), and macrophages.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Per-genotype composition of the atlas. Columns report the percentage of nuclei assigned to each cell type within the Control and Skm-KO conditions, computed as column-normalized cross-tabulations of</w:t>
      </w:r>
      <w:r>
        <w:t xml:space="preserve"> </w:t>
      </w:r>
      <w:r>
        <w:rPr>
          <w:rStyle w:val="VerbatimChar"/>
        </w:rPr>
        <w:t xml:space="preserve">adata.obs[‘re_annot’’]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adata.obs[‘condition’’]</w:t>
      </w:r>
      <w:r>
        <w:t xml:space="preserve">. Type IIB myofibers dominate both genotypes (</w:t>
      </w:r>
      <m:oMath>
        <m:r>
          <m:rPr>
            <m:sty m:val="p"/>
          </m:rPr>
          <m:t>∼</m:t>
        </m:r>
      </m:oMath>
      <w:r>
        <w:t xml:space="preserve">47–50%), with subtle Skm-KO-associated enrichments visible in EC, MTJ-IIB, Pericyte and Tendon compartments.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Dot plot of canonical lineage and fiber-type marker genes across the eight myogenic and stromal populations resolved at the muscle-fiber resolution. Dot color encodes mean log1p-normalized expression rescaled per gene (</w:t>
      </w:r>
      <w:r>
        <w:rPr>
          <w:rStyle w:val="VerbatimChar"/>
        </w:rPr>
        <w:t xml:space="preserve">standard_scale="var"</w:t>
      </w:r>
      <w:r>
        <w:t xml:space="preserve">); dot size encodes the fraction of nuclei in each population expressing the gene. Markers shown: FAP (</w:t>
      </w:r>
      <w:r>
        <w:rPr>
          <w:i/>
          <w:iCs/>
        </w:rPr>
        <w:t xml:space="preserve">Col1a1</w:t>
      </w:r>
      <w:r>
        <w:t xml:space="preserve">,</w:t>
      </w:r>
      <w:r>
        <w:t xml:space="preserve"> </w:t>
      </w:r>
      <w:r>
        <w:rPr>
          <w:i/>
          <w:iCs/>
        </w:rPr>
        <w:t xml:space="preserve">Dcn</w:t>
      </w:r>
      <w:r>
        <w:t xml:space="preserve">,</w:t>
      </w:r>
      <w:r>
        <w:t xml:space="preserve"> </w:t>
      </w:r>
      <w:r>
        <w:rPr>
          <w:i/>
          <w:iCs/>
        </w:rPr>
        <w:t xml:space="preserve">Pdgfra</w:t>
      </w:r>
      <w:r>
        <w:t xml:space="preserve">,</w:t>
      </w:r>
      <w:r>
        <w:t xml:space="preserve"> </w:t>
      </w:r>
      <w:r>
        <w:rPr>
          <w:i/>
          <w:iCs/>
        </w:rPr>
        <w:t xml:space="preserve">Cd34</w:t>
      </w:r>
      <w:r>
        <w:t xml:space="preserve">), MuSC (</w:t>
      </w:r>
      <w:r>
        <w:rPr>
          <w:i/>
          <w:iCs/>
        </w:rPr>
        <w:t xml:space="preserve">Pax7</w:t>
      </w:r>
      <w:r>
        <w:t xml:space="preserve">), MTJ (</w:t>
      </w:r>
      <w:r>
        <w:rPr>
          <w:i/>
          <w:iCs/>
        </w:rPr>
        <w:t xml:space="preserve">Csrp3</w:t>
      </w:r>
      <w:r>
        <w:t xml:space="preserve">,</w:t>
      </w:r>
      <w:r>
        <w:t xml:space="preserve"> </w:t>
      </w:r>
      <w:r>
        <w:rPr>
          <w:i/>
          <w:iCs/>
        </w:rPr>
        <w:t xml:space="preserve">Ankrd1</w:t>
      </w:r>
      <w:r>
        <w:t xml:space="preserve">,</w:t>
      </w:r>
      <w:r>
        <w:t xml:space="preserve"> </w:t>
      </w:r>
      <w:r>
        <w:rPr>
          <w:i/>
          <w:iCs/>
        </w:rPr>
        <w:t xml:space="preserve">Col22a1</w:t>
      </w:r>
      <w:r>
        <w:t xml:space="preserve">), Fast IIA (</w:t>
      </w:r>
      <w:r>
        <w:rPr>
          <w:i/>
          <w:iCs/>
        </w:rPr>
        <w:t xml:space="preserve">Lpl</w:t>
      </w:r>
      <w:r>
        <w:t xml:space="preserve">,</w:t>
      </w:r>
      <w:r>
        <w:t xml:space="preserve"> </w:t>
      </w:r>
      <w:r>
        <w:rPr>
          <w:i/>
          <w:iCs/>
        </w:rPr>
        <w:t xml:space="preserve">Atp2a1</w:t>
      </w:r>
      <w:r>
        <w:t xml:space="preserve">), pan-fast troponins (</w:t>
      </w:r>
      <w:r>
        <w:rPr>
          <w:i/>
          <w:iCs/>
        </w:rPr>
        <w:t xml:space="preserve">Tnnc2</w:t>
      </w:r>
      <w:r>
        <w:t xml:space="preserve">,</w:t>
      </w:r>
      <w:r>
        <w:t xml:space="preserve"> </w:t>
      </w:r>
      <w:r>
        <w:rPr>
          <w:i/>
          <w:iCs/>
        </w:rPr>
        <w:t xml:space="preserve">Tnnt3</w:t>
      </w:r>
      <w:r>
        <w:t xml:space="preserve">), and the three adult fast-isoform myosin heavy chains</w:t>
      </w:r>
      <w:r>
        <w:t xml:space="preserve"> </w:t>
      </w:r>
      <w:r>
        <w:rPr>
          <w:i/>
          <w:iCs/>
        </w:rPr>
        <w:t xml:space="preserve">Myh4</w:t>
      </w:r>
      <w:r>
        <w:t xml:space="preserve"> </w:t>
      </w:r>
      <w:r>
        <w:t xml:space="preserve">(IIB),</w:t>
      </w:r>
      <w:r>
        <w:t xml:space="preserve"> </w:t>
      </w:r>
      <w:r>
        <w:rPr>
          <w:i/>
          <w:iCs/>
        </w:rPr>
        <w:t xml:space="preserve">Myh1</w:t>
      </w:r>
      <w:r>
        <w:t xml:space="preserve"> </w:t>
      </w:r>
      <w:r>
        <w:t xml:space="preserve">(IIX), and</w:t>
      </w:r>
      <w:r>
        <w:t xml:space="preserve"> </w:t>
      </w:r>
      <w:r>
        <w:rPr>
          <w:i/>
          <w:iCs/>
        </w:rPr>
        <w:t xml:space="preserve">Myh2</w:t>
      </w:r>
      <w:r>
        <w:t xml:space="preserve"> </w:t>
      </w:r>
      <w:r>
        <w:t xml:space="preserve">(IIA).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Transcriptional heterogeneity per cell type, defined as the per-nucleus Euclidean distance to the within-group centroid in a low-coefficient-of-variation (low-CV) gene space (see Methods). Box plots show the distribution of heterogeneity values for Control (dark) and Skm-KO (light) nuclei in each cell type. Cliff’s delta (</w:t>
      </w:r>
      <m:oMath>
        <m:r>
          <m:t>δ</m:t>
        </m:r>
      </m:oMath>
      <w:r>
        <w:t xml:space="preserve">) is annotated above each pair as a non-parametric, scale-free effect size for the Control vs. Skm-KO contrast;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indicates higher heterogeneity in Control.</w:t>
      </w:r>
    </w:p>
    <w:p>
      <w:pPr>
        <w:pStyle w:val="BodyText"/>
      </w:pPr>
      <w:r>
        <w:rPr>
          <w:b/>
          <w:bCs/>
        </w:rPr>
        <w:t xml:space="preserve">(E)</w:t>
      </w:r>
      <w:r>
        <w:t xml:space="preserve"> </w:t>
      </w:r>
      <w:r>
        <w:t xml:space="preserve">Alluvial diagram linking sex (Male, Female) on the bottom axis to type 2 myofiber identity (Fast IIA, Fast IIX, Fast IIB) on the top axis. Ribbon widths are proportional to nucleus counts. The diagram highlights the well-known male bias toward Fast IIB and the female bias toward Fast IIX in mouse TA muscle and was used to motivate the sex-stratified analysis in panels F–G.</w:t>
      </w:r>
    </w:p>
    <w:p>
      <w:pPr>
        <w:pStyle w:val="BodyText"/>
      </w:pPr>
      <w:r>
        <w:rPr>
          <w:b/>
          <w:bCs/>
        </w:rPr>
        <w:t xml:space="preserve">(F)</w:t>
      </w:r>
      <w:r>
        <w:t xml:space="preserve"> </w:t>
      </w:r>
      <w:r>
        <w:t xml:space="preserve">UMAP of the type 2 myofiber compartment alone (Fast IIA, Fast IIX, Fast IIB; outlier removed at UMAP</w:t>
      </w:r>
      <m:oMath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4.75</m:t>
        </m:r>
      </m:oMath>
      <w:r>
        <w:t xml:space="preserve">), recomputed on the same scANVI latent space as in panel A. Cells are colored, from left to right, by myofiber type, by sex (M, F), and by genotype (Control, Skm-KO).</w:t>
      </w:r>
    </w:p>
    <w:p>
      <w:pPr>
        <w:pStyle w:val="BodyText"/>
      </w:pPr>
      <w:r>
        <w:rPr>
          <w:b/>
          <w:bCs/>
        </w:rPr>
        <w:t xml:space="preserve">(G)</w:t>
      </w:r>
      <w:r>
        <w:t xml:space="preserve"> </w:t>
      </w:r>
      <w:r>
        <w:t xml:space="preserve">Activity of two functional gene programs in the Fast IIB compartment, stratified by sex (male, blue; female, pink) and genotype (Control vs. Skm-KO). Left, AUCell scores for the</w:t>
      </w:r>
      <w:r>
        <w:t xml:space="preserve"> </w:t>
      </w:r>
      <w:r>
        <w:rPr>
          <w:rStyle w:val="VerbatimChar"/>
        </w:rPr>
        <w:t xml:space="preserve">GOBP_DNA_REPAIR</w:t>
      </w:r>
      <w:r>
        <w:t xml:space="preserve"> </w:t>
      </w:r>
      <w:r>
        <w:t xml:space="preserve">gene set (MSigDB C5; mouse orthologs). Right, an atrophy-program score computed from a curated skeletal-muscle atrophy gene list. Within each sex, Cliff’s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 Control vs. Skm-KO contrast is annotated above the panel (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higher in Skm-KO;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, higher in Control); three asterisks denote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by two-sided Mann–Whitney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test. DNA-repair activity is lower in female Skm-KO Fast IIB nuclei while atrophy activity is concomitantly higher in females, consistent with a sexually dimorphic genotoxic-stress response in the Skm-KO muscle.</w:t>
      </w:r>
    </w:p>
    <w:bookmarkEnd w:id="9"/>
    <w:bookmarkStart w:id="23" w:name="methods"/>
    <w:p>
      <w:pPr>
        <w:pStyle w:val="Heading1"/>
      </w:pPr>
      <w:r>
        <w:t xml:space="preserve">Methods</w:t>
      </w:r>
    </w:p>
    <w:bookmarkStart w:id="10" w:name="animals-and-tissue-collection"/>
    <w:p>
      <w:pPr>
        <w:pStyle w:val="Heading2"/>
      </w:pPr>
      <w:r>
        <w:t xml:space="preserve">Animals and tissue collection</w:t>
      </w:r>
    </w:p>
    <w:p>
      <w:pPr>
        <w:pStyle w:val="FirstParagraph"/>
      </w:pPr>
      <w:r>
        <w:t xml:space="preserve">All animal procedures were approved by the Institutional Animal Care and Use Committee. Skeletal-muscle-specific ERCC1 knockout mice (Skm-KO) and Control littermates of both sexes were euthanized at matched age. The tibialis anterior (TA) muscle was rapidly dissected, snap-frozen in liquid-nitrogen-cooled isopentane, and stored at</w:t>
      </w:r>
      <w:r>
        <w:t xml:space="preserve"> </w:t>
      </w:r>
      <m:oMath>
        <m:r>
          <m:rPr>
            <m:sty m:val="p"/>
          </m:rPr>
          <m:t>−</m:t>
        </m:r>
        <m:r>
          <m:t>80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until nuclear isolation. Twelve TA samples were processed in total (three biological replicates per genotype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sex group).</w:t>
      </w:r>
    </w:p>
    <w:bookmarkEnd w:id="10"/>
    <w:bookmarkStart w:id="11" w:name="single-nucleus-rna-sequencing"/>
    <w:p>
      <w:pPr>
        <w:pStyle w:val="Heading2"/>
      </w:pPr>
      <w:r>
        <w:t xml:space="preserve">Single-nucleus RNA-sequencing</w:t>
      </w:r>
    </w:p>
    <w:p>
      <w:pPr>
        <w:pStyle w:val="FirstParagraph"/>
      </w:pPr>
      <w:r>
        <w:t xml:space="preserve">Nuclei were isolated from frozen TA tissue and loaded onto the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Genomics Chromium platform. Reads were aligned to the mouse reference transcriptome (</w:t>
      </w:r>
      <w:r>
        <w:rPr>
          <w:rStyle w:val="VerbatimChar"/>
        </w:rPr>
        <w:t xml:space="preserve">mm10</w:t>
      </w:r>
      <w:r>
        <w:t xml:space="preserve">) and quantified with Cell Ranger, following the workflow under</w:t>
      </w:r>
      <w:r>
        <w:t xml:space="preserve"> </w:t>
      </w:r>
      <w:r>
        <w:rPr>
          <w:rStyle w:val="VerbatimChar"/>
        </w:rPr>
        <w:t xml:space="preserve">bash_scripts/</w:t>
      </w:r>
      <w:r>
        <w:t xml:space="preserve"> </w:t>
      </w:r>
      <w:r>
        <w:t xml:space="preserve">of the accompanying repository. Per-droplet ambient RNA contamination was estimated and removed with</w:t>
      </w:r>
      <w:r>
        <w:t xml:space="preserve"> </w:t>
      </w:r>
      <w:r>
        <w:rPr>
          <w:rStyle w:val="VerbatimChar"/>
        </w:rPr>
        <w:t xml:space="preserve">cellbender remove-background</w:t>
      </w:r>
      <w:r>
        <w:t xml:space="preserve">; downstream analyses use the cellbender-corrected count matrix as the primary expression layer.</w:t>
      </w:r>
    </w:p>
    <w:bookmarkEnd w:id="11"/>
    <w:bookmarkStart w:id="12" w:name="X7b3f6d744bfd9da9bd8c0b13f26b875b3ad73f7"/>
    <w:p>
      <w:pPr>
        <w:pStyle w:val="Heading2"/>
      </w:pPr>
      <w:r>
        <w:t xml:space="preserve">Quality control, doublet removal, and normalization</w:t>
      </w:r>
    </w:p>
    <w:p>
      <w:pPr>
        <w:pStyle w:val="FirstParagraph"/>
      </w:pPr>
      <w:r>
        <w:t xml:space="preserve">Per-cell QC, doublet calling and pre-processing are implemented in</w:t>
      </w:r>
      <w:r>
        <w:t xml:space="preserve"> </w:t>
      </w:r>
      <w:r>
        <w:rPr>
          <w:rStyle w:val="VerbatimChar"/>
        </w:rPr>
        <w:t xml:space="preserve">py_scripts/1_preproc/ref_preproc.ipynb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query_preproc.ipynb</w:t>
      </w:r>
      <w:r>
        <w:t xml:space="preserve">. Nuclei were retained if (i) the cellbender posterior cell-probability exceeded</w:t>
      </w:r>
      <w:r>
        <w:t xml:space="preserve"> </w:t>
      </w:r>
      <m:oMath>
        <m:r>
          <m:t>0.99</m:t>
        </m:r>
      </m:oMath>
      <w:r>
        <w:t xml:space="preserve"> </w:t>
      </w:r>
      <w:r>
        <w:t xml:space="preserve">and (ii) at least 200 genes were detected. Putative doublets were identified per sample with Scrublet and discarded. Mitochondrial, ribosomal (</w:t>
      </w:r>
      <w:r>
        <w:rPr>
          <w:rStyle w:val="VerbatimChar"/>
        </w:rPr>
        <w:t xml:space="preserve">Rp[sl]*</w:t>
      </w:r>
      <w:r>
        <w:t xml:space="preserve">) and hemoglobin genes were excluded from the variable-gene pool. Counts were normalized per cell to a target sum of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and log1p-transformed (</w:t>
      </w:r>
      <w:r>
        <w:rPr>
          <w:rStyle w:val="VerbatimChar"/>
        </w:rPr>
        <w:t xml:space="preserve">scanpy.pp.normalize_total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scanpy.pp.log1p</w:t>
      </w:r>
      <w:r>
        <w:t xml:space="preserve">). 3</w:t>
      </w:r>
      <w:r>
        <w:t xml:space="preserve">,</w:t>
      </w:r>
      <w:r>
        <w:t xml:space="preserve">000 highly variable genes were selected with the Seurat v3 flavor (</w:t>
      </w:r>
      <w:r>
        <w:rPr>
          <w:rStyle w:val="VerbatimChar"/>
        </w:rPr>
        <w:t xml:space="preserve">flavor="seurat_v3"</w:t>
      </w:r>
      <w:r>
        <w:t xml:space="preserve">) in a batch-aware fashion across the two cohorts (</w:t>
      </w:r>
      <w:r>
        <w:rPr>
          <w:rStyle w:val="VerbatimChar"/>
        </w:rPr>
        <w:t xml:space="preserve">batch_key="batch"</w:t>
      </w:r>
      <w:r>
        <w:t xml:space="preserve">).</w:t>
      </w:r>
    </w:p>
    <w:bookmarkEnd w:id="12"/>
    <w:bookmarkStart w:id="13" w:name="cross-cohort-integration-with-scviscanvi"/>
    <w:p>
      <w:pPr>
        <w:pStyle w:val="Heading2"/>
      </w:pPr>
      <w:r>
        <w:t xml:space="preserve">Cross-cohort integration with scVI/scANVI</w:t>
      </w:r>
    </w:p>
    <w:p>
      <w:pPr>
        <w:pStyle w:val="FirstParagraph"/>
      </w:pPr>
      <w:r>
        <w:t xml:space="preserve">The Skm-KO cohort (50</w:t>
      </w:r>
      <w:r>
        <w:t xml:space="preserve">,</w:t>
      </w:r>
      <w:r>
        <w:t xml:space="preserve">394 nuclei) and the aging-reference cohort (37</w:t>
      </w:r>
      <w:r>
        <w:t xml:space="preserve">,</w:t>
      </w:r>
      <w:r>
        <w:t xml:space="preserve">522 nuclei) were intersected on their common gene space (</w:t>
      </w:r>
      <m:oMath>
        <m:r>
          <m:rPr>
            <m:sty m:val="p"/>
          </m:rPr>
          <m:t>∼</m:t>
        </m:r>
      </m:oMath>
      <w:r>
        <w:t xml:space="preserve">20</w:t>
      </w:r>
      <w:r>
        <w:t xml:space="preserve">,</w:t>
      </w:r>
      <w:r>
        <w:t xml:space="preserve">500 genes) and integrated using</w:t>
      </w:r>
      <w:r>
        <w:t xml:space="preserve"> </w:t>
      </w:r>
      <w:r>
        <w:rPr>
          <w:rStyle w:val="VerbatimChar"/>
        </w:rPr>
        <w:t xml:space="preserve">scvi-tools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v1.4.0</w:t>
      </w:r>
      <w:r>
        <w:t xml:space="preserve">). A scVI model was trained on the cellbender counts of the HVG matrix with</w:t>
      </w:r>
      <w:r>
        <w:t xml:space="preserve"> </w:t>
      </w:r>
      <w:r>
        <w:rPr>
          <w:rStyle w:val="VerbatimChar"/>
        </w:rPr>
        <w:t xml:space="preserve">n_layers</w:t>
      </w:r>
      <m:oMath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n_latent</w:t>
      </w:r>
      <m:oMath>
        <m:r>
          <m:rPr>
            <m:sty m:val="p"/>
          </m:rPr>
          <m:t>=</m:t>
        </m:r>
        <m:r>
          <m:t>32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n_hidden</w:t>
      </w:r>
      <m:oMath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for 91 epochs, conditioning on the cohort batch. A scANVI label-transfer model was then initialized from the trained scVI weights and fine-tuned for 20 additional epochs with</w:t>
      </w:r>
      <w:r>
        <w:t xml:space="preserve"> </w:t>
      </w:r>
      <w:r>
        <w:rPr>
          <w:rStyle w:val="VerbatimChar"/>
        </w:rPr>
        <w:t xml:space="preserve">n_samples_per_label</w:t>
      </w:r>
      <m:oMath>
        <m:r>
          <m:rPr>
            <m:sty m:val="p"/>
          </m:rPr>
          <m:t>=</m:t>
        </m:r>
        <m:r>
          <m:t>100</m:t>
        </m:r>
      </m:oMath>
      <w:r>
        <w:t xml:space="preserve">, propagating reference-cohort cell-type labels to the query cohort. A nearest-neighbor graph was constructed on the resulting scANVI latent space (</w:t>
      </w:r>
      <w:r>
        <w:rPr>
          <w:rStyle w:val="VerbatimChar"/>
        </w:rPr>
        <w:t xml:space="preserve">X_scANVI</w:t>
      </w:r>
      <w:r>
        <w:t xml:space="preserve">) and embedded in 2D with UMAP (</w:t>
      </w:r>
      <w:r>
        <w:rPr>
          <w:rStyle w:val="VerbatimChar"/>
        </w:rPr>
        <w:t xml:space="preserve">min_dist</w:t>
      </w:r>
      <m:oMath>
        <m:r>
          <m:rPr>
            <m:sty m:val="p"/>
          </m:rPr>
          <m:t>=</m:t>
        </m:r>
        <m:r>
          <m:t>0.3</m:t>
        </m:r>
      </m:oMath>
      <w:r>
        <w:t xml:space="preserve">).</w:t>
      </w:r>
    </w:p>
    <w:bookmarkEnd w:id="13"/>
    <w:bookmarkStart w:id="14" w:name="cell-type-annotation"/>
    <w:p>
      <w:pPr>
        <w:pStyle w:val="Heading2"/>
      </w:pPr>
      <w:r>
        <w:t xml:space="preserve">Cell-type annotation</w:t>
      </w:r>
    </w:p>
    <w:p>
      <w:pPr>
        <w:pStyle w:val="FirstParagraph"/>
      </w:pPr>
      <w:r>
        <w:t xml:space="preserve">Initial annotations were inherited from the reference cohort via scANVI and refined by inspection of canonical markers (Fig. 1C). Fast-twitch myofibers were sub-classified by their dominant adult myosin-heavy-chain transcript:</w:t>
      </w:r>
      <w:r>
        <w:t xml:space="preserve"> </w:t>
      </w:r>
      <w:r>
        <w:rPr>
          <w:i/>
          <w:iCs/>
        </w:rPr>
        <w:t xml:space="preserve">Myh2</w:t>
      </w:r>
      <w:r>
        <w:t xml:space="preserve"> </w:t>
      </w:r>
      <m:oMath>
        <m:r>
          <m:rPr>
            <m:sty m:val="p"/>
          </m:rPr>
          <m:t>→</m:t>
        </m:r>
      </m:oMath>
      <w:r>
        <w:t xml:space="preserve"> Fast IIA,</w:t>
      </w:r>
      <w:r>
        <w:t xml:space="preserve"> </w:t>
      </w:r>
      <w:r>
        <w:rPr>
          <w:i/>
          <w:iCs/>
        </w:rPr>
        <w:t xml:space="preserve">Myh1</w:t>
      </w:r>
      <w:r>
        <w:t xml:space="preserve"> </w:t>
      </w:r>
      <m:oMath>
        <m:r>
          <m:rPr>
            <m:sty m:val="p"/>
          </m:rPr>
          <m:t>→</m:t>
        </m:r>
      </m:oMath>
      <w:r>
        <w:t xml:space="preserve"> Fast IIX,</w:t>
      </w:r>
      <w:r>
        <w:t xml:space="preserve"> </w:t>
      </w:r>
      <w:r>
        <w:rPr>
          <w:i/>
          <w:iCs/>
        </w:rPr>
        <w:t xml:space="preserve">Myh4</w:t>
      </w:r>
      <w:r>
        <w:t xml:space="preserve"> </w:t>
      </w:r>
      <m:oMath>
        <m:r>
          <m:rPr>
            <m:sty m:val="p"/>
          </m:rPr>
          <m:t>→</m:t>
        </m:r>
      </m:oMath>
      <w:r>
        <w:t xml:space="preserve"> Fast IIB, with a corresponding MTJ sub-state (MTJ-IIA / MTJ-IIX / MTJ-IIB) called on nuclei expressing the myotendinous-junction module (</w:t>
      </w:r>
      <w:r>
        <w:rPr>
          <w:i/>
          <w:iCs/>
        </w:rPr>
        <w:t xml:space="preserve">Col22a1</w:t>
      </w:r>
      <w:r>
        <w:t xml:space="preserve">,</w:t>
      </w:r>
      <w:r>
        <w:t xml:space="preserve"> </w:t>
      </w:r>
      <w:r>
        <w:rPr>
          <w:i/>
          <w:iCs/>
        </w:rPr>
        <w:t xml:space="preserve">Ankrd1</w:t>
      </w:r>
      <w:r>
        <w:t xml:space="preserve">,</w:t>
      </w:r>
      <w:r>
        <w:t xml:space="preserve"> </w:t>
      </w:r>
      <w:r>
        <w:rPr>
          <w:i/>
          <w:iCs/>
        </w:rPr>
        <w:t xml:space="preserve">Csrp3</w:t>
      </w:r>
      <w:r>
        <w:t xml:space="preserve">) alongside the same myosin call. Refined labels are stored in</w:t>
      </w:r>
      <w:r>
        <w:t xml:space="preserve"> </w:t>
      </w:r>
      <w:r>
        <w:rPr>
          <w:rStyle w:val="VerbatimChar"/>
        </w:rPr>
        <w:t xml:space="preserve">adata.obs["re_annot"]</w:t>
      </w:r>
      <w:r>
        <w:t xml:space="preserve">.</w:t>
      </w:r>
    </w:p>
    <w:bookmarkEnd w:id="14"/>
    <w:bookmarkStart w:id="15" w:name="composition-analysis-panel-b"/>
    <w:p>
      <w:pPr>
        <w:pStyle w:val="Heading2"/>
      </w:pPr>
      <w:r>
        <w:t xml:space="preserve">Composition analysis (Panel B)</w:t>
      </w:r>
    </w:p>
    <w:p>
      <w:pPr>
        <w:pStyle w:val="FirstParagraph"/>
      </w:pPr>
      <w:r>
        <w:t xml:space="preserve">Per-genotype composition was computed as the column-normalized cross-tabulation of</w:t>
      </w:r>
      <w:r>
        <w:t xml:space="preserve"> </w:t>
      </w:r>
      <w:r>
        <w:rPr>
          <w:rStyle w:val="VerbatimChar"/>
        </w:rPr>
        <w:t xml:space="preserve">adata.obs["re_annot"]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adata.obs["condition"]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Skm-KO</w:t>
      </w:r>
      <w:r>
        <w:t xml:space="preserve">) on the post-QC, post-integration object, and rendered as a sortable two-column percentage table (see</w:t>
      </w:r>
      <w:r>
        <w:t xml:space="preserve"> </w:t>
      </w:r>
      <w:r>
        <w:rPr>
          <w:rStyle w:val="VerbatimChar"/>
        </w:rPr>
        <w:t xml:space="preserve">py_scripts/2_single_nuc_inspection/snRNA_related.ipynb</w:t>
      </w:r>
      <w:r>
        <w:t xml:space="preserve">).</w:t>
      </w:r>
    </w:p>
    <w:bookmarkEnd w:id="15"/>
    <w:bookmarkStart w:id="16" w:name="marker-dot-plot-panel-c"/>
    <w:p>
      <w:pPr>
        <w:pStyle w:val="Heading2"/>
      </w:pPr>
      <w:r>
        <w:t xml:space="preserve">Marker dot plot (Panel C)</w:t>
      </w:r>
    </w:p>
    <w:p>
      <w:pPr>
        <w:pStyle w:val="FirstParagraph"/>
      </w:pPr>
      <w:r>
        <w:t xml:space="preserve">For visualization, expression was drawn from the log1p-normalized cellbender layer of the full 3</w:t>
      </w:r>
      <w:r>
        <w:t xml:space="preserve">,</w:t>
      </w:r>
      <w:r>
        <w:t xml:space="preserve">000-HVG matrix (</w:t>
      </w:r>
      <w:r>
        <w:rPr>
          <w:rStyle w:val="VerbatimChar"/>
        </w:rPr>
        <w:t xml:space="preserve">adata_full</w:t>
      </w:r>
      <w:r>
        <w:t xml:space="preserve">) and rendered with</w:t>
      </w:r>
      <w:r>
        <w:t xml:space="preserve"> </w:t>
      </w:r>
      <w:r>
        <w:rPr>
          <w:rStyle w:val="VerbatimChar"/>
        </w:rPr>
        <w:t xml:space="preserve">scanpy.pl.dotplot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standard_scale="var"</w:t>
      </w:r>
      <w:r>
        <w:t xml:space="preserve"> </w:t>
      </w:r>
      <w:r>
        <w:t xml:space="preserve">(rescaling each gene’s mean expression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), the</w:t>
      </w:r>
      <w:r>
        <w:t xml:space="preserve"> </w:t>
      </w:r>
      <w:r>
        <w:rPr>
          <w:rStyle w:val="VerbatimChar"/>
        </w:rPr>
        <w:t xml:space="preserve">Reds</w:t>
      </w:r>
      <w:r>
        <w:t xml:space="preserve"> </w:t>
      </w:r>
      <w:r>
        <w:t xml:space="preserve">color map, and</w:t>
      </w:r>
      <w:r>
        <w:t xml:space="preserve"> </w:t>
      </w:r>
      <w:r>
        <w:rPr>
          <w:rStyle w:val="VerbatimChar"/>
        </w:rPr>
        <w:t xml:space="preserve">swap_axes=True</w:t>
      </w:r>
      <w:r>
        <w:t xml:space="preserve">.</w:t>
      </w:r>
    </w:p>
    <w:bookmarkEnd w:id="16"/>
    <w:bookmarkStart w:id="17" w:name="transcriptional-heterogeneity-panel-d"/>
    <w:p>
      <w:pPr>
        <w:pStyle w:val="Heading2"/>
      </w:pPr>
      <w:r>
        <w:t xml:space="preserve">Transcriptional heterogeneity (Panel D)</w:t>
      </w:r>
    </w:p>
    <w:p>
      <w:pPr>
        <w:pStyle w:val="FirstParagraph"/>
      </w:pPr>
      <w:r>
        <w:t xml:space="preserve">Per-cell-type transcriptional heterogeneity was quantified using the</w:t>
      </w:r>
      <w:r>
        <w:t xml:space="preserve"> </w:t>
      </w:r>
      <w:r>
        <w:rPr>
          <w:rStyle w:val="VerbatimChar"/>
        </w:rPr>
        <w:t xml:space="preserve">calculate_noise_one_celltype</w:t>
      </w:r>
      <w:r>
        <w:t xml:space="preserve"> </w:t>
      </w:r>
      <w:r>
        <w:t xml:space="preserve">routine in</w:t>
      </w:r>
      <w:r>
        <w:t xml:space="preserve"> </w:t>
      </w:r>
      <w:r>
        <w:rPr>
          <w:rStyle w:val="VerbatimChar"/>
        </w:rPr>
        <w:t xml:space="preserve">py_scripts/pygenelab/transcriptional_noise.py</w:t>
      </w:r>
      <w:r>
        <w:t xml:space="preserve">, with the following procedure. For each cell type, equal-sized Control and Skm-KO populations were drawn without replacement up to a cap of 500 nuclei per condition (</w:t>
      </w:r>
      <w:r>
        <w:rPr>
          <w:rStyle w:val="VerbatimChar"/>
        </w:rPr>
        <w:t xml:space="preserve">max_cells=500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min_cells=10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random_state=1</w:t>
      </w:r>
      <w:r>
        <w:t xml:space="preserve">); cell types with fewer than 10 nuclei in either condition were skipped. A low-CV (</w:t>
      </w:r>
      <w:r>
        <w:t xml:space="preserve">“invariant”</w:t>
      </w:r>
      <w:r>
        <w:t xml:space="preserve">) gene panel was selected within the sampled cells by binning genes into deciles of mean expression (</w:t>
      </w:r>
      <w:r>
        <w:rPr>
          <w:rStyle w:val="VerbatimChar"/>
        </w:rPr>
        <w:t xml:space="preserve">n_bins=10</w:t>
      </w:r>
      <w:r>
        <w:t xml:space="preserve">) and retaining the lowest-CV 10% of genes within each bin (</w:t>
      </w:r>
      <w:r>
        <w:rPr>
          <w:rStyle w:val="VerbatimChar"/>
        </w:rPr>
        <w:t xml:space="preserve">bottom_frac=0.10</w:t>
      </w:r>
      <w:r>
        <w:t xml:space="preserve">). For each condition, a centroid expression vector was computed in this low-CV gene space, and the per-nucleus transcriptional heterogeneity was defined as the Euclidean distance from each nucleus to its own condition’s centroid. The two heterogeneity distributions were compared with a two-sided Mann–Whitney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test (</w:t>
      </w:r>
      <w:r>
        <w:rPr>
          <w:rStyle w:val="VerbatimChar"/>
        </w:rPr>
        <w:t xml:space="preserve">test="mannwhitneyu"</w:t>
      </w:r>
      <w:r>
        <w:t xml:space="preserve">), and effect size was reported as Cliff’s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pygenelab.utils.cliffs_delta</w:t>
      </w:r>
      <w:r>
        <w:t xml:space="preserve">);</w:t>
      </w:r>
      <w: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indicates higher heterogeneity in Control.</w:t>
      </w:r>
      <w:r>
        <w:t xml:space="preserve"> </w:t>
      </w:r>
      <m:oMath>
        <m:r>
          <m:t>p</m:t>
        </m:r>
      </m:oMath>
      <w:r>
        <w:t xml:space="preserve">-values were corrected across cell types by the Benjamini–Hochberg procedure (FDR). Box plots overlay Control (dark) and Skm-KO (light) distributions with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annotated above each pair.</w:t>
      </w:r>
    </w:p>
    <w:bookmarkEnd w:id="17"/>
    <w:bookmarkStart w:id="18" w:name="type-2-myofiber-stratification-panels-ef"/>
    <w:p>
      <w:pPr>
        <w:pStyle w:val="Heading2"/>
      </w:pPr>
      <w:r>
        <w:t xml:space="preserve">Type 2 myofiber stratification (Panels E–F)</w:t>
      </w:r>
    </w:p>
    <w:p>
      <w:pPr>
        <w:pStyle w:val="FirstParagraph"/>
      </w:pPr>
      <w:r>
        <w:t xml:space="preserve">Cells annotated as Fast IIA, Fast IIX or Fast IIB in</w:t>
      </w:r>
      <w:r>
        <w:t xml:space="preserve"> </w:t>
      </w:r>
      <w:r>
        <w:rPr>
          <w:rStyle w:val="VerbatimChar"/>
        </w:rPr>
        <w:t xml:space="preserve">adata.obs["re_annot"]</w:t>
      </w:r>
      <w:r>
        <w:t xml:space="preserve"> </w:t>
      </w:r>
      <w:r>
        <w:t xml:space="preserve">were extracted (68</w:t>
      </w:r>
      <w:r>
        <w:t xml:space="preserve">,</w:t>
      </w:r>
      <w:r>
        <w:t xml:space="preserve">495 nuclei). Outliers at</w:t>
      </w:r>
      <w:r>
        <w:t xml:space="preserve"> </w:t>
      </w:r>
      <w:r>
        <w:rPr>
          <w:rStyle w:val="VerbatimChar"/>
        </w:rPr>
        <w:t xml:space="preserve">UMAP_1</w:t>
      </w:r>
      <m:oMath>
        <m:r>
          <m:rPr>
            <m:sty m:val="p"/>
          </m:rPr>
          <m:t>&lt;</m:t>
        </m:r>
        <m:r>
          <m:t>4.75</m:t>
        </m:r>
      </m:oMath>
      <w:r>
        <w:t xml:space="preserve"> </w:t>
      </w:r>
      <w:r>
        <w:t xml:space="preserve">were removed and the remaining nuclei were re-plotted on the integrated UMAP from panel A. Sex (Male, Female) was inferred from sample metadata and stored in</w:t>
      </w:r>
      <w:r>
        <w:t xml:space="preserve"> </w:t>
      </w:r>
      <w:r>
        <w:rPr>
          <w:rStyle w:val="VerbatimChar"/>
        </w:rPr>
        <w:t xml:space="preserve">adata.obs["sex"]</w:t>
      </w:r>
      <w:r>
        <w:t xml:space="preserve">. Panel E was rendered with a custom Sankey/alluvial routine (</w:t>
      </w:r>
      <w:r>
        <w:rPr>
          <w:rStyle w:val="VerbatimChar"/>
        </w:rPr>
        <w:t xml:space="preserve">pygenelab.plot_sankey</w:t>
      </w:r>
      <w:r>
        <w:t xml:space="preserve">) using the same color palette as in panel A; panel F shows the type-2-myofiber subset colored by myofiber type, sex and genotype on a shared UMAP coordinate system.</w:t>
      </w:r>
    </w:p>
    <w:bookmarkEnd w:id="18"/>
    <w:bookmarkStart w:id="19" w:name="gene-set-activity-scoring-panel-g"/>
    <w:p>
      <w:pPr>
        <w:pStyle w:val="Heading2"/>
      </w:pPr>
      <w:r>
        <w:t xml:space="preserve">Gene-set activity scoring (Panel G)</w:t>
      </w:r>
    </w:p>
    <w:p>
      <w:pPr>
        <w:pStyle w:val="FirstParagraph"/>
      </w:pPr>
      <w:r>
        <w:t xml:space="preserve">Pathway-level scoring was performed with the</w:t>
      </w:r>
      <w:r>
        <w:t xml:space="preserve"> </w:t>
      </w:r>
      <w:r>
        <w:rPr>
          <w:rStyle w:val="VerbatimChar"/>
        </w:rPr>
        <w:t xml:space="preserve">geneset_activity</w:t>
      </w:r>
      <w:r>
        <w:t xml:space="preserve"> </w:t>
      </w:r>
      <w:r>
        <w:t xml:space="preserve">pipeline in</w:t>
      </w:r>
      <w:r>
        <w:t xml:space="preserve"> </w:t>
      </w:r>
      <w:r>
        <w:rPr>
          <w:rStyle w:val="VerbatimChar"/>
        </w:rPr>
        <w:t xml:space="preserve">py_scripts/pygenelab/geneset_activity.py</w:t>
      </w:r>
      <w:r>
        <w:t xml:space="preserve">. For each gene set, a decoupler-format</w:t>
      </w:r>
      <w:r>
        <w:t xml:space="preserve"> </w:t>
      </w:r>
      <w:r>
        <w:rPr>
          <w:rStyle w:val="VerbatimChar"/>
        </w:rPr>
        <w:t xml:space="preserve">(source, target)</w:t>
      </w:r>
      <w:r>
        <w:t xml:space="preserve"> </w:t>
      </w:r>
      <w:r>
        <w:t xml:space="preserve">table was built from the corresponding MSigDB</w:t>
      </w:r>
      <w:r>
        <w:t xml:space="preserve"> </w:t>
      </w:r>
      <w:r>
        <w:rPr>
          <w:rStyle w:val="VerbatimChar"/>
        </w:rPr>
        <w:t xml:space="preserve">.gmt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convert_gmt_to_decoupler_format</w:t>
      </w:r>
      <w:r>
        <w:t xml:space="preserve">, mouse-case symbols) and gene-symbol overlap with</w:t>
      </w:r>
      <w:r>
        <w:t xml:space="preserve"> </w:t>
      </w:r>
      <w:r>
        <w:rPr>
          <w:rStyle w:val="VerbatimChar"/>
        </w:rPr>
        <w:t xml:space="preserve">adata.var_names</w:t>
      </w:r>
      <w:r>
        <w:t xml:space="preserve"> </w:t>
      </w:r>
      <w:r>
        <w:t xml:space="preserve">was reported (</w:t>
      </w:r>
      <w:r>
        <w:rPr>
          <w:rStyle w:val="VerbatimChar"/>
        </w:rPr>
        <w:t xml:space="preserve">report_geneset_overlap</w:t>
      </w:r>
      <w:r>
        <w:t xml:space="preserve">). Per-nucleus enrichment scores were then computed with</w:t>
      </w:r>
      <w:r>
        <w:t xml:space="preserve"> </w:t>
      </w:r>
      <w:r>
        <w:rPr>
          <w:rStyle w:val="VerbatimChar"/>
        </w:rPr>
        <w:t xml:space="preserve">decoupler.mt.aucell</w:t>
      </w:r>
      <w:r>
        <w:t xml:space="preserve"> </w:t>
      </w:r>
      <w:r>
        <w:t xml:space="preserve">(AUCell, Aibar et al., 2017) and copied to</w:t>
      </w:r>
      <w:r>
        <w:t xml:space="preserve"> </w:t>
      </w:r>
      <w:r>
        <w:rPr>
          <w:rStyle w:val="VerbatimChar"/>
        </w:rPr>
        <w:t xml:space="preserve">adata.obs</w:t>
      </w:r>
      <w:r>
        <w:t xml:space="preserve"> </w:t>
      </w:r>
      <w:r>
        <w:t xml:space="preserve">as the score column. The DNA-repair program was scored from</w:t>
      </w:r>
      <w:r>
        <w:t xml:space="preserve"> </w:t>
      </w:r>
      <w:r>
        <w:rPr>
          <w:rStyle w:val="VerbatimChar"/>
        </w:rPr>
        <w:t xml:space="preserve">GOBP_DNA_REPAIR</w:t>
      </w:r>
      <w:r>
        <w:t xml:space="preserve"> </w:t>
      </w:r>
      <w:r>
        <w:t xml:space="preserve">(MSigDB C5, mouse orthologs); the atrophy program was scored from a curated skeletal-muscle atrophy gene set assembled from the literature (provided as a GMT under the project gene-set directory). Scoring was restricted to Fast IIB nuclei (</w:t>
      </w:r>
      <w:r>
        <w:rPr>
          <w:rStyle w:val="VerbatimChar"/>
        </w:rPr>
        <w:t xml:space="preserve">adata.obs["re_annot"]=="Fast IIB"</w:t>
      </w:r>
      <w:r>
        <w:t xml:space="preserve">, 22</w:t>
      </w:r>
      <w:r>
        <w:t xml:space="preserve">,</w:t>
      </w:r>
      <w:r>
        <w:t xml:space="preserve">923 nuclei; Control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915</m:t>
        </m:r>
      </m:oMath>
      <w:r>
        <w:t xml:space="preserve">, Skm-KO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008</m:t>
        </m:r>
      </m:oMath>
      <w:r>
        <w:t xml:space="preserve">) and visualized as violin/box combo plots stratified by sex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genotype using</w:t>
      </w:r>
      <w:r>
        <w:t xml:space="preserve"> </w:t>
      </w:r>
      <w:r>
        <w:rPr>
          <w:rStyle w:val="VerbatimChar"/>
        </w:rPr>
        <w:t xml:space="preserve">plot_violin_box_combo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pygenelab.plotting</w:t>
      </w:r>
      <w:r>
        <w:t xml:space="preserve">. Within each sex, the Control vs. Skm-KO contrast was tested with a two-sided Mann–Whitney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test and quantified with Cliff’s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cliffs_delta_table</w:t>
      </w:r>
      <w:r>
        <w:t xml:space="preserve">;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 significance stars are shown above each panel.</w:t>
      </w:r>
    </w:p>
    <w:bookmarkEnd w:id="19"/>
    <w:bookmarkStart w:id="20" w:name="statistics"/>
    <w:p>
      <w:pPr>
        <w:pStyle w:val="Heading2"/>
      </w:pPr>
      <w:r>
        <w:t xml:space="preserve">Statistics</w:t>
      </w:r>
    </w:p>
    <w:p>
      <w:pPr>
        <w:pStyle w:val="FirstParagraph"/>
      </w:pPr>
      <w:r>
        <w:t xml:space="preserve">All effect sizes between Control and Skm-KO groups are reported as Cliff’s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(range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higher in the first-named group;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, higher in the second). Significance, where shown, is from two-sided Mann–Whitney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tests:</w:t>
      </w:r>
      <w:r>
        <w:t xml:space="preserve"> </w:t>
      </w:r>
      <m:oMath>
        <m:r>
          <m:rPr>
            <m:sty m:val="p"/>
          </m:rPr>
          <m:t>*</m:t>
        </m:r>
        <m:r>
          <m:t> </m:t>
        </m:r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*</m:t>
        </m:r>
        <m:r>
          <m:rPr>
            <m:sty m:val="p"/>
          </m:rPr>
          <m:t>*</m:t>
        </m:r>
        <m:r>
          <m:t> </m:t>
        </m:r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 </m:t>
        </m:r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; ns, not significant. Multi-comparison correction across cell types or pathways uses the Benjamini–Hochberg FDR procedure where stated.</w:t>
      </w:r>
    </w:p>
    <w:bookmarkEnd w:id="20"/>
    <w:bookmarkStart w:id="22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analysis code used to generate the panels of Figure 1 is available in the GitHub repository</w:t>
      </w:r>
      <w:r>
        <w:t xml:space="preserve"> </w:t>
      </w:r>
      <w:hyperlink r:id="rId21">
        <w:r>
          <w:rPr>
            <w:rStyle w:val="Hyperlink"/>
          </w:rPr>
          <w:t xml:space="preserve">https://github.com/sachha-naksha/TA_muscle_ageing</w:t>
        </w:r>
      </w:hyperlink>
      <w:r>
        <w:t xml:space="preserve">. Specifically: integration in</w:t>
      </w:r>
      <w:r>
        <w:t xml:space="preserve"> </w:t>
      </w:r>
      <w:r>
        <w:rPr>
          <w:rStyle w:val="VerbatimChar"/>
        </w:rPr>
        <w:t xml:space="preserve">py_scripts/1_preproc/integration.ipynb</w:t>
      </w:r>
      <w:r>
        <w:t xml:space="preserve">; composition and marker dot plot in</w:t>
      </w:r>
      <w:r>
        <w:t xml:space="preserve"> </w:t>
      </w:r>
      <w:r>
        <w:rPr>
          <w:rStyle w:val="VerbatimChar"/>
        </w:rPr>
        <w:t xml:space="preserve">py_scripts/2_single_nuc_inspection/snRNA_related.ipynb</w:t>
      </w:r>
      <w:r>
        <w:t xml:space="preserve">; transcriptional heterogeneity in</w:t>
      </w:r>
      <w:r>
        <w:t xml:space="preserve"> </w:t>
      </w:r>
      <w:r>
        <w:rPr>
          <w:rStyle w:val="VerbatimChar"/>
        </w:rPr>
        <w:t xml:space="preserve">py_scripts/2_single_nuc_inspection/Transcriptional_Heterogeneity.ipynb</w:t>
      </w:r>
      <w:r>
        <w:t xml:space="preserve">; type 2 myofiber re-clustering and Sankey in</w:t>
      </w:r>
      <w:r>
        <w:t xml:space="preserve"> </w:t>
      </w:r>
      <w:r>
        <w:rPr>
          <w:rStyle w:val="VerbatimChar"/>
        </w:rPr>
        <w:t xml:space="preserve">py_scripts/2_single_nuc_inspection/re_cluster.ipynb</w:t>
      </w:r>
      <w:r>
        <w:t xml:space="preserve">; and gene-set activity scoring in</w:t>
      </w:r>
      <w:r>
        <w:t xml:space="preserve"> </w:t>
      </w:r>
      <w:r>
        <w:rPr>
          <w:rStyle w:val="VerbatimChar"/>
        </w:rPr>
        <w:t xml:space="preserve">py_scripts/3_geneset_scores/geneset_activity.ipynb</w:t>
      </w:r>
      <w:r>
        <w:t xml:space="preserve">. Reusable utilities are packaged under</w:t>
      </w:r>
      <w:r>
        <w:t xml:space="preserve"> </w:t>
      </w:r>
      <w:r>
        <w:rPr>
          <w:rStyle w:val="VerbatimChar"/>
        </w:rPr>
        <w:t xml:space="preserve">py_scripts/pygenelab/</w:t>
      </w:r>
      <w:r>
        <w:t xml:space="preserve">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github.com/sachha-naksha/TA_muscle_age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sachha-naksha/TA_muscle_age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2026-05-22T16:14:40Z</dcterms:created>
  <dcterms:modified xsi:type="dcterms:W3CDTF">2026-05-22T16:14:40Z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