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8515C4" w:rsidP="008515C4" w:rsidRDefault="008515C4" w14:paraId="19625988" w14:textId="77777777">
      <w:pPr>
        <w:shd w:val="clear" w:color="auto" w:fill="FFFFFF"/>
        <w:spacing w:line="240" w:lineRule="auto"/>
        <w:jc w:val="both"/>
        <w:rPr>
          <w:rFonts w:ascii="Calibri" w:hAnsi="Calibri" w:eastAsia="Times New Roman" w:cs="Calibri"/>
          <w:b/>
          <w:bCs/>
          <w:color w:val="000000" w:themeColor="text1"/>
          <w:sz w:val="24"/>
          <w:szCs w:val="24"/>
          <w:lang w:val="en-US"/>
        </w:rPr>
      </w:pPr>
      <w:proofErr w:type="spellStart"/>
      <w:r w:rsidRPr="009658C3">
        <w:rPr>
          <w:rFonts w:ascii="Calibri" w:hAnsi="Calibri" w:eastAsia="Times New Roman" w:cs="Calibri"/>
          <w:b/>
          <w:bCs/>
          <w:color w:val="000000" w:themeColor="text1"/>
          <w:sz w:val="24"/>
          <w:szCs w:val="24"/>
          <w:lang w:val="en-US"/>
        </w:rPr>
        <w:t>FIREFate</w:t>
      </w:r>
      <w:proofErr w:type="spellEnd"/>
      <w:r w:rsidRPr="009658C3">
        <w:rPr>
          <w:rFonts w:ascii="Calibri" w:hAnsi="Calibri" w:eastAsia="Times New Roman" w:cs="Calibri"/>
          <w:b/>
          <w:bCs/>
          <w:color w:val="000000" w:themeColor="text1"/>
          <w:sz w:val="24"/>
          <w:szCs w:val="24"/>
          <w:lang w:val="en-US"/>
        </w:rPr>
        <w:t>: Functional and Interpretable Regulatory Encoding of Fate determination</w:t>
      </w:r>
    </w:p>
    <w:p w:rsidRPr="009658C3" w:rsidR="008515C4" w:rsidP="008515C4" w:rsidRDefault="008515C4" w14:paraId="6D116F93" w14:textId="77777777">
      <w:pPr>
        <w:shd w:val="clear" w:color="auto" w:fill="FFFFFF"/>
        <w:spacing w:line="240" w:lineRule="auto"/>
        <w:jc w:val="both"/>
        <w:rPr>
          <w:rFonts w:ascii="Calibri" w:hAnsi="Calibri" w:eastAsia="Times New Roman" w:cs="Calibri"/>
          <w:color w:val="000000" w:themeColor="text1"/>
          <w:lang w:val="en-US"/>
        </w:rPr>
      </w:pPr>
    </w:p>
    <w:p w:rsidRPr="00FB0275" w:rsidR="008515C4" w:rsidP="008515C4" w:rsidRDefault="008515C4" w14:paraId="50F24AF2" w14:textId="3793FC57">
      <w:pPr>
        <w:jc w:val="both"/>
      </w:pPr>
      <w:r w:rsidRPr="00FB0275">
        <w:rPr>
          <w:rFonts w:ascii="Calibri" w:hAnsi="Calibri" w:cs="Calibri"/>
        </w:rPr>
        <w:t>Cell fate determination governs how cells acquire, maintain, or change their identities, coordinating proliferation, differentiation, and functional specialization across tissues. This process integrates molecular cues from gene regulation, epigenetic and metabolic states, mechanical and environmental inputs, and intercellular communication to shape multicellular structure and function.</w:t>
      </w:r>
      <w:r>
        <w:t xml:space="preserve"> </w:t>
      </w:r>
      <w:r w:rsidRPr="00D976D7" w:rsidR="00D976D7">
        <w:rPr>
          <w:rFonts w:ascii="Calibri" w:hAnsi="Calibri" w:cs="Calibri"/>
        </w:rPr>
        <w:t>While computational approaches for inferring mechanistic models such as gene regulatory networks (GRNs) from single-cell data effectively capture state-specific phenotypes, they are not designed to resolve focused, combinatorial gene programs, their dynamic rewiring during cell fate transitions, or to predict which programs mechanistically bias cells toward specific fates.</w:t>
      </w:r>
      <w:r w:rsidR="00D976D7">
        <w:t xml:space="preserve"> </w:t>
      </w:r>
      <w:r w:rsidRPr="002F4783">
        <w:rPr>
          <w:rFonts w:ascii="Calibri" w:hAnsi="Calibri" w:eastAsia="Calibri" w:cs="Calibri"/>
          <w:color w:val="000000" w:themeColor="text1"/>
          <w:lang w:val="en-US"/>
        </w:rPr>
        <w:t xml:space="preserve">Here, we introduce </w:t>
      </w:r>
      <w:proofErr w:type="spellStart"/>
      <w:r w:rsidRPr="002F4783">
        <w:rPr>
          <w:rFonts w:ascii="Calibri" w:hAnsi="Calibri" w:eastAsia="Calibri" w:cs="Calibri"/>
          <w:color w:val="000000" w:themeColor="text1"/>
          <w:lang w:val="en-US"/>
        </w:rPr>
        <w:t>FIREFate</w:t>
      </w:r>
      <w:proofErr w:type="spellEnd"/>
      <w:r w:rsidRPr="002F4783">
        <w:rPr>
          <w:rFonts w:ascii="Calibri" w:hAnsi="Calibri" w:eastAsia="Calibri" w:cs="Calibri"/>
          <w:color w:val="000000" w:themeColor="text1"/>
          <w:lang w:val="en-US"/>
        </w:rPr>
        <w:t xml:space="preserve"> (Functional and Interpretable Regulatory Encoding of Fate determination), a </w:t>
      </w:r>
      <w:r>
        <w:rPr>
          <w:rFonts w:ascii="Calibri" w:hAnsi="Calibri" w:eastAsia="Calibri" w:cs="Calibri"/>
          <w:color w:val="000000" w:themeColor="text1"/>
          <w:lang w:val="en-US"/>
        </w:rPr>
        <w:t xml:space="preserve">conceptual </w:t>
      </w:r>
      <w:r w:rsidR="00074B39">
        <w:rPr>
          <w:rFonts w:ascii="Calibri" w:hAnsi="Calibri" w:eastAsia="Calibri" w:cs="Calibri"/>
          <w:color w:val="000000" w:themeColor="text1"/>
          <w:lang w:val="en-US"/>
        </w:rPr>
        <w:t>framework</w:t>
      </w:r>
      <w:r w:rsidRPr="002F4783">
        <w:rPr>
          <w:rFonts w:ascii="Calibri" w:hAnsi="Calibri" w:eastAsia="Calibri" w:cs="Calibri"/>
          <w:color w:val="000000" w:themeColor="text1"/>
          <w:lang w:val="en-US"/>
        </w:rPr>
        <w:t xml:space="preserve"> addressing two interconnected facets of how cell fate is determined and regulated. </w:t>
      </w:r>
      <w:proofErr w:type="spellStart"/>
      <w:r w:rsidRPr="002F4783">
        <w:rPr>
          <w:rFonts w:ascii="Calibri" w:hAnsi="Calibri" w:eastAsia="Calibri" w:cs="Calibri"/>
          <w:color w:val="000000" w:themeColor="text1"/>
          <w:lang w:val="en-US"/>
        </w:rPr>
        <w:t>FIREFate</w:t>
      </w:r>
      <w:proofErr w:type="spellEnd"/>
      <w:r w:rsidRPr="002F4783">
        <w:rPr>
          <w:rFonts w:ascii="Calibri" w:hAnsi="Calibri" w:eastAsia="Calibri" w:cs="Calibri"/>
          <w:color w:val="000000" w:themeColor="text1"/>
          <w:lang w:val="en-US"/>
        </w:rPr>
        <w:t xml:space="preserve"> integrates static and dynamic </w:t>
      </w:r>
      <w:r>
        <w:rPr>
          <w:rFonts w:ascii="Calibri" w:hAnsi="Calibri" w:eastAsia="Calibri" w:cs="Calibri"/>
          <w:color w:val="000000" w:themeColor="text1"/>
          <w:lang w:val="en-US"/>
        </w:rPr>
        <w:t xml:space="preserve">mechanistic </w:t>
      </w:r>
      <w:r w:rsidRPr="35E2884F">
        <w:rPr>
          <w:rFonts w:ascii="Calibri" w:hAnsi="Calibri" w:eastAsia="Calibri" w:cs="Calibri"/>
          <w:color w:val="000000" w:themeColor="text1"/>
          <w:lang w:val="en-US"/>
        </w:rPr>
        <w:t>models</w:t>
      </w:r>
      <w:r w:rsidRPr="002F4783">
        <w:rPr>
          <w:rFonts w:ascii="Calibri" w:hAnsi="Calibri" w:eastAsia="Calibri" w:cs="Calibri"/>
          <w:color w:val="000000" w:themeColor="text1"/>
          <w:lang w:val="en-US"/>
        </w:rPr>
        <w:t xml:space="preserve"> with interpretable machine learning to uncover coordinated regulatory programs governing cell-state transitions. </w:t>
      </w:r>
      <w:r>
        <w:rPr>
          <w:rFonts w:ascii="Calibri" w:hAnsi="Calibri" w:eastAsia="Calibri" w:cs="Calibri"/>
          <w:color w:val="000000" w:themeColor="text1"/>
          <w:lang w:val="en-US"/>
        </w:rPr>
        <w:t>Furthermore,</w:t>
      </w:r>
      <w:r w:rsidRPr="002F4783">
        <w:rPr>
          <w:rFonts w:ascii="Calibri" w:hAnsi="Calibri" w:eastAsia="Calibri" w:cs="Calibri"/>
          <w:color w:val="000000" w:themeColor="text1"/>
          <w:lang w:val="en-US"/>
        </w:rPr>
        <w:t xml:space="preserve"> </w:t>
      </w:r>
      <w:proofErr w:type="spellStart"/>
      <w:r w:rsidRPr="002F4783">
        <w:rPr>
          <w:rFonts w:ascii="Calibri" w:hAnsi="Calibri" w:eastAsia="Calibri" w:cs="Calibri"/>
          <w:color w:val="000000" w:themeColor="text1"/>
          <w:lang w:val="en-US"/>
        </w:rPr>
        <w:t>FIREFate</w:t>
      </w:r>
      <w:proofErr w:type="spellEnd"/>
      <w:r>
        <w:rPr>
          <w:rFonts w:ascii="Calibri" w:hAnsi="Calibri" w:eastAsia="Calibri" w:cs="Calibri"/>
          <w:color w:val="000000" w:themeColor="text1"/>
          <w:lang w:val="en-US"/>
        </w:rPr>
        <w:t xml:space="preserve"> </w:t>
      </w:r>
      <w:r w:rsidRPr="002F4783">
        <w:rPr>
          <w:rFonts w:ascii="Calibri" w:hAnsi="Calibri" w:eastAsia="Calibri" w:cs="Calibri"/>
          <w:color w:val="000000" w:themeColor="text1"/>
          <w:lang w:val="en-US"/>
        </w:rPr>
        <w:t xml:space="preserve">leverages transfer learning from transcription factor perturbation data to </w:t>
      </w:r>
      <w:r>
        <w:rPr>
          <w:rFonts w:ascii="Calibri" w:hAnsi="Calibri" w:eastAsia="Calibri" w:cs="Calibri"/>
          <w:color w:val="000000" w:themeColor="text1"/>
          <w:lang w:val="en-US"/>
        </w:rPr>
        <w:t xml:space="preserve">determine TF dynamic activity independent of GRNs which enable us to </w:t>
      </w:r>
      <w:r w:rsidRPr="002F4783">
        <w:rPr>
          <w:rFonts w:ascii="Calibri" w:hAnsi="Calibri" w:eastAsia="Calibri" w:cs="Calibri"/>
          <w:color w:val="000000" w:themeColor="text1"/>
          <w:lang w:val="en-US"/>
        </w:rPr>
        <w:t xml:space="preserve">predict fate bias in uncommitted cells, revealing latent regulatory architectures that predispose lineage outcomes. Applied to </w:t>
      </w:r>
      <w:r>
        <w:rPr>
          <w:rFonts w:ascii="Calibri" w:hAnsi="Calibri" w:eastAsia="Calibri" w:cs="Calibri"/>
          <w:color w:val="000000" w:themeColor="text1"/>
          <w:lang w:val="en-US"/>
        </w:rPr>
        <w:t>adaptive immune</w:t>
      </w:r>
      <w:r w:rsidRPr="002F4783">
        <w:rPr>
          <w:rFonts w:ascii="Calibri" w:hAnsi="Calibri" w:eastAsia="Calibri" w:cs="Calibri"/>
          <w:color w:val="000000" w:themeColor="text1"/>
          <w:lang w:val="en-US"/>
        </w:rPr>
        <w:t xml:space="preserve"> systems, </w:t>
      </w:r>
      <w:proofErr w:type="spellStart"/>
      <w:r w:rsidRPr="002F4783">
        <w:rPr>
          <w:rFonts w:ascii="Calibri" w:hAnsi="Calibri" w:eastAsia="Calibri" w:cs="Calibri"/>
          <w:color w:val="000000" w:themeColor="text1"/>
          <w:lang w:val="en-US"/>
        </w:rPr>
        <w:t>FIREFate</w:t>
      </w:r>
      <w:proofErr w:type="spellEnd"/>
      <w:r w:rsidRPr="002F4783">
        <w:rPr>
          <w:rFonts w:ascii="Calibri" w:hAnsi="Calibri" w:eastAsia="Calibri" w:cs="Calibri"/>
          <w:color w:val="000000" w:themeColor="text1"/>
          <w:lang w:val="en-US"/>
        </w:rPr>
        <w:t xml:space="preserve"> identifies lineage-specific regulons defining state transitions and functional diversity, uncovers early determinants of </w:t>
      </w:r>
      <w:r w:rsidR="001E5380">
        <w:rPr>
          <w:rFonts w:ascii="Calibri" w:hAnsi="Calibri" w:eastAsia="Calibri" w:cs="Calibri"/>
          <w:color w:val="000000" w:themeColor="text1"/>
          <w:lang w:val="en-US"/>
        </w:rPr>
        <w:t>B cell</w:t>
      </w:r>
      <w:r w:rsidRPr="002F4783">
        <w:rPr>
          <w:rFonts w:ascii="Calibri" w:hAnsi="Calibri" w:eastAsia="Calibri" w:cs="Calibri"/>
          <w:color w:val="000000" w:themeColor="text1"/>
          <w:lang w:val="en-US"/>
        </w:rPr>
        <w:t xml:space="preserve"> commitment and T cell exhaustion, and consistently outperforms existing approaches. </w:t>
      </w:r>
      <w:proofErr w:type="spellStart"/>
      <w:r w:rsidRPr="002F4783">
        <w:rPr>
          <w:rFonts w:ascii="Calibri" w:hAnsi="Calibri" w:eastAsia="Calibri" w:cs="Calibri"/>
          <w:color w:val="000000" w:themeColor="text1"/>
          <w:lang w:val="en-US"/>
        </w:rPr>
        <w:t>FIREFate</w:t>
      </w:r>
      <w:proofErr w:type="spellEnd"/>
      <w:r w:rsidRPr="002F4783">
        <w:rPr>
          <w:rFonts w:ascii="Calibri" w:hAnsi="Calibri" w:eastAsia="Calibri" w:cs="Calibri"/>
          <w:color w:val="000000" w:themeColor="text1"/>
          <w:lang w:val="en-US"/>
        </w:rPr>
        <w:t xml:space="preserve"> thus provides a</w:t>
      </w:r>
      <w:r>
        <w:rPr>
          <w:rFonts w:ascii="Calibri" w:hAnsi="Calibri" w:eastAsia="Calibri" w:cs="Calibri"/>
          <w:color w:val="000000" w:themeColor="text1"/>
          <w:lang w:val="en-US"/>
        </w:rPr>
        <w:t xml:space="preserve"> mechanistically</w:t>
      </w:r>
      <w:r w:rsidRPr="002F4783">
        <w:rPr>
          <w:rFonts w:ascii="Calibri" w:hAnsi="Calibri" w:eastAsia="Calibri" w:cs="Calibri"/>
          <w:color w:val="000000" w:themeColor="text1"/>
          <w:lang w:val="en-US"/>
        </w:rPr>
        <w:t xml:space="preserve"> interpretable, bidirectional framework for decoding cellular decision-making and enabling rational reprogramming strategies.</w:t>
      </w:r>
      <w:r w:rsidRPr="009658C3">
        <w:rPr>
          <w:rFonts w:ascii="Calibri" w:hAnsi="Calibri" w:eastAsia="Times New Roman" w:cs="Calibri"/>
          <w:b/>
          <w:bCs/>
          <w:color w:val="000000" w:themeColor="text1"/>
          <w:sz w:val="24"/>
          <w:szCs w:val="24"/>
          <w:lang w:val="en-US"/>
        </w:rPr>
        <w:br w:type="page"/>
      </w:r>
    </w:p>
    <w:p w:rsidR="008515C4" w:rsidP="008515C4" w:rsidRDefault="008515C4" w14:paraId="7A31F928" w14:textId="77777777">
      <w:pPr>
        <w:pStyle w:val="NormalWeb"/>
        <w:spacing w:line="276" w:lineRule="auto"/>
        <w:jc w:val="both"/>
        <w:rPr>
          <w:rFonts w:ascii="Calibri" w:hAnsi="Calibri" w:eastAsia="Arial" w:cs="Calibri"/>
          <w:b/>
          <w:bCs/>
          <w:color w:val="000000" w:themeColor="text1"/>
        </w:rPr>
      </w:pPr>
      <w:r w:rsidRPr="004351BD">
        <w:rPr>
          <w:rFonts w:ascii="Calibri" w:hAnsi="Calibri" w:eastAsia="Arial" w:cs="Calibri"/>
          <w:b/>
          <w:bCs/>
          <w:color w:val="000000" w:themeColor="text1"/>
        </w:rPr>
        <w:t>Introduction</w:t>
      </w:r>
    </w:p>
    <w:p w:rsidR="008515C4" w:rsidP="008515C4" w:rsidRDefault="008515C4" w14:paraId="6A306C2A" w14:textId="152C5726">
      <w:pPr>
        <w:pStyle w:val="NormalWeb"/>
        <w:spacing w:line="276" w:lineRule="auto"/>
        <w:jc w:val="both"/>
        <w:rPr>
          <w:rFonts w:ascii="Calibri" w:hAnsi="Calibri" w:cs="Calibri"/>
          <w:sz w:val="22"/>
          <w:szCs w:val="22"/>
        </w:rPr>
      </w:pPr>
      <w:r w:rsidRPr="00FB0275">
        <w:rPr>
          <w:rFonts w:ascii="Calibri" w:hAnsi="Calibri" w:cs="Calibri"/>
          <w:sz w:val="22"/>
          <w:szCs w:val="22"/>
        </w:rPr>
        <w:t>Cell fate determination is the process by which undifferentiated or progenitor cells commit to specific identities and functions which govern proliferation, differentiation, tissue organization, and apoptosis. This process integrates molecular cues from gene regulatory networks, epigenetic and metabolic states, mechanical and environmental inputs, and intercellular communication to shape multicellular structure and function</w:t>
      </w:r>
      <w:r w:rsidRPr="004135FD">
        <w:rPr>
          <w:rFonts w:ascii="Calibri" w:hAnsi="Calibri" w:cs="Calibri"/>
          <w:sz w:val="22"/>
          <w:vertAlign w:val="superscript"/>
        </w:rPr>
        <w:t>1</w:t>
      </w:r>
      <w:r>
        <w:rPr>
          <w:rFonts w:ascii="Calibri" w:hAnsi="Calibri" w:cs="Calibri"/>
          <w:sz w:val="22"/>
          <w:szCs w:val="22"/>
          <w:vertAlign w:val="superscript"/>
        </w:rPr>
        <w:t xml:space="preserve">, </w:t>
      </w:r>
      <w:r w:rsidRPr="00924E37">
        <w:rPr>
          <w:rFonts w:ascii="Calibri" w:hAnsi="Calibri" w:cs="Calibri"/>
          <w:sz w:val="22"/>
          <w:vertAlign w:val="superscript"/>
        </w:rPr>
        <w:t>2</w:t>
      </w:r>
      <w:r w:rsidRPr="00FB0275">
        <w:rPr>
          <w:rFonts w:ascii="Calibri" w:hAnsi="Calibri" w:cs="Calibri"/>
          <w:sz w:val="22"/>
          <w:szCs w:val="22"/>
        </w:rPr>
        <w:t>. In adaptive immunity, B cells encountering antigen may rapidly differentiate into short-lived plasmablasts that provide immediate protection or enter germinal centers to produce high-affinity, long-lived plasma cells and memory B cells sustaining lifelong immunity</w:t>
      </w:r>
      <w:r w:rsidRPr="00F372B0">
        <w:rPr>
          <w:rFonts w:ascii="Calibri" w:hAnsi="Calibri" w:cs="Calibri"/>
          <w:sz w:val="22"/>
          <w:vertAlign w:val="superscript"/>
        </w:rPr>
        <w:t>3</w:t>
      </w:r>
      <w:r w:rsidRPr="00FB0275">
        <w:rPr>
          <w:rFonts w:ascii="Calibri" w:hAnsi="Calibri" w:cs="Calibri"/>
          <w:sz w:val="22"/>
          <w:szCs w:val="22"/>
        </w:rPr>
        <w:t>. Similarly, CD8⁺ T cells exposed to chronic antigen</w:t>
      </w:r>
      <w:r w:rsidRPr="2A7258C0">
        <w:rPr>
          <w:rFonts w:ascii="Calibri" w:hAnsi="Calibri" w:cs="Calibri"/>
          <w:sz w:val="22"/>
          <w:szCs w:val="22"/>
        </w:rPr>
        <w:t>s</w:t>
      </w:r>
      <w:r w:rsidRPr="00FB0275">
        <w:rPr>
          <w:rFonts w:ascii="Calibri" w:hAnsi="Calibri" w:cs="Calibri"/>
          <w:sz w:val="22"/>
          <w:szCs w:val="22"/>
        </w:rPr>
        <w:t xml:space="preserve"> bifurcate into precursor exhausted (</w:t>
      </w:r>
      <w:proofErr w:type="spellStart"/>
      <w:r w:rsidRPr="00FB0275">
        <w:rPr>
          <w:rFonts w:ascii="Calibri" w:hAnsi="Calibri" w:cs="Calibri"/>
          <w:sz w:val="22"/>
          <w:szCs w:val="22"/>
        </w:rPr>
        <w:t>Tpex</w:t>
      </w:r>
      <w:proofErr w:type="spellEnd"/>
      <w:r w:rsidRPr="00FB0275">
        <w:rPr>
          <w:rFonts w:ascii="Calibri" w:hAnsi="Calibri" w:cs="Calibri"/>
          <w:sz w:val="22"/>
          <w:szCs w:val="22"/>
        </w:rPr>
        <w:t>) cells that retain proliferative potential and therapeutic responsiveness, or terminally exhausted (Tex) cells locked in irreversible dysfunction. These fate decisions ultimately dictate infection clearance, tumor control, and autoimmune pathology. Yet despite decades of mapping transcription factors and terminal states, a central question remains: how are fate decisions encoded within regulatory programs, how do dynamic transcription factor activities govern state transitions, and can we predict</w:t>
      </w:r>
      <w:r w:rsidR="004F055A">
        <w:rPr>
          <w:rFonts w:ascii="Calibri" w:hAnsi="Calibri" w:cs="Calibri"/>
          <w:sz w:val="22"/>
          <w:szCs w:val="22"/>
        </w:rPr>
        <w:t xml:space="preserve"> </w:t>
      </w:r>
      <w:r w:rsidRPr="00FB0275">
        <w:rPr>
          <w:rFonts w:ascii="Calibri" w:hAnsi="Calibri" w:cs="Calibri"/>
          <w:sz w:val="22"/>
          <w:szCs w:val="22"/>
        </w:rPr>
        <w:t>cellular fates before phenotypic divergence?</w:t>
      </w:r>
    </w:p>
    <w:p w:rsidRPr="000200F0" w:rsidR="0090463D" w:rsidP="00915A43" w:rsidRDefault="00B17517" w14:paraId="2833C56B" w14:textId="3A5842D4">
      <w:pPr>
        <w:pStyle w:val="NormalWeb"/>
        <w:spacing w:line="276" w:lineRule="auto"/>
        <w:jc w:val="both"/>
        <w:rPr>
          <w:rFonts w:ascii="Calibri" w:hAnsi="Calibri" w:eastAsia="Arial" w:cs="Calibri"/>
          <w:color w:val="000000" w:themeColor="text1"/>
          <w:sz w:val="22"/>
          <w:szCs w:val="22"/>
        </w:rPr>
      </w:pPr>
      <w:r w:rsidRPr="00A710C9">
        <w:rPr>
          <w:rFonts w:ascii="Calibri" w:hAnsi="Calibri" w:cs="Calibri"/>
          <w:sz w:val="22"/>
          <w:szCs w:val="22"/>
        </w:rPr>
        <w:t xml:space="preserve">Early systems-level studies in B cell and myeloid development established gene regulatory networks (GRNs) as </w:t>
      </w:r>
      <w:r w:rsidR="00A710C9">
        <w:rPr>
          <w:rFonts w:ascii="Calibri" w:hAnsi="Calibri" w:cs="Calibri"/>
          <w:sz w:val="22"/>
          <w:szCs w:val="22"/>
        </w:rPr>
        <w:t>central</w:t>
      </w:r>
      <w:r w:rsidRPr="00A710C9">
        <w:rPr>
          <w:rFonts w:ascii="Calibri" w:hAnsi="Calibri" w:cs="Calibri"/>
          <w:sz w:val="22"/>
          <w:szCs w:val="22"/>
        </w:rPr>
        <w:t xml:space="preserve"> frameworks for understanding fate specification. Mathematical and genetic analyses demonstrated how graded signaling and transcription factor thresholds</w:t>
      </w:r>
      <w:r w:rsidR="003A072A">
        <w:rPr>
          <w:rFonts w:ascii="Calibri" w:hAnsi="Calibri" w:cs="Calibri"/>
          <w:sz w:val="22"/>
          <w:szCs w:val="22"/>
        </w:rPr>
        <w:t xml:space="preserve"> </w:t>
      </w:r>
      <w:r w:rsidRPr="00A710C9">
        <w:rPr>
          <w:rFonts w:ascii="Calibri" w:hAnsi="Calibri" w:cs="Calibri"/>
          <w:sz w:val="22"/>
          <w:szCs w:val="22"/>
        </w:rPr>
        <w:t xml:space="preserve">can generate transient diversification states, </w:t>
      </w:r>
      <w:r w:rsidR="00126B7D">
        <w:rPr>
          <w:rFonts w:ascii="Calibri" w:hAnsi="Calibri" w:cs="Calibri"/>
          <w:sz w:val="22"/>
          <w:szCs w:val="22"/>
        </w:rPr>
        <w:t xml:space="preserve">regulatory </w:t>
      </w:r>
      <w:r w:rsidRPr="00A710C9">
        <w:rPr>
          <w:rFonts w:ascii="Calibri" w:hAnsi="Calibri" w:cs="Calibri"/>
          <w:sz w:val="22"/>
          <w:szCs w:val="22"/>
        </w:rPr>
        <w:t>feedback loops, cross-antagonism, and bistable switches that stabilize lineage commitment. These studies revealed key design principles of regulatory circuits and provided mechanistic insight into how distinct cell fates are encoded</w:t>
      </w:r>
      <w:r w:rsidRPr="00E14536" w:rsidR="00E14536">
        <w:rPr>
          <w:rFonts w:ascii="Calibri" w:hAnsi="Calibri" w:cs="Calibri" w:eastAsiaTheme="minorHAnsi"/>
          <w:sz w:val="22"/>
          <w:vertAlign w:val="superscript"/>
          <w14:ligatures w14:val="standardContextual"/>
        </w:rPr>
        <w:t>4</w:t>
      </w:r>
      <w:r w:rsidR="00BD6670">
        <w:rPr>
          <w:rFonts w:ascii="Calibri" w:hAnsi="Calibri" w:cs="Calibri"/>
          <w:sz w:val="22"/>
          <w:szCs w:val="22"/>
          <w:vertAlign w:val="superscript"/>
        </w:rPr>
        <w:t>,</w:t>
      </w:r>
      <w:r w:rsidRPr="00BD6670" w:rsidR="00BD6670">
        <w:rPr>
          <w:rFonts w:ascii="Calibri" w:hAnsi="Calibri" w:cs="Calibri" w:eastAsiaTheme="minorHAnsi"/>
          <w:sz w:val="22"/>
          <w:vertAlign w:val="superscript"/>
          <w14:ligatures w14:val="standardContextual"/>
        </w:rPr>
        <w:t>5</w:t>
      </w:r>
      <w:r w:rsidR="00767947">
        <w:rPr>
          <w:rFonts w:ascii="Calibri" w:hAnsi="Calibri" w:cs="Calibri"/>
          <w:sz w:val="22"/>
          <w:szCs w:val="22"/>
          <w:vertAlign w:val="superscript"/>
        </w:rPr>
        <w:t>,</w:t>
      </w:r>
      <w:r w:rsidRPr="00631694" w:rsidR="00631694">
        <w:rPr>
          <w:rFonts w:ascii="Calibri" w:hAnsi="Calibri" w:cs="Calibri" w:eastAsiaTheme="minorHAnsi"/>
          <w:sz w:val="22"/>
          <w:vertAlign w:val="superscript"/>
          <w14:ligatures w14:val="standardContextual"/>
        </w:rPr>
        <w:t>6</w:t>
      </w:r>
      <w:r w:rsidRPr="00A710C9">
        <w:rPr>
          <w:rFonts w:ascii="Calibri" w:hAnsi="Calibri" w:cs="Calibri"/>
          <w:sz w:val="22"/>
          <w:szCs w:val="22"/>
        </w:rPr>
        <w:t>. However, most of these models rely on population-level measurements or simplified regulatory components, yielding coarse-grained representations that do not fully capture cellular heterogeneity at single-cell resolution. Consequently, while these circuits are biologically grounded, they are insufficient for predicting dynamic transcription factor activity and fate trajectories in individual cells.</w:t>
      </w:r>
      <w:r w:rsidR="000200F0">
        <w:rPr>
          <w:rFonts w:ascii="Calibri" w:hAnsi="Calibri" w:eastAsia="Arial" w:cs="Calibri"/>
          <w:color w:val="000000" w:themeColor="text1"/>
          <w:sz w:val="22"/>
          <w:szCs w:val="22"/>
        </w:rPr>
        <w:t xml:space="preserve"> </w:t>
      </w:r>
      <w:r w:rsidR="00A113CC">
        <w:rPr>
          <w:rFonts w:ascii="Calibri" w:hAnsi="Calibri" w:eastAsia="Arial" w:cs="Calibri"/>
          <w:color w:val="000000" w:themeColor="text1"/>
          <w:sz w:val="22"/>
          <w:szCs w:val="22"/>
        </w:rPr>
        <w:t>Recent advances in s</w:t>
      </w:r>
      <w:r w:rsidRPr="0059625A" w:rsidR="008515C4">
        <w:rPr>
          <w:rFonts w:ascii="Calibri" w:hAnsi="Calibri" w:eastAsia="Arial" w:cs="Calibri"/>
          <w:color w:val="000000" w:themeColor="text1"/>
          <w:sz w:val="22"/>
          <w:szCs w:val="22"/>
        </w:rPr>
        <w:t xml:space="preserve">ingle-cell genomics and CRISPR-based perturbation screens have </w:t>
      </w:r>
      <w:r w:rsidR="0077402E">
        <w:rPr>
          <w:rFonts w:ascii="Calibri" w:hAnsi="Calibri" w:eastAsia="Arial" w:cs="Calibri"/>
          <w:color w:val="000000" w:themeColor="text1"/>
          <w:sz w:val="22"/>
          <w:szCs w:val="22"/>
        </w:rPr>
        <w:t>provided</w:t>
      </w:r>
      <w:r w:rsidRPr="0059625A" w:rsidR="008515C4">
        <w:rPr>
          <w:rFonts w:ascii="Calibri" w:hAnsi="Calibri" w:eastAsia="Arial" w:cs="Calibri"/>
          <w:color w:val="000000" w:themeColor="text1"/>
          <w:sz w:val="22"/>
          <w:szCs w:val="22"/>
        </w:rPr>
        <w:t xml:space="preserve"> unprecedented resolution of cell</w:t>
      </w:r>
      <w:r w:rsidR="0077402E">
        <w:rPr>
          <w:rFonts w:ascii="Calibri" w:hAnsi="Calibri" w:eastAsia="Arial" w:cs="Calibri"/>
          <w:color w:val="000000" w:themeColor="text1"/>
          <w:sz w:val="22"/>
          <w:szCs w:val="22"/>
        </w:rPr>
        <w:t>ular</w:t>
      </w:r>
      <w:r w:rsidRPr="0059625A" w:rsidR="008515C4">
        <w:rPr>
          <w:rFonts w:ascii="Calibri" w:hAnsi="Calibri" w:eastAsia="Arial" w:cs="Calibri"/>
          <w:color w:val="000000" w:themeColor="text1"/>
          <w:sz w:val="22"/>
          <w:szCs w:val="22"/>
        </w:rPr>
        <w:t xml:space="preserve"> differentiation, </w:t>
      </w:r>
      <w:r w:rsidR="0077402E">
        <w:rPr>
          <w:rFonts w:ascii="Calibri" w:hAnsi="Calibri" w:eastAsia="Arial" w:cs="Calibri"/>
          <w:color w:val="000000" w:themeColor="text1"/>
          <w:sz w:val="22"/>
          <w:szCs w:val="22"/>
        </w:rPr>
        <w:t>revealing extensive</w:t>
      </w:r>
      <w:r w:rsidRPr="0059625A" w:rsidR="008515C4">
        <w:rPr>
          <w:rFonts w:ascii="Calibri" w:hAnsi="Calibri" w:eastAsia="Arial" w:cs="Calibri"/>
          <w:color w:val="000000" w:themeColor="text1"/>
          <w:sz w:val="22"/>
          <w:szCs w:val="22"/>
        </w:rPr>
        <w:t xml:space="preserve"> heterogeneity, transient intermediate states, and transcription factor </w:t>
      </w:r>
      <w:r w:rsidR="00435880">
        <w:rPr>
          <w:rFonts w:ascii="Calibri" w:hAnsi="Calibri" w:eastAsia="Arial" w:cs="Calibri"/>
          <w:color w:val="000000" w:themeColor="text1"/>
          <w:sz w:val="22"/>
          <w:szCs w:val="22"/>
        </w:rPr>
        <w:t xml:space="preserve">interactions underlying </w:t>
      </w:r>
      <w:r w:rsidRPr="0059625A" w:rsidR="008515C4">
        <w:rPr>
          <w:rFonts w:ascii="Calibri" w:hAnsi="Calibri" w:eastAsia="Arial" w:cs="Calibri"/>
          <w:color w:val="000000" w:themeColor="text1"/>
          <w:sz w:val="22"/>
          <w:szCs w:val="22"/>
        </w:rPr>
        <w:t xml:space="preserve">lineage commitment. However, extracting mechanistic insight from high-dimensional data remains challenging. Differential expression analyses identify </w:t>
      </w:r>
      <w:r w:rsidRPr="0059625A" w:rsidR="00E14BE3">
        <w:rPr>
          <w:rFonts w:ascii="Calibri" w:hAnsi="Calibri" w:eastAsia="Arial" w:cs="Calibri"/>
          <w:color w:val="000000" w:themeColor="text1"/>
          <w:sz w:val="22"/>
          <w:szCs w:val="22"/>
        </w:rPr>
        <w:t>state</w:t>
      </w:r>
      <w:r w:rsidR="00622F01">
        <w:rPr>
          <w:rFonts w:ascii="Calibri" w:hAnsi="Calibri" w:eastAsia="Arial" w:cs="Calibri"/>
          <w:color w:val="000000" w:themeColor="text1"/>
          <w:sz w:val="22"/>
          <w:szCs w:val="22"/>
        </w:rPr>
        <w:t xml:space="preserve">-associated </w:t>
      </w:r>
      <w:r w:rsidRPr="0059625A" w:rsidR="008515C4">
        <w:rPr>
          <w:rFonts w:ascii="Calibri" w:hAnsi="Calibri" w:eastAsia="Arial" w:cs="Calibri"/>
          <w:color w:val="000000" w:themeColor="text1"/>
          <w:sz w:val="22"/>
          <w:szCs w:val="22"/>
        </w:rPr>
        <w:t xml:space="preserve">genes but miss coordinated regulatory programs driving transitions. </w:t>
      </w:r>
      <w:r w:rsidR="00696F6A">
        <w:rPr>
          <w:rFonts w:ascii="Calibri" w:hAnsi="Calibri" w:eastAsia="Arial" w:cs="Calibri"/>
          <w:color w:val="000000" w:themeColor="text1"/>
          <w:sz w:val="22"/>
          <w:szCs w:val="22"/>
        </w:rPr>
        <w:t>Machine</w:t>
      </w:r>
      <w:r w:rsidRPr="0059625A" w:rsidR="008515C4">
        <w:rPr>
          <w:rFonts w:ascii="Calibri" w:hAnsi="Calibri" w:eastAsia="Arial" w:cs="Calibri"/>
          <w:color w:val="000000" w:themeColor="text1"/>
          <w:sz w:val="22"/>
          <w:szCs w:val="22"/>
        </w:rPr>
        <w:t xml:space="preserve"> learning </w:t>
      </w:r>
      <w:r w:rsidR="00696F6A">
        <w:rPr>
          <w:rFonts w:ascii="Calibri" w:hAnsi="Calibri" w:eastAsia="Arial" w:cs="Calibri"/>
          <w:color w:val="000000" w:themeColor="text1"/>
          <w:sz w:val="22"/>
          <w:szCs w:val="22"/>
        </w:rPr>
        <w:t xml:space="preserve">models can </w:t>
      </w:r>
      <w:r w:rsidRPr="0059625A" w:rsidR="008515C4">
        <w:rPr>
          <w:rFonts w:ascii="Calibri" w:hAnsi="Calibri" w:eastAsia="Arial" w:cs="Calibri"/>
          <w:color w:val="000000" w:themeColor="text1"/>
          <w:sz w:val="22"/>
          <w:szCs w:val="22"/>
        </w:rPr>
        <w:t xml:space="preserve">achieve </w:t>
      </w:r>
      <w:r w:rsidR="00696F6A">
        <w:rPr>
          <w:rFonts w:ascii="Calibri" w:hAnsi="Calibri" w:eastAsia="Arial" w:cs="Calibri"/>
          <w:color w:val="000000" w:themeColor="text1"/>
          <w:sz w:val="22"/>
          <w:szCs w:val="22"/>
        </w:rPr>
        <w:t>strong</w:t>
      </w:r>
      <w:r w:rsidRPr="0059625A" w:rsidR="008515C4">
        <w:rPr>
          <w:rFonts w:ascii="Calibri" w:hAnsi="Calibri" w:eastAsia="Arial" w:cs="Calibri"/>
          <w:color w:val="000000" w:themeColor="text1"/>
          <w:sz w:val="22"/>
          <w:szCs w:val="22"/>
        </w:rPr>
        <w:t xml:space="preserve"> predictive performance but </w:t>
      </w:r>
      <w:r w:rsidR="002B0C0A">
        <w:rPr>
          <w:rFonts w:ascii="Calibri" w:hAnsi="Calibri" w:eastAsia="Arial" w:cs="Calibri"/>
          <w:color w:val="000000" w:themeColor="text1"/>
          <w:sz w:val="22"/>
          <w:szCs w:val="22"/>
        </w:rPr>
        <w:t>often lacks interpretability and</w:t>
      </w:r>
      <w:r w:rsidRPr="0059625A" w:rsidR="008515C4">
        <w:rPr>
          <w:rFonts w:ascii="Calibri" w:hAnsi="Calibri" w:eastAsia="Arial" w:cs="Calibri"/>
          <w:color w:val="000000" w:themeColor="text1"/>
          <w:sz w:val="22"/>
          <w:szCs w:val="22"/>
        </w:rPr>
        <w:t xml:space="preserve"> mechanistic </w:t>
      </w:r>
      <w:r w:rsidR="002B0C0A">
        <w:rPr>
          <w:rFonts w:ascii="Calibri" w:hAnsi="Calibri" w:eastAsia="Arial" w:cs="Calibri"/>
          <w:color w:val="000000" w:themeColor="text1"/>
          <w:sz w:val="22"/>
          <w:szCs w:val="22"/>
        </w:rPr>
        <w:t>grounding</w:t>
      </w:r>
      <w:r w:rsidRPr="0059625A" w:rsidR="008515C4">
        <w:rPr>
          <w:rFonts w:ascii="Calibri" w:hAnsi="Calibri" w:eastAsia="Arial" w:cs="Calibri"/>
          <w:color w:val="000000" w:themeColor="text1"/>
          <w:sz w:val="22"/>
          <w:szCs w:val="22"/>
        </w:rPr>
        <w:t xml:space="preserve">. </w:t>
      </w:r>
      <w:r w:rsidR="002B0C0A">
        <w:rPr>
          <w:rFonts w:ascii="Calibri" w:hAnsi="Calibri" w:eastAsia="Arial" w:cs="Calibri"/>
          <w:color w:val="000000" w:themeColor="text1"/>
          <w:sz w:val="22"/>
          <w:szCs w:val="22"/>
        </w:rPr>
        <w:t>Similarly, d</w:t>
      </w:r>
      <w:r w:rsidRPr="0059625A" w:rsidR="008515C4">
        <w:rPr>
          <w:rFonts w:ascii="Calibri" w:hAnsi="Calibri" w:eastAsia="Arial" w:cs="Calibri"/>
          <w:color w:val="000000" w:themeColor="text1"/>
          <w:sz w:val="22"/>
          <w:szCs w:val="22"/>
        </w:rPr>
        <w:t xml:space="preserve">ecomposition </w:t>
      </w:r>
      <w:r w:rsidR="002B0C0A">
        <w:rPr>
          <w:rFonts w:ascii="Calibri" w:hAnsi="Calibri" w:eastAsia="Arial" w:cs="Calibri"/>
          <w:color w:val="000000" w:themeColor="text1"/>
          <w:sz w:val="22"/>
          <w:szCs w:val="22"/>
        </w:rPr>
        <w:t>approaches</w:t>
      </w:r>
      <w:r w:rsidRPr="0059625A" w:rsidR="008515C4">
        <w:rPr>
          <w:rFonts w:ascii="Calibri" w:hAnsi="Calibri" w:eastAsia="Arial" w:cs="Calibri"/>
          <w:color w:val="000000" w:themeColor="text1"/>
          <w:sz w:val="22"/>
          <w:szCs w:val="22"/>
        </w:rPr>
        <w:t xml:space="preserve"> </w:t>
      </w:r>
      <w:r w:rsidR="002B0C0A">
        <w:rPr>
          <w:rFonts w:ascii="Calibri" w:hAnsi="Calibri" w:eastAsia="Arial" w:cs="Calibri"/>
          <w:color w:val="000000" w:themeColor="text1"/>
          <w:sz w:val="22"/>
          <w:szCs w:val="22"/>
        </w:rPr>
        <w:t>such as</w:t>
      </w:r>
      <w:r w:rsidRPr="0059625A" w:rsidR="008515C4">
        <w:rPr>
          <w:rFonts w:ascii="Calibri" w:hAnsi="Calibri" w:eastAsia="Arial" w:cs="Calibri"/>
          <w:color w:val="000000" w:themeColor="text1"/>
          <w:sz w:val="22"/>
          <w:szCs w:val="22"/>
        </w:rPr>
        <w:t xml:space="preserve"> </w:t>
      </w:r>
      <w:r w:rsidR="008515C4">
        <w:rPr>
          <w:rFonts w:ascii="Calibri" w:hAnsi="Calibri" w:eastAsia="Arial" w:cs="Calibri"/>
          <w:color w:val="000000" w:themeColor="text1"/>
          <w:sz w:val="22"/>
          <w:szCs w:val="22"/>
        </w:rPr>
        <w:t>n</w:t>
      </w:r>
      <w:r w:rsidRPr="00F176A7" w:rsidR="008515C4">
        <w:rPr>
          <w:rFonts w:ascii="Calibri" w:hAnsi="Calibri" w:eastAsia="Arial" w:cs="Calibri"/>
          <w:color w:val="000000" w:themeColor="text1"/>
          <w:sz w:val="22"/>
          <w:szCs w:val="22"/>
        </w:rPr>
        <w:t xml:space="preserve">on-negative </w:t>
      </w:r>
      <w:r w:rsidR="008515C4">
        <w:rPr>
          <w:rFonts w:ascii="Calibri" w:hAnsi="Calibri" w:eastAsia="Arial" w:cs="Calibri"/>
          <w:color w:val="000000" w:themeColor="text1"/>
          <w:sz w:val="22"/>
          <w:szCs w:val="22"/>
        </w:rPr>
        <w:t>m</w:t>
      </w:r>
      <w:r w:rsidRPr="00F176A7" w:rsidR="008515C4">
        <w:rPr>
          <w:rFonts w:ascii="Calibri" w:hAnsi="Calibri" w:eastAsia="Arial" w:cs="Calibri"/>
          <w:color w:val="000000" w:themeColor="text1"/>
          <w:sz w:val="22"/>
          <w:szCs w:val="22"/>
        </w:rPr>
        <w:t xml:space="preserve">atrix </w:t>
      </w:r>
      <w:r w:rsidR="008515C4">
        <w:rPr>
          <w:rFonts w:ascii="Calibri" w:hAnsi="Calibri" w:eastAsia="Arial" w:cs="Calibri"/>
          <w:color w:val="000000" w:themeColor="text1"/>
          <w:sz w:val="22"/>
          <w:szCs w:val="22"/>
        </w:rPr>
        <w:t>f</w:t>
      </w:r>
      <w:r w:rsidRPr="00F176A7" w:rsidR="008515C4">
        <w:rPr>
          <w:rFonts w:ascii="Calibri" w:hAnsi="Calibri" w:eastAsia="Arial" w:cs="Calibri"/>
          <w:color w:val="000000" w:themeColor="text1"/>
          <w:sz w:val="22"/>
          <w:szCs w:val="22"/>
        </w:rPr>
        <w:t xml:space="preserve">actorization </w:t>
      </w:r>
      <w:r w:rsidR="008515C4">
        <w:rPr>
          <w:rFonts w:ascii="Calibri" w:hAnsi="Calibri" w:eastAsia="Arial" w:cs="Calibri"/>
          <w:color w:val="000000" w:themeColor="text1"/>
          <w:sz w:val="22"/>
          <w:szCs w:val="22"/>
        </w:rPr>
        <w:t>(</w:t>
      </w:r>
      <w:r w:rsidRPr="0059625A" w:rsidR="008515C4">
        <w:rPr>
          <w:rFonts w:ascii="Calibri" w:hAnsi="Calibri" w:eastAsia="Arial" w:cs="Calibri"/>
          <w:color w:val="000000" w:themeColor="text1"/>
          <w:sz w:val="22"/>
          <w:szCs w:val="22"/>
        </w:rPr>
        <w:t>NMF</w:t>
      </w:r>
      <w:r w:rsidR="008515C4">
        <w:rPr>
          <w:rFonts w:ascii="Calibri" w:hAnsi="Calibri" w:eastAsia="Arial" w:cs="Calibri"/>
          <w:color w:val="000000" w:themeColor="text1"/>
          <w:sz w:val="22"/>
          <w:szCs w:val="22"/>
        </w:rPr>
        <w:t>)</w:t>
      </w:r>
      <w:r w:rsidRPr="0059625A" w:rsidR="008515C4">
        <w:rPr>
          <w:rFonts w:ascii="Calibri" w:hAnsi="Calibri" w:eastAsia="Arial" w:cs="Calibri"/>
          <w:color w:val="000000" w:themeColor="text1"/>
          <w:sz w:val="22"/>
          <w:szCs w:val="22"/>
        </w:rPr>
        <w:t xml:space="preserve"> and </w:t>
      </w:r>
      <w:r w:rsidR="008515C4">
        <w:rPr>
          <w:rFonts w:ascii="Calibri" w:hAnsi="Calibri" w:eastAsia="Arial" w:cs="Calibri"/>
          <w:color w:val="000000" w:themeColor="text1"/>
          <w:sz w:val="22"/>
          <w:szCs w:val="22"/>
        </w:rPr>
        <w:t>variational autoencoders</w:t>
      </w:r>
      <w:r w:rsidRPr="00BD6670" w:rsidR="00BD6670">
        <w:rPr>
          <w:rFonts w:ascii="Calibri" w:hAnsi="Calibri" w:cs="Calibri" w:eastAsiaTheme="minorHAnsi"/>
          <w:color w:val="000000"/>
          <w:sz w:val="22"/>
          <w:vertAlign w:val="superscript"/>
          <w14:ligatures w14:val="standardContextual"/>
        </w:rPr>
        <w:t>7</w:t>
      </w:r>
      <w:r w:rsidR="008515C4">
        <w:rPr>
          <w:rFonts w:ascii="Calibri" w:hAnsi="Calibri" w:eastAsia="Arial" w:cs="Calibri"/>
          <w:color w:val="000000" w:themeColor="text1"/>
          <w:sz w:val="22"/>
          <w:szCs w:val="22"/>
        </w:rPr>
        <w:t xml:space="preserve"> (</w:t>
      </w:r>
      <w:r w:rsidRPr="0059625A" w:rsidR="008515C4">
        <w:rPr>
          <w:rFonts w:ascii="Calibri" w:hAnsi="Calibri" w:eastAsia="Arial" w:cs="Calibri"/>
          <w:color w:val="000000" w:themeColor="text1"/>
          <w:sz w:val="22"/>
          <w:szCs w:val="22"/>
        </w:rPr>
        <w:t>VAEs</w:t>
      </w:r>
      <w:r w:rsidR="008515C4">
        <w:rPr>
          <w:rFonts w:ascii="Calibri" w:hAnsi="Calibri" w:eastAsia="Arial" w:cs="Calibri"/>
          <w:color w:val="000000" w:themeColor="text1"/>
          <w:sz w:val="22"/>
          <w:szCs w:val="22"/>
        </w:rPr>
        <w:t>)</w:t>
      </w:r>
      <w:r w:rsidRPr="0059625A" w:rsidR="008515C4">
        <w:rPr>
          <w:rFonts w:ascii="Calibri" w:hAnsi="Calibri" w:eastAsia="Arial" w:cs="Calibri"/>
          <w:color w:val="000000" w:themeColor="text1"/>
          <w:sz w:val="22"/>
          <w:szCs w:val="22"/>
        </w:rPr>
        <w:t xml:space="preserve"> </w:t>
      </w:r>
      <w:r w:rsidR="00BB235A">
        <w:rPr>
          <w:rFonts w:ascii="Calibri" w:hAnsi="Calibri" w:eastAsia="Arial" w:cs="Calibri"/>
          <w:color w:val="000000" w:themeColor="text1"/>
          <w:sz w:val="22"/>
          <w:szCs w:val="22"/>
        </w:rPr>
        <w:t xml:space="preserve">can extract latent programs, yet their solutions are frequently </w:t>
      </w:r>
      <w:r w:rsidRPr="0059625A" w:rsidR="008515C4">
        <w:rPr>
          <w:rFonts w:ascii="Calibri" w:hAnsi="Calibri" w:eastAsia="Arial" w:cs="Calibri"/>
          <w:color w:val="000000" w:themeColor="text1"/>
          <w:sz w:val="22"/>
          <w:szCs w:val="22"/>
        </w:rPr>
        <w:t>non-identifiab</w:t>
      </w:r>
      <w:r w:rsidR="00BB235A">
        <w:rPr>
          <w:rFonts w:ascii="Calibri" w:hAnsi="Calibri" w:eastAsia="Arial" w:cs="Calibri"/>
          <w:color w:val="000000" w:themeColor="text1"/>
          <w:sz w:val="22"/>
          <w:szCs w:val="22"/>
        </w:rPr>
        <w:t>le</w:t>
      </w:r>
      <w:r w:rsidR="00EF0339">
        <w:rPr>
          <w:rFonts w:ascii="Calibri" w:hAnsi="Calibri" w:eastAsia="Arial" w:cs="Calibri"/>
          <w:color w:val="000000" w:themeColor="text1"/>
          <w:sz w:val="22"/>
          <w:szCs w:val="22"/>
        </w:rPr>
        <w:t xml:space="preserve"> and </w:t>
      </w:r>
      <w:r w:rsidRPr="0059625A" w:rsidR="008515C4">
        <w:rPr>
          <w:rFonts w:ascii="Calibri" w:hAnsi="Calibri" w:eastAsia="Arial" w:cs="Calibri"/>
          <w:color w:val="000000" w:themeColor="text1"/>
          <w:sz w:val="22"/>
          <w:szCs w:val="22"/>
        </w:rPr>
        <w:t>dataset-dependent programs</w:t>
      </w:r>
      <w:r w:rsidR="00EF0339">
        <w:rPr>
          <w:rFonts w:ascii="Calibri" w:hAnsi="Calibri" w:eastAsia="Arial" w:cs="Calibri"/>
          <w:color w:val="000000" w:themeColor="text1"/>
          <w:sz w:val="22"/>
          <w:szCs w:val="22"/>
        </w:rPr>
        <w:t xml:space="preserve">, limiting </w:t>
      </w:r>
      <w:r w:rsidRPr="00EF0339" w:rsidR="00EF0339">
        <w:rPr>
          <w:rFonts w:ascii="Calibri" w:hAnsi="Calibri" w:eastAsia="Arial" w:cs="Calibri"/>
          <w:color w:val="000000" w:themeColor="text1"/>
          <w:sz w:val="22"/>
          <w:szCs w:val="22"/>
        </w:rPr>
        <w:t>reproducibility and biological interpretability</w:t>
      </w:r>
      <w:r w:rsidRPr="0059625A" w:rsidR="008515C4">
        <w:rPr>
          <w:rFonts w:ascii="Calibri" w:hAnsi="Calibri" w:eastAsia="Arial" w:cs="Calibri"/>
          <w:color w:val="000000" w:themeColor="text1"/>
          <w:sz w:val="22"/>
          <w:szCs w:val="22"/>
        </w:rPr>
        <w:t>.</w:t>
      </w:r>
      <w:r w:rsidRPr="009766C8" w:rsidR="008515C4">
        <w:rPr>
          <w:rFonts w:ascii="Calibri" w:hAnsi="Calibri" w:cs="Calibri"/>
          <w:sz w:val="22"/>
          <w:szCs w:val="22"/>
        </w:rPr>
        <w:t xml:space="preserve"> </w:t>
      </w:r>
      <w:r w:rsidRPr="00FC0C5B" w:rsidR="00FC0C5B">
        <w:rPr>
          <w:rFonts w:ascii="Calibri" w:hAnsi="Calibri" w:cs="Calibri"/>
          <w:sz w:val="22"/>
          <w:szCs w:val="22"/>
        </w:rPr>
        <w:t>Thus, despite the richness of modern single-cell data, there remains a need for modeling frameworks that can identify coherent,</w:t>
      </w:r>
      <w:r w:rsidRPr="00226D5D" w:rsidR="00226D5D">
        <w:rPr>
          <w:rFonts w:ascii="Calibri" w:hAnsi="Calibri" w:cs="Calibri"/>
          <w:sz w:val="22"/>
          <w:szCs w:val="22"/>
        </w:rPr>
        <w:t xml:space="preserve"> mechanistically meaningful regulatory programs and link them to causal fate decisions at single-cell resolution.</w:t>
      </w:r>
    </w:p>
    <w:p w:rsidRPr="00151BD0" w:rsidR="008515C4" w:rsidP="008515C4" w:rsidRDefault="00181486" w14:paraId="06EF8D94" w14:textId="43A82B73">
      <w:pPr>
        <w:pStyle w:val="NormalWeb"/>
        <w:spacing w:line="276" w:lineRule="auto"/>
        <w:jc w:val="both"/>
        <w:rPr>
          <w:rFonts w:ascii="Calibri" w:hAnsi="Calibri" w:cs="Calibri"/>
          <w:sz w:val="22"/>
          <w:szCs w:val="22"/>
        </w:rPr>
      </w:pPr>
      <w:r w:rsidRPr="00181486">
        <w:rPr>
          <w:rFonts w:ascii="Calibri" w:hAnsi="Calibri" w:cs="Calibri"/>
          <w:sz w:val="22"/>
          <w:szCs w:val="22"/>
        </w:rPr>
        <w:t>To address this need, a range of mechanistically grounded modeling frameworks has been developed to formalize regulatory interactions and cellular dynamics. A widely used approach relies on ordinary and partial differential equations (ODEs and PDEs), which describe the time evolution of molecular concentrations and regulatory activities</w:t>
      </w:r>
      <w:r w:rsidRPr="00BD6670" w:rsidR="00BD6670">
        <w:rPr>
          <w:rFonts w:ascii="Calibri" w:hAnsi="Calibri" w:cs="Calibri" w:eastAsiaTheme="minorHAnsi"/>
          <w:sz w:val="22"/>
          <w:vertAlign w:val="superscript"/>
          <w14:ligatures w14:val="standardContextual"/>
        </w:rPr>
        <w:t>8</w:t>
      </w:r>
      <w:r w:rsidRPr="005A3302" w:rsidR="008515C4">
        <w:rPr>
          <w:rFonts w:ascii="Calibri" w:hAnsi="Calibri" w:cs="Calibri"/>
          <w:b/>
          <w:sz w:val="22"/>
          <w:szCs w:val="22"/>
          <w:vertAlign w:val="superscript"/>
        </w:rPr>
        <w:t>,</w:t>
      </w:r>
      <w:r w:rsidRPr="00BD6670" w:rsidR="00BD6670">
        <w:rPr>
          <w:rFonts w:ascii="Calibri" w:hAnsi="Calibri" w:cs="Calibri" w:eastAsiaTheme="minorHAnsi"/>
          <w:sz w:val="22"/>
          <w:vertAlign w:val="superscript"/>
          <w14:ligatures w14:val="standardContextual"/>
        </w:rPr>
        <w:t>9</w:t>
      </w:r>
      <w:r w:rsidRPr="005A3302" w:rsidR="008515C4">
        <w:rPr>
          <w:rFonts w:ascii="Calibri" w:hAnsi="Calibri" w:cs="Calibri"/>
          <w:b/>
          <w:sz w:val="22"/>
          <w:szCs w:val="22"/>
          <w:vertAlign w:val="superscript"/>
        </w:rPr>
        <w:t xml:space="preserve">, </w:t>
      </w:r>
      <w:r w:rsidRPr="00BD6670" w:rsidR="00BD6670">
        <w:rPr>
          <w:rFonts w:ascii="Calibri" w:hAnsi="Calibri" w:cs="Calibri" w:eastAsiaTheme="minorHAnsi"/>
          <w:sz w:val="22"/>
          <w:vertAlign w:val="superscript"/>
          <w14:ligatures w14:val="standardContextual"/>
        </w:rPr>
        <w:t>10</w:t>
      </w:r>
      <w:r w:rsidRPr="005A3302" w:rsidR="008515C4">
        <w:rPr>
          <w:rFonts w:ascii="Calibri" w:hAnsi="Calibri" w:cs="Calibri"/>
          <w:b/>
          <w:sz w:val="22"/>
          <w:szCs w:val="22"/>
          <w:vertAlign w:val="superscript"/>
        </w:rPr>
        <w:t xml:space="preserve">, </w:t>
      </w:r>
      <w:r w:rsidRPr="00BD6670" w:rsidR="00BD6670">
        <w:rPr>
          <w:rFonts w:ascii="Calibri" w:hAnsi="Calibri" w:cs="Calibri" w:eastAsiaTheme="minorHAnsi"/>
          <w:sz w:val="22"/>
          <w:vertAlign w:val="superscript"/>
          <w14:ligatures w14:val="standardContextual"/>
        </w:rPr>
        <w:t>11</w:t>
      </w:r>
      <w:r w:rsidRPr="005761FA" w:rsidR="005761FA">
        <w:rPr>
          <w:rFonts w:ascii="Calibri" w:hAnsi="Calibri" w:cs="Calibri"/>
          <w:sz w:val="22"/>
          <w:szCs w:val="22"/>
        </w:rPr>
        <w:t xml:space="preserve">. </w:t>
      </w:r>
      <w:r w:rsidRPr="00FB0275" w:rsidR="008515C4">
        <w:rPr>
          <w:rFonts w:ascii="Calibri" w:hAnsi="Calibri" w:cs="Calibri"/>
          <w:sz w:val="22"/>
          <w:szCs w:val="22"/>
        </w:rPr>
        <w:t>Beyond differential equation models, mechanistic interactions can also be captured through rule-based and agent-based approaches</w:t>
      </w:r>
      <w:r w:rsidRPr="00BD6670" w:rsidR="00BD6670">
        <w:rPr>
          <w:rFonts w:ascii="Calibri" w:hAnsi="Calibri" w:cs="Calibri" w:eastAsiaTheme="minorHAnsi"/>
          <w:sz w:val="22"/>
          <w:vertAlign w:val="superscript"/>
          <w14:ligatures w14:val="standardContextual"/>
        </w:rPr>
        <w:t>12</w:t>
      </w:r>
      <w:r w:rsidRPr="00FB0275" w:rsidR="008515C4">
        <w:rPr>
          <w:rFonts w:ascii="Calibri" w:hAnsi="Calibri" w:cs="Calibri"/>
          <w:sz w:val="22"/>
          <w:szCs w:val="22"/>
        </w:rPr>
        <w:t>, which extend traditional chemical kinetics by representing multiple interacting biomolecules with complex internal structures</w:t>
      </w:r>
      <w:r w:rsidRPr="00BD6670" w:rsidR="00BD6670">
        <w:rPr>
          <w:rFonts w:ascii="Calibri" w:hAnsi="Calibri" w:cs="Calibri" w:eastAsiaTheme="minorHAnsi"/>
          <w:color w:val="000000"/>
          <w:sz w:val="22"/>
          <w:vertAlign w:val="superscript"/>
          <w14:ligatures w14:val="standardContextual"/>
        </w:rPr>
        <w:t>13</w:t>
      </w:r>
      <w:r w:rsidRPr="00FB0275" w:rsidR="008515C4">
        <w:rPr>
          <w:rFonts w:ascii="Calibri" w:hAnsi="Calibri" w:cs="Calibri"/>
          <w:sz w:val="22"/>
          <w:szCs w:val="22"/>
        </w:rPr>
        <w:t>. Agent-based models further enable the study of higher-level temporal behaviors emerging across multicellular populations</w:t>
      </w:r>
      <w:r w:rsidRPr="00BD6670" w:rsidR="00BD6670">
        <w:rPr>
          <w:rFonts w:ascii="Calibri" w:hAnsi="Calibri" w:cs="Calibri" w:eastAsiaTheme="minorHAnsi"/>
          <w:color w:val="000000"/>
          <w:sz w:val="22"/>
          <w:vertAlign w:val="superscript"/>
          <w14:ligatures w14:val="standardContextual"/>
        </w:rPr>
        <w:t>14</w:t>
      </w:r>
      <w:r w:rsidRPr="00FB0275" w:rsidR="008515C4">
        <w:rPr>
          <w:rFonts w:ascii="Calibri" w:hAnsi="Calibri" w:cs="Calibri"/>
          <w:color w:val="2E2E2E"/>
          <w:sz w:val="22"/>
          <w:szCs w:val="22"/>
          <w:shd w:val="clear" w:color="auto" w:fill="FFFFFF"/>
          <w:vertAlign w:val="superscript"/>
        </w:rPr>
        <w:t xml:space="preserve">, </w:t>
      </w:r>
      <w:r w:rsidRPr="00BD6670" w:rsidR="00BD6670">
        <w:rPr>
          <w:rFonts w:ascii="Calibri" w:hAnsi="Calibri" w:cs="Calibri" w:eastAsiaTheme="minorHAnsi"/>
          <w:color w:val="000000"/>
          <w:sz w:val="22"/>
          <w:vertAlign w:val="superscript"/>
          <w14:ligatures w14:val="standardContextual"/>
        </w:rPr>
        <w:t>15</w:t>
      </w:r>
      <w:r w:rsidRPr="00FB0275" w:rsidR="008515C4">
        <w:rPr>
          <w:rFonts w:ascii="Calibri" w:hAnsi="Calibri" w:cs="Calibri"/>
          <w:sz w:val="22"/>
          <w:szCs w:val="22"/>
        </w:rPr>
        <w:t xml:space="preserve">. More recently, advances in natural language processing (NLP) have </w:t>
      </w:r>
      <w:r w:rsidR="00963FCF">
        <w:rPr>
          <w:rFonts w:ascii="Calibri" w:hAnsi="Calibri" w:cs="Calibri"/>
          <w:sz w:val="22"/>
          <w:szCs w:val="22"/>
        </w:rPr>
        <w:t>introduced</w:t>
      </w:r>
      <w:r w:rsidRPr="00FB0275" w:rsidR="008515C4">
        <w:rPr>
          <w:rFonts w:ascii="Calibri" w:hAnsi="Calibri" w:cs="Calibri"/>
          <w:sz w:val="22"/>
          <w:szCs w:val="22"/>
        </w:rPr>
        <w:t xml:space="preserve"> </w:t>
      </w:r>
      <w:r w:rsidR="00963FCF">
        <w:rPr>
          <w:rFonts w:ascii="Calibri" w:hAnsi="Calibri" w:cs="Calibri"/>
          <w:sz w:val="22"/>
          <w:szCs w:val="22"/>
        </w:rPr>
        <w:t>alternative</w:t>
      </w:r>
      <w:r w:rsidRPr="00FB0275" w:rsidR="008515C4">
        <w:rPr>
          <w:rFonts w:ascii="Calibri" w:hAnsi="Calibri" w:cs="Calibri"/>
          <w:sz w:val="22"/>
          <w:szCs w:val="22"/>
        </w:rPr>
        <w:t xml:space="preserve"> </w:t>
      </w:r>
      <w:r w:rsidR="00963FCF">
        <w:rPr>
          <w:rFonts w:ascii="Calibri" w:hAnsi="Calibri" w:cs="Calibri"/>
          <w:sz w:val="22"/>
          <w:szCs w:val="22"/>
        </w:rPr>
        <w:t>strategies</w:t>
      </w:r>
      <w:r w:rsidRPr="00FB0275" w:rsidR="008515C4">
        <w:rPr>
          <w:rFonts w:ascii="Calibri" w:hAnsi="Calibri" w:cs="Calibri"/>
          <w:sz w:val="22"/>
          <w:szCs w:val="22"/>
        </w:rPr>
        <w:t xml:space="preserve"> </w:t>
      </w:r>
      <w:r w:rsidR="007E5003">
        <w:rPr>
          <w:rFonts w:ascii="Calibri" w:hAnsi="Calibri" w:cs="Calibri"/>
          <w:sz w:val="22"/>
          <w:szCs w:val="22"/>
        </w:rPr>
        <w:t>for</w:t>
      </w:r>
      <w:r w:rsidRPr="00FB0275" w:rsidR="008515C4">
        <w:rPr>
          <w:rFonts w:ascii="Calibri" w:hAnsi="Calibri" w:cs="Calibri"/>
          <w:sz w:val="22"/>
          <w:szCs w:val="22"/>
        </w:rPr>
        <w:t xml:space="preserve"> encod</w:t>
      </w:r>
      <w:r w:rsidR="007E5003">
        <w:rPr>
          <w:rFonts w:ascii="Calibri" w:hAnsi="Calibri" w:cs="Calibri"/>
          <w:sz w:val="22"/>
          <w:szCs w:val="22"/>
        </w:rPr>
        <w:t>ing</w:t>
      </w:r>
      <w:r w:rsidRPr="00FB0275" w:rsidR="008515C4">
        <w:rPr>
          <w:rFonts w:ascii="Calibri" w:hAnsi="Calibri" w:cs="Calibri"/>
          <w:sz w:val="22"/>
          <w:szCs w:val="22"/>
        </w:rPr>
        <w:t xml:space="preserve"> multicellular dynamics in </w:t>
      </w:r>
      <w:r w:rsidR="007E5003">
        <w:rPr>
          <w:rFonts w:ascii="Calibri" w:hAnsi="Calibri" w:cs="Calibri"/>
          <w:sz w:val="22"/>
          <w:szCs w:val="22"/>
        </w:rPr>
        <w:t>human-interpretable</w:t>
      </w:r>
      <w:r w:rsidRPr="00FB0275" w:rsidR="008515C4">
        <w:rPr>
          <w:rFonts w:ascii="Calibri" w:hAnsi="Calibri" w:cs="Calibri"/>
          <w:sz w:val="22"/>
          <w:szCs w:val="22"/>
        </w:rPr>
        <w:t xml:space="preserve"> </w:t>
      </w:r>
      <w:r w:rsidR="007E5003">
        <w:rPr>
          <w:rFonts w:ascii="Calibri" w:hAnsi="Calibri" w:cs="Calibri"/>
          <w:sz w:val="22"/>
          <w:szCs w:val="22"/>
        </w:rPr>
        <w:t>grammars</w:t>
      </w:r>
      <w:r w:rsidRPr="00FB0275" w:rsidR="008515C4">
        <w:rPr>
          <w:rFonts w:ascii="Calibri" w:hAnsi="Calibri" w:cs="Calibri"/>
          <w:sz w:val="22"/>
          <w:szCs w:val="22"/>
        </w:rPr>
        <w:t xml:space="preserve">, providing </w:t>
      </w:r>
      <w:r w:rsidR="007E5003">
        <w:rPr>
          <w:rFonts w:ascii="Calibri" w:hAnsi="Calibri" w:cs="Calibri"/>
          <w:sz w:val="22"/>
          <w:szCs w:val="22"/>
        </w:rPr>
        <w:t xml:space="preserve">new venues for structured </w:t>
      </w:r>
      <w:r w:rsidRPr="00FB0275" w:rsidR="008515C4">
        <w:rPr>
          <w:rFonts w:ascii="Calibri" w:hAnsi="Calibri" w:cs="Calibri"/>
          <w:sz w:val="22"/>
          <w:szCs w:val="22"/>
        </w:rPr>
        <w:t>mechanistic reasoning</w:t>
      </w:r>
      <w:r w:rsidRPr="00BD6670" w:rsidR="00BD6670">
        <w:rPr>
          <w:rFonts w:ascii="Calibri" w:hAnsi="Calibri" w:cs="Calibri" w:eastAsiaTheme="minorHAnsi"/>
          <w:color w:val="000000"/>
          <w:sz w:val="22"/>
          <w:vertAlign w:val="superscript"/>
          <w14:ligatures w14:val="standardContextual"/>
        </w:rPr>
        <w:t>16</w:t>
      </w:r>
      <w:r w:rsidRPr="00FB0275" w:rsidR="008515C4">
        <w:rPr>
          <w:rFonts w:ascii="Calibri" w:hAnsi="Calibri" w:cs="Calibri"/>
          <w:sz w:val="22"/>
          <w:szCs w:val="22"/>
        </w:rPr>
        <w:t>.</w:t>
      </w:r>
      <w:r w:rsidR="008515C4">
        <w:rPr>
          <w:rFonts w:ascii="Calibri" w:hAnsi="Calibri" w:cs="Calibri"/>
          <w:sz w:val="22"/>
          <w:szCs w:val="22"/>
        </w:rPr>
        <w:t xml:space="preserve"> </w:t>
      </w:r>
      <w:r w:rsidRPr="007C4613" w:rsidR="007C4613">
        <w:rPr>
          <w:rFonts w:ascii="Calibri" w:hAnsi="Calibri" w:cs="Calibri"/>
          <w:sz w:val="22"/>
          <w:szCs w:val="22"/>
        </w:rPr>
        <w:t>Within this broader landscape, gene regulatory network (GRN) inference models aim to reconstruct causal, biologically grounded interactions between transcription factors and their target genes from high-dimensional data</w:t>
      </w:r>
      <w:r w:rsidRPr="00BD6670" w:rsidR="00BD6670">
        <w:rPr>
          <w:rFonts w:ascii="Calibri" w:hAnsi="Calibri" w:cs="Calibri" w:eastAsiaTheme="minorHAnsi"/>
          <w:sz w:val="22"/>
          <w:vertAlign w:val="superscript"/>
          <w14:ligatures w14:val="standardContextual"/>
        </w:rPr>
        <w:t>17</w:t>
      </w:r>
      <w:r w:rsidR="008515C4">
        <w:rPr>
          <w:rFonts w:ascii="Calibri" w:hAnsi="Calibri" w:cs="Calibri"/>
          <w:sz w:val="22"/>
          <w:szCs w:val="22"/>
          <w:vertAlign w:val="superscript"/>
        </w:rPr>
        <w:t xml:space="preserve">, </w:t>
      </w:r>
      <w:r w:rsidRPr="00BD6670" w:rsidR="00BD6670">
        <w:rPr>
          <w:rFonts w:ascii="Calibri" w:hAnsi="Calibri" w:cs="Calibri" w:eastAsiaTheme="minorHAnsi"/>
          <w:sz w:val="22"/>
          <w:vertAlign w:val="superscript"/>
          <w14:ligatures w14:val="standardContextual"/>
        </w:rPr>
        <w:t>18</w:t>
      </w:r>
      <w:r w:rsidR="008515C4">
        <w:rPr>
          <w:rFonts w:ascii="Calibri" w:hAnsi="Calibri" w:cs="Calibri"/>
          <w:sz w:val="22"/>
          <w:szCs w:val="22"/>
          <w:vertAlign w:val="superscript"/>
        </w:rPr>
        <w:t xml:space="preserve">, </w:t>
      </w:r>
      <w:r w:rsidRPr="00BD6670" w:rsidR="00BD6670">
        <w:rPr>
          <w:rFonts w:ascii="Calibri" w:hAnsi="Calibri" w:cs="Calibri" w:eastAsiaTheme="minorHAnsi"/>
          <w:sz w:val="22"/>
          <w:vertAlign w:val="superscript"/>
          <w14:ligatures w14:val="standardContextual"/>
        </w:rPr>
        <w:t>19</w:t>
      </w:r>
      <w:r w:rsidR="008515C4">
        <w:rPr>
          <w:rFonts w:ascii="Calibri" w:hAnsi="Calibri" w:cs="Calibri"/>
          <w:sz w:val="22"/>
          <w:szCs w:val="22"/>
        </w:rPr>
        <w:t xml:space="preserve">. </w:t>
      </w:r>
      <w:r w:rsidRPr="002D5FF0" w:rsidR="002D5FF0">
        <w:rPr>
          <w:rFonts w:ascii="Calibri" w:hAnsi="Calibri" w:cs="Calibri"/>
          <w:sz w:val="22"/>
          <w:szCs w:val="22"/>
        </w:rPr>
        <w:t xml:space="preserve">In principle, such models offer a bridge between single-cell measurements and mechanistic </w:t>
      </w:r>
      <w:r w:rsidRPr="002D5FF0" w:rsidR="002D5FF0">
        <w:rPr>
          <w:rFonts w:ascii="Calibri" w:hAnsi="Calibri" w:cs="Calibri"/>
          <w:sz w:val="22"/>
          <w:szCs w:val="22"/>
        </w:rPr>
        <w:t>explanations of fate decisions.</w:t>
      </w:r>
      <w:r w:rsidR="00A94CC2">
        <w:rPr>
          <w:rFonts w:ascii="Calibri" w:hAnsi="Calibri" w:cs="Calibri"/>
          <w:sz w:val="22"/>
          <w:szCs w:val="22"/>
        </w:rPr>
        <w:t xml:space="preserve"> </w:t>
      </w:r>
      <w:r w:rsidR="008515C4">
        <w:rPr>
          <w:rFonts w:ascii="Calibri" w:hAnsi="Calibri" w:cs="Calibri"/>
          <w:sz w:val="22"/>
          <w:szCs w:val="22"/>
        </w:rPr>
        <w:t>However, t</w:t>
      </w:r>
      <w:r w:rsidRPr="00494F1B" w:rsidR="008515C4">
        <w:rPr>
          <w:rFonts w:ascii="Calibri" w:hAnsi="Calibri" w:cs="Calibri"/>
          <w:sz w:val="22"/>
          <w:szCs w:val="22"/>
        </w:rPr>
        <w:t xml:space="preserve">he degree of causal insight a </w:t>
      </w:r>
      <w:r w:rsidR="008515C4">
        <w:rPr>
          <w:rFonts w:ascii="Calibri" w:hAnsi="Calibri" w:cs="Calibri"/>
          <w:sz w:val="22"/>
          <w:szCs w:val="22"/>
        </w:rPr>
        <w:t>mechanistic model</w:t>
      </w:r>
      <w:r w:rsidRPr="00494F1B" w:rsidR="008515C4">
        <w:rPr>
          <w:rFonts w:ascii="Calibri" w:hAnsi="Calibri" w:cs="Calibri"/>
          <w:sz w:val="22"/>
          <w:szCs w:val="22"/>
        </w:rPr>
        <w:t xml:space="preserve"> provides is constrained by the estimation errors inherent to current inference methods—true causality would require complete and error-free recovery of all regulatory interactions, a level of accuracy not yet achievable by state-of-the-art approaches.</w:t>
      </w:r>
      <w:r w:rsidRPr="00FB1998" w:rsidR="008515C4">
        <w:rPr>
          <w:rFonts w:ascii="Calibri" w:hAnsi="Calibri" w:cs="Calibri"/>
          <w:sz w:val="22"/>
          <w:szCs w:val="22"/>
        </w:rPr>
        <w:t xml:space="preserve"> </w:t>
      </w:r>
      <w:r w:rsidRPr="00494F1B" w:rsidR="008515C4">
        <w:rPr>
          <w:rFonts w:ascii="Calibri" w:hAnsi="Calibri" w:cs="Calibri"/>
          <w:sz w:val="22"/>
          <w:szCs w:val="22"/>
        </w:rPr>
        <w:t>Moreover, static formulations overlook transient regulatory events, while both static and dynamic approaches inflate false positives and miss context-specific links.</w:t>
      </w:r>
      <w:r w:rsidR="00366495">
        <w:rPr>
          <w:rFonts w:ascii="Calibri" w:hAnsi="Calibri" w:cs="Calibri"/>
          <w:sz w:val="22"/>
          <w:szCs w:val="22"/>
        </w:rPr>
        <w:t xml:space="preserve"> </w:t>
      </w:r>
      <w:r w:rsidRPr="00FB0275" w:rsidR="008515C4">
        <w:rPr>
          <w:rFonts w:ascii="Calibri" w:hAnsi="Calibri" w:cs="Calibri"/>
          <w:sz w:val="22"/>
          <w:szCs w:val="22"/>
        </w:rPr>
        <w:t xml:space="preserve">These limitations </w:t>
      </w:r>
      <w:r w:rsidR="00C3757C">
        <w:rPr>
          <w:rFonts w:ascii="Calibri" w:hAnsi="Calibri" w:cs="Calibri"/>
          <w:sz w:val="22"/>
          <w:szCs w:val="22"/>
        </w:rPr>
        <w:t xml:space="preserve">have </w:t>
      </w:r>
      <w:r w:rsidRPr="00FB0275" w:rsidR="008515C4">
        <w:rPr>
          <w:rFonts w:ascii="Calibri" w:hAnsi="Calibri" w:cs="Calibri"/>
          <w:sz w:val="22"/>
          <w:szCs w:val="22"/>
        </w:rPr>
        <w:t>motivate</w:t>
      </w:r>
      <w:r w:rsidR="008515C4">
        <w:rPr>
          <w:rFonts w:ascii="Calibri" w:hAnsi="Calibri" w:cs="Calibri"/>
          <w:sz w:val="22"/>
          <w:szCs w:val="22"/>
        </w:rPr>
        <w:t>d</w:t>
      </w:r>
      <w:r w:rsidRPr="00FB0275" w:rsidR="008515C4">
        <w:rPr>
          <w:rFonts w:ascii="Calibri" w:hAnsi="Calibri" w:cs="Calibri"/>
          <w:sz w:val="22"/>
          <w:szCs w:val="22"/>
        </w:rPr>
        <w:t xml:space="preserve"> hybrid approaches that integrate mechanistic modeling with machine learning</w:t>
      </w:r>
      <w:r w:rsidRPr="00484E40" w:rsidR="008515C4">
        <w:rPr>
          <w:rFonts w:ascii="Calibri" w:hAnsi="Calibri" w:cs="Calibri"/>
          <w:sz w:val="22"/>
          <w:szCs w:val="22"/>
        </w:rPr>
        <w:t xml:space="preserve"> and deep learnin</w:t>
      </w:r>
      <w:r w:rsidR="008515C4">
        <w:rPr>
          <w:rFonts w:ascii="Calibri" w:hAnsi="Calibri" w:cs="Calibri"/>
          <w:sz w:val="22"/>
          <w:szCs w:val="22"/>
        </w:rPr>
        <w:t>g</w:t>
      </w:r>
      <w:r w:rsidRPr="00BD6670" w:rsidR="00BD6670">
        <w:rPr>
          <w:rFonts w:ascii="Calibri" w:hAnsi="Calibri" w:cs="Calibri" w:eastAsiaTheme="minorHAnsi"/>
          <w:sz w:val="22"/>
          <w:vertAlign w:val="superscript"/>
          <w14:ligatures w14:val="standardContextual"/>
        </w:rPr>
        <w:t>20</w:t>
      </w:r>
      <w:r w:rsidRPr="00FB0275" w:rsidR="008515C4">
        <w:rPr>
          <w:rFonts w:ascii="Calibri" w:hAnsi="Calibri" w:cs="Calibri"/>
          <w:sz w:val="22"/>
          <w:szCs w:val="22"/>
        </w:rPr>
        <w:t xml:space="preserve">. </w:t>
      </w:r>
      <w:r w:rsidR="008515C4">
        <w:rPr>
          <w:rFonts w:ascii="Calibri" w:hAnsi="Calibri" w:cs="Calibri"/>
          <w:sz w:val="22"/>
          <w:szCs w:val="22"/>
        </w:rPr>
        <w:t>For instance, r</w:t>
      </w:r>
      <w:r w:rsidRPr="00FB0275" w:rsidR="008515C4">
        <w:rPr>
          <w:rFonts w:ascii="Calibri" w:hAnsi="Calibri" w:cs="Calibri"/>
          <w:sz w:val="22"/>
          <w:szCs w:val="22"/>
        </w:rPr>
        <w:t xml:space="preserve">ecent work has </w:t>
      </w:r>
      <w:r w:rsidRPr="004C6E32" w:rsidR="004C6E32">
        <w:rPr>
          <w:rFonts w:ascii="Calibri" w:hAnsi="Calibri" w:cs="Calibri"/>
          <w:sz w:val="22"/>
          <w:szCs w:val="22"/>
        </w:rPr>
        <w:t xml:space="preserve">combined learned embeddings of high-dimensional cytokine dynamics with mechanistic frameworks to uncover governing </w:t>
      </w:r>
      <w:r w:rsidR="00210342">
        <w:rPr>
          <w:rFonts w:ascii="Calibri" w:hAnsi="Calibri" w:cs="Calibri"/>
          <w:sz w:val="22"/>
          <w:szCs w:val="22"/>
        </w:rPr>
        <w:t>mechanism</w:t>
      </w:r>
      <w:r w:rsidRPr="004C6E32" w:rsidR="004C6E32">
        <w:rPr>
          <w:rFonts w:ascii="Calibri" w:hAnsi="Calibri" w:cs="Calibri"/>
          <w:sz w:val="22"/>
          <w:szCs w:val="22"/>
        </w:rPr>
        <w:t xml:space="preserve"> of T cell activation,</w:t>
      </w:r>
      <w:r w:rsidR="00151BD0">
        <w:rPr>
          <w:rFonts w:ascii="Calibri" w:hAnsi="Calibri" w:cs="Calibri"/>
          <w:sz w:val="22"/>
          <w:szCs w:val="22"/>
        </w:rPr>
        <w:t xml:space="preserve"> </w:t>
      </w:r>
      <w:r w:rsidRPr="00151BD0" w:rsidR="00151BD0">
        <w:rPr>
          <w:rFonts w:ascii="Calibri" w:hAnsi="Calibri" w:cs="Calibri"/>
          <w:sz w:val="22"/>
          <w:szCs w:val="22"/>
        </w:rPr>
        <w:t xml:space="preserve">illustrating how data-driven representations can be reconciled with biological </w:t>
      </w:r>
      <w:r w:rsidRPr="00C218F9" w:rsidR="00151BD0">
        <w:rPr>
          <w:rFonts w:ascii="Calibri" w:hAnsi="Calibri" w:cs="Calibri"/>
          <w:sz w:val="22"/>
          <w:szCs w:val="22"/>
        </w:rPr>
        <w:t>theory</w:t>
      </w:r>
      <w:r w:rsidRPr="00C218F9" w:rsidR="00BD6670">
        <w:rPr>
          <w:rFonts w:ascii="Calibri" w:hAnsi="Calibri" w:cs="Calibri" w:eastAsiaTheme="minorHAnsi"/>
          <w:vertAlign w:val="superscript"/>
          <w14:ligatures w14:val="standardContextual"/>
        </w:rPr>
        <w:t>21</w:t>
      </w:r>
      <w:r w:rsidRPr="00C218F9" w:rsidR="008515C4">
        <w:rPr>
          <w:rFonts w:ascii="Calibri" w:hAnsi="Calibri" w:cs="Calibri"/>
        </w:rPr>
        <w:t>.</w:t>
      </w:r>
      <w:r w:rsidR="00151BD0">
        <w:t xml:space="preserve"> </w:t>
      </w:r>
      <w:r w:rsidR="008515C4">
        <w:rPr>
          <w:rFonts w:ascii="Calibri" w:hAnsi="Calibri" w:eastAsia="Arial" w:cs="Calibri"/>
          <w:color w:val="000000" w:themeColor="text1"/>
          <w:sz w:val="22"/>
          <w:szCs w:val="22"/>
        </w:rPr>
        <w:t>However, despite such progress,</w:t>
      </w:r>
      <w:r w:rsidRPr="0059625A" w:rsidR="008515C4">
        <w:rPr>
          <w:rFonts w:ascii="Calibri" w:hAnsi="Calibri" w:eastAsia="Arial" w:cs="Calibri"/>
          <w:color w:val="000000" w:themeColor="text1"/>
          <w:sz w:val="22"/>
          <w:szCs w:val="22"/>
        </w:rPr>
        <w:t xml:space="preserve"> systems </w:t>
      </w:r>
      <w:r w:rsidR="008515C4">
        <w:rPr>
          <w:rFonts w:ascii="Calibri" w:hAnsi="Calibri" w:eastAsia="Arial" w:cs="Calibri"/>
          <w:color w:val="000000" w:themeColor="text1"/>
          <w:sz w:val="22"/>
          <w:szCs w:val="22"/>
        </w:rPr>
        <w:t>biology</w:t>
      </w:r>
      <w:r w:rsidRPr="0059625A" w:rsidR="008515C4">
        <w:rPr>
          <w:rFonts w:ascii="Calibri" w:hAnsi="Calibri" w:eastAsia="Arial" w:cs="Calibri"/>
          <w:color w:val="000000" w:themeColor="text1"/>
          <w:sz w:val="22"/>
          <w:szCs w:val="22"/>
        </w:rPr>
        <w:t xml:space="preserve"> lacks a coherent framework where </w:t>
      </w:r>
      <w:r w:rsidRPr="005264FC" w:rsidR="005264FC">
        <w:rPr>
          <w:rFonts w:ascii="Calibri" w:hAnsi="Calibri" w:eastAsia="Arial" w:cs="Calibri"/>
          <w:color w:val="000000" w:themeColor="text1"/>
          <w:sz w:val="22"/>
          <w:szCs w:val="22"/>
        </w:rPr>
        <w:t xml:space="preserve">mechanistically modeled </w:t>
      </w:r>
      <w:r w:rsidRPr="0059625A" w:rsidR="008515C4">
        <w:rPr>
          <w:rFonts w:ascii="Calibri" w:hAnsi="Calibri" w:eastAsia="Arial" w:cs="Calibri"/>
          <w:color w:val="000000" w:themeColor="text1"/>
          <w:sz w:val="22"/>
          <w:szCs w:val="22"/>
        </w:rPr>
        <w:t xml:space="preserve">genes, transcription factors, and </w:t>
      </w:r>
      <w:r w:rsidR="005264FC">
        <w:rPr>
          <w:rFonts w:ascii="Calibri" w:hAnsi="Calibri" w:eastAsia="Arial" w:cs="Calibri"/>
          <w:color w:val="000000" w:themeColor="text1"/>
          <w:sz w:val="22"/>
          <w:szCs w:val="22"/>
        </w:rPr>
        <w:t xml:space="preserve">their </w:t>
      </w:r>
      <w:r w:rsidRPr="0059625A" w:rsidR="008515C4">
        <w:rPr>
          <w:rFonts w:ascii="Calibri" w:hAnsi="Calibri" w:eastAsia="Arial" w:cs="Calibri"/>
          <w:color w:val="000000" w:themeColor="text1"/>
          <w:sz w:val="22"/>
          <w:szCs w:val="22"/>
        </w:rPr>
        <w:t xml:space="preserve">interactions </w:t>
      </w:r>
      <w:r w:rsidR="006A43E8">
        <w:rPr>
          <w:rFonts w:ascii="Calibri" w:hAnsi="Calibri" w:eastAsia="Arial" w:cs="Calibri"/>
          <w:color w:val="000000" w:themeColor="text1"/>
          <w:sz w:val="22"/>
          <w:szCs w:val="22"/>
        </w:rPr>
        <w:t>are</w:t>
      </w:r>
      <w:r w:rsidRPr="0059625A" w:rsidR="008515C4">
        <w:rPr>
          <w:rFonts w:ascii="Calibri" w:hAnsi="Calibri" w:eastAsia="Arial" w:cs="Calibri"/>
          <w:color w:val="000000" w:themeColor="text1"/>
          <w:sz w:val="22"/>
          <w:szCs w:val="22"/>
        </w:rPr>
        <w:t xml:space="preserve"> distilled </w:t>
      </w:r>
      <w:r w:rsidR="006A43E8">
        <w:rPr>
          <w:rFonts w:ascii="Calibri" w:hAnsi="Calibri" w:eastAsia="Arial" w:cs="Calibri"/>
          <w:color w:val="000000" w:themeColor="text1"/>
          <w:sz w:val="22"/>
          <w:szCs w:val="22"/>
        </w:rPr>
        <w:t>in</w:t>
      </w:r>
      <w:r w:rsidRPr="0059625A" w:rsidR="008515C4">
        <w:rPr>
          <w:rFonts w:ascii="Calibri" w:hAnsi="Calibri" w:eastAsia="Arial" w:cs="Calibri"/>
          <w:color w:val="000000" w:themeColor="text1"/>
          <w:sz w:val="22"/>
          <w:szCs w:val="22"/>
        </w:rPr>
        <w:t xml:space="preserve">to </w:t>
      </w:r>
      <w:r w:rsidR="006A43E8">
        <w:rPr>
          <w:rFonts w:ascii="Calibri" w:hAnsi="Calibri" w:eastAsia="Arial" w:cs="Calibri"/>
          <w:color w:val="000000" w:themeColor="text1"/>
          <w:sz w:val="22"/>
          <w:szCs w:val="22"/>
        </w:rPr>
        <w:t>compact</w:t>
      </w:r>
      <w:r w:rsidR="001B16C3">
        <w:rPr>
          <w:rFonts w:ascii="Calibri" w:hAnsi="Calibri" w:eastAsia="Arial" w:cs="Calibri"/>
          <w:color w:val="000000" w:themeColor="text1"/>
          <w:sz w:val="22"/>
          <w:szCs w:val="22"/>
        </w:rPr>
        <w:t xml:space="preserve"> </w:t>
      </w:r>
      <w:r w:rsidRPr="0059625A" w:rsidR="008515C4">
        <w:rPr>
          <w:rFonts w:ascii="Calibri" w:hAnsi="Calibri" w:eastAsia="Arial" w:cs="Calibri"/>
          <w:color w:val="000000" w:themeColor="text1"/>
          <w:sz w:val="22"/>
          <w:szCs w:val="22"/>
        </w:rPr>
        <w:t>regulatory modules</w:t>
      </w:r>
      <w:r w:rsidR="006A43E8">
        <w:rPr>
          <w:rFonts w:ascii="Calibri" w:hAnsi="Calibri" w:eastAsia="Arial" w:cs="Calibri"/>
          <w:color w:val="000000" w:themeColor="text1"/>
          <w:sz w:val="22"/>
          <w:szCs w:val="22"/>
        </w:rPr>
        <w:t xml:space="preserve"> that are</w:t>
      </w:r>
      <w:r w:rsidRPr="0059625A" w:rsidR="008515C4">
        <w:rPr>
          <w:rFonts w:ascii="Calibri" w:hAnsi="Calibri" w:eastAsia="Arial" w:cs="Calibri"/>
          <w:color w:val="000000" w:themeColor="text1"/>
          <w:sz w:val="22"/>
          <w:szCs w:val="22"/>
        </w:rPr>
        <w:t xml:space="preserve"> functionally constrained to </w:t>
      </w:r>
      <w:r w:rsidR="00C457B2">
        <w:rPr>
          <w:rFonts w:ascii="Calibri" w:hAnsi="Calibri" w:eastAsia="Arial" w:cs="Calibri"/>
          <w:color w:val="000000" w:themeColor="text1"/>
          <w:sz w:val="22"/>
          <w:szCs w:val="22"/>
        </w:rPr>
        <w:t>drive</w:t>
      </w:r>
      <w:r w:rsidRPr="0059625A" w:rsidR="008515C4">
        <w:rPr>
          <w:rFonts w:ascii="Calibri" w:hAnsi="Calibri" w:eastAsia="Arial" w:cs="Calibri"/>
          <w:color w:val="000000" w:themeColor="text1"/>
          <w:sz w:val="22"/>
          <w:szCs w:val="22"/>
        </w:rPr>
        <w:t xml:space="preserve"> lineage </w:t>
      </w:r>
      <w:r w:rsidR="00C457B2">
        <w:rPr>
          <w:rFonts w:ascii="Calibri" w:hAnsi="Calibri" w:eastAsia="Arial" w:cs="Calibri"/>
          <w:color w:val="000000" w:themeColor="text1"/>
          <w:sz w:val="22"/>
          <w:szCs w:val="22"/>
        </w:rPr>
        <w:t>commitment at single-cell resolution</w:t>
      </w:r>
      <w:r w:rsidRPr="0059625A" w:rsidR="008515C4">
        <w:rPr>
          <w:rFonts w:ascii="Calibri" w:hAnsi="Calibri" w:eastAsia="Arial" w:cs="Calibri"/>
          <w:color w:val="000000" w:themeColor="text1"/>
          <w:sz w:val="22"/>
          <w:szCs w:val="22"/>
        </w:rPr>
        <w:t>.</w:t>
      </w:r>
    </w:p>
    <w:p w:rsidRPr="00053981" w:rsidR="008515C4" w:rsidP="008515C4" w:rsidRDefault="008515C4" w14:paraId="2F171765" w14:textId="36CAF973">
      <w:pPr>
        <w:jc w:val="both"/>
        <w:rPr>
          <w:rFonts w:ascii="Calibri" w:hAnsi="Calibri" w:cs="Calibri"/>
        </w:rPr>
      </w:pPr>
      <w:r w:rsidRPr="00686C9F">
        <w:rPr>
          <w:rFonts w:ascii="Calibri" w:hAnsi="Calibri" w:cs="Calibri"/>
        </w:rPr>
        <w:t xml:space="preserve">Here, we introduce </w:t>
      </w:r>
      <w:proofErr w:type="spellStart"/>
      <w:r w:rsidRPr="00686C9F">
        <w:rPr>
          <w:rFonts w:ascii="Calibri" w:hAnsi="Calibri" w:cs="Calibri"/>
        </w:rPr>
        <w:t>FIREFate</w:t>
      </w:r>
      <w:proofErr w:type="spellEnd"/>
      <w:r w:rsidRPr="00686C9F">
        <w:rPr>
          <w:rFonts w:ascii="Calibri" w:hAnsi="Calibri" w:cs="Calibri"/>
        </w:rPr>
        <w:t xml:space="preserve"> (Functional and Interpretable Regulatory Encoding of Fate determination), a conceptual paradigm designed to overcome these limitations by performing two downstream tasks. </w:t>
      </w:r>
      <w:proofErr w:type="spellStart"/>
      <w:r w:rsidRPr="00686C9F">
        <w:rPr>
          <w:rFonts w:ascii="Calibri" w:hAnsi="Calibri" w:cs="Calibri"/>
        </w:rPr>
        <w:t>FIREFate</w:t>
      </w:r>
      <w:proofErr w:type="spellEnd"/>
      <w:r w:rsidRPr="00686C9F">
        <w:rPr>
          <w:rFonts w:ascii="Calibri" w:hAnsi="Calibri" w:cs="Calibri"/>
        </w:rPr>
        <w:t xml:space="preserve"> enables us to delineate the key regulatory modules driving the cell state transitions</w:t>
      </w:r>
      <w:r w:rsidR="0028298E">
        <w:rPr>
          <w:rFonts w:ascii="Calibri" w:hAnsi="Calibri" w:cs="Calibri"/>
        </w:rPr>
        <w:t xml:space="preserve"> </w:t>
      </w:r>
      <w:r w:rsidRPr="00686C9F">
        <w:rPr>
          <w:rFonts w:ascii="Calibri" w:hAnsi="Calibri" w:cs="Calibri"/>
        </w:rPr>
        <w:t xml:space="preserve">by integrating interpretable machine learning models with mechanistic GRN inference, while also determining dynamic TF activity through a GRN-independent formalization that leads to predict cell fate decision. </w:t>
      </w:r>
      <w:r w:rsidRPr="0074625C" w:rsidR="00226441">
        <w:rPr>
          <w:rFonts w:ascii="Calibri" w:hAnsi="Calibri" w:cs="Calibri"/>
        </w:rPr>
        <w:t xml:space="preserve">It leverages interpretable machine learning to infer cellular programs that are necessary and sufficient to distinguish cell populations. Importantly, the </w:t>
      </w:r>
      <w:r w:rsidRPr="0074625C" w:rsidR="009561A6">
        <w:rPr>
          <w:rFonts w:ascii="Calibri" w:hAnsi="Calibri" w:cs="Calibri"/>
        </w:rPr>
        <w:t xml:space="preserve">interpretable machine learning </w:t>
      </w:r>
      <w:r w:rsidRPr="0074625C" w:rsidR="00226441">
        <w:rPr>
          <w:rFonts w:ascii="Calibri" w:hAnsi="Calibri" w:cs="Calibri"/>
        </w:rPr>
        <w:t xml:space="preserve">model goes beyond prediction by providing statistically </w:t>
      </w:r>
      <w:r w:rsidR="003E7C1C">
        <w:rPr>
          <w:rFonts w:ascii="Calibri" w:hAnsi="Calibri" w:cs="Calibri"/>
        </w:rPr>
        <w:t>grounded</w:t>
      </w:r>
      <w:r w:rsidRPr="0074625C" w:rsidR="00226441">
        <w:rPr>
          <w:rFonts w:ascii="Calibri" w:hAnsi="Calibri" w:cs="Calibri"/>
        </w:rPr>
        <w:t xml:space="preserve"> explanations of the response of interest and suggesting potential underlying regulatory mechanisms, while not implying explicit biological causalit</w:t>
      </w:r>
      <w:r w:rsidRPr="0097057A" w:rsidR="00226441">
        <w:rPr>
          <w:rFonts w:ascii="Calibri" w:hAnsi="Calibri" w:cs="Calibri"/>
        </w:rPr>
        <w:t>y.</w:t>
      </w:r>
      <w:r w:rsidRPr="0097057A" w:rsidR="002D2444">
        <w:rPr>
          <w:rFonts w:ascii="Calibri" w:hAnsi="Calibri" w:cs="Calibri"/>
        </w:rPr>
        <w:t xml:space="preserve"> </w:t>
      </w:r>
      <w:proofErr w:type="spellStart"/>
      <w:r w:rsidRPr="0097057A">
        <w:rPr>
          <w:rFonts w:ascii="Calibri" w:hAnsi="Calibri" w:cs="Calibri"/>
        </w:rPr>
        <w:t>FIREFate</w:t>
      </w:r>
      <w:proofErr w:type="spellEnd"/>
      <w:r w:rsidRPr="0097057A" w:rsidR="00196746">
        <w:rPr>
          <w:rFonts w:ascii="Calibri" w:hAnsi="Calibri" w:cs="Calibri"/>
        </w:rPr>
        <w:t xml:space="preserve"> then</w:t>
      </w:r>
      <w:r w:rsidRPr="0097057A">
        <w:rPr>
          <w:rFonts w:ascii="Calibri" w:hAnsi="Calibri" w:cs="Calibri"/>
        </w:rPr>
        <w:t xml:space="preserve"> </w:t>
      </w:r>
      <w:r w:rsidRPr="0097057A">
        <w:rPr>
          <w:rFonts w:ascii="Calibri" w:hAnsi="Calibri" w:eastAsia="Times New Roman" w:cs="Calibri"/>
          <w:lang w:val="en-US"/>
        </w:rPr>
        <w:t xml:space="preserve">encodes </w:t>
      </w:r>
      <w:r w:rsidRPr="0097057A">
        <w:rPr>
          <w:rFonts w:ascii="Calibri" w:hAnsi="Calibri" w:cs="Calibri"/>
        </w:rPr>
        <w:t>th</w:t>
      </w:r>
      <w:r w:rsidR="005154D3">
        <w:rPr>
          <w:rFonts w:ascii="Calibri" w:hAnsi="Calibri" w:cs="Calibri"/>
        </w:rPr>
        <w:t>e</w:t>
      </w:r>
      <w:r w:rsidR="00373C79">
        <w:rPr>
          <w:rFonts w:ascii="Calibri" w:hAnsi="Calibri" w:cs="Calibri"/>
        </w:rPr>
        <w:t>se</w:t>
      </w:r>
      <w:r w:rsidRPr="0097057A">
        <w:rPr>
          <w:rFonts w:ascii="Calibri" w:hAnsi="Calibri" w:cs="Calibri"/>
        </w:rPr>
        <w:t xml:space="preserve"> programs </w:t>
      </w:r>
      <w:r w:rsidR="005154D3">
        <w:rPr>
          <w:rFonts w:ascii="Calibri" w:hAnsi="Calibri" w:cs="Calibri"/>
        </w:rPr>
        <w:t xml:space="preserve">derived from the interpretable machine learning model </w:t>
      </w:r>
      <w:r w:rsidRPr="0097057A">
        <w:rPr>
          <w:rFonts w:ascii="Calibri" w:hAnsi="Calibri" w:cs="Calibri"/>
        </w:rPr>
        <w:t xml:space="preserve">into </w:t>
      </w:r>
      <w:r w:rsidRPr="0097057A" w:rsidR="00941419">
        <w:rPr>
          <w:rFonts w:ascii="Calibri" w:hAnsi="Calibri" w:cs="Calibri"/>
        </w:rPr>
        <w:t>GRNs</w:t>
      </w:r>
      <w:r w:rsidR="00A40CD7">
        <w:rPr>
          <w:rFonts w:ascii="Calibri" w:hAnsi="Calibri" w:cs="Calibri"/>
        </w:rPr>
        <w:t>,</w:t>
      </w:r>
      <w:r w:rsidRPr="0097057A" w:rsidR="002D2444">
        <w:rPr>
          <w:rFonts w:ascii="Calibri" w:hAnsi="Calibri" w:cs="Calibri"/>
        </w:rPr>
        <w:t xml:space="preserve"> </w:t>
      </w:r>
      <w:r w:rsidR="00A40CD7">
        <w:rPr>
          <w:rFonts w:ascii="Calibri" w:hAnsi="Calibri" w:cs="Calibri"/>
        </w:rPr>
        <w:t>which</w:t>
      </w:r>
      <w:r w:rsidRPr="0097057A" w:rsidR="002D2444">
        <w:rPr>
          <w:rFonts w:ascii="Calibri" w:hAnsi="Calibri" w:cs="Calibri"/>
        </w:rPr>
        <w:t xml:space="preserve"> provide a causal representation of transcriptional regulation</w:t>
      </w:r>
      <w:r w:rsidR="00D95F67">
        <w:rPr>
          <w:rFonts w:ascii="Calibri" w:hAnsi="Calibri" w:cs="Calibri"/>
        </w:rPr>
        <w:t>,</w:t>
      </w:r>
      <w:r w:rsidR="00CB0E86">
        <w:rPr>
          <w:rFonts w:ascii="Calibri" w:hAnsi="Calibri" w:cs="Calibri"/>
        </w:rPr>
        <w:t xml:space="preserve"> and </w:t>
      </w:r>
      <w:r w:rsidRPr="0097057A" w:rsidR="00CB0E86">
        <w:rPr>
          <w:rFonts w:ascii="Calibri" w:hAnsi="Calibri" w:cs="Calibri"/>
        </w:rPr>
        <w:t>highlight</w:t>
      </w:r>
      <w:r w:rsidR="0011048D">
        <w:rPr>
          <w:rFonts w:ascii="Calibri" w:hAnsi="Calibri" w:cs="Calibri"/>
        </w:rPr>
        <w:t>s</w:t>
      </w:r>
      <w:r w:rsidRPr="0097057A" w:rsidR="00CB0E86">
        <w:rPr>
          <w:rFonts w:ascii="Calibri" w:hAnsi="Calibri" w:cs="Calibri"/>
        </w:rPr>
        <w:t xml:space="preserve"> the most relevant and distinctive regulatory circuits that distinguish cell</w:t>
      </w:r>
      <w:r w:rsidR="00CB0E86">
        <w:rPr>
          <w:rFonts w:ascii="Calibri" w:hAnsi="Calibri" w:cs="Calibri"/>
        </w:rPr>
        <w:t xml:space="preserve"> </w:t>
      </w:r>
      <w:r w:rsidR="00D95F67">
        <w:rPr>
          <w:rFonts w:ascii="Calibri" w:hAnsi="Calibri" w:cs="Calibri"/>
        </w:rPr>
        <w:t>states</w:t>
      </w:r>
      <w:r w:rsidR="00CB0E86">
        <w:rPr>
          <w:rFonts w:ascii="Calibri" w:hAnsi="Calibri" w:cs="Calibri"/>
        </w:rPr>
        <w:t xml:space="preserve">. </w:t>
      </w:r>
      <w:r w:rsidRPr="0097057A" w:rsidR="00131C57">
        <w:rPr>
          <w:rFonts w:ascii="Calibri" w:hAnsi="Calibri" w:cs="Calibri"/>
        </w:rPr>
        <w:t>By</w:t>
      </w:r>
      <w:r w:rsidRPr="0097057A" w:rsidR="00385673">
        <w:rPr>
          <w:rFonts w:ascii="Calibri" w:hAnsi="Calibri" w:cs="Calibri"/>
        </w:rPr>
        <w:t xml:space="preserve"> integrat</w:t>
      </w:r>
      <w:r w:rsidRPr="0097057A" w:rsidR="00131C57">
        <w:rPr>
          <w:rFonts w:ascii="Calibri" w:hAnsi="Calibri" w:cs="Calibri"/>
        </w:rPr>
        <w:t>ing</w:t>
      </w:r>
      <w:r w:rsidRPr="0097057A" w:rsidR="00385673">
        <w:rPr>
          <w:rFonts w:ascii="Calibri" w:hAnsi="Calibri" w:cs="Calibri"/>
        </w:rPr>
        <w:t xml:space="preserve"> </w:t>
      </w:r>
      <w:r w:rsidRPr="0097057A" w:rsidR="00AF6669">
        <w:rPr>
          <w:rFonts w:ascii="Calibri" w:hAnsi="Calibri" w:cs="Calibri"/>
        </w:rPr>
        <w:t>interpretable machine learning progr</w:t>
      </w:r>
      <w:r w:rsidRPr="0097057A" w:rsidR="00904877">
        <w:rPr>
          <w:rFonts w:ascii="Calibri" w:hAnsi="Calibri" w:cs="Calibri"/>
        </w:rPr>
        <w:t>ams with GRNs</w:t>
      </w:r>
      <w:r w:rsidR="006A489F">
        <w:rPr>
          <w:rFonts w:ascii="Calibri" w:hAnsi="Calibri" w:cs="Calibri"/>
        </w:rPr>
        <w:t xml:space="preserve"> derived from multiple </w:t>
      </w:r>
      <w:r w:rsidR="009E5728">
        <w:rPr>
          <w:rFonts w:ascii="Calibri" w:hAnsi="Calibri" w:cs="Calibri"/>
        </w:rPr>
        <w:t xml:space="preserve">inference </w:t>
      </w:r>
      <w:r w:rsidR="006A489F">
        <w:rPr>
          <w:rFonts w:ascii="Calibri" w:hAnsi="Calibri" w:cs="Calibri"/>
        </w:rPr>
        <w:t>methods</w:t>
      </w:r>
      <w:r w:rsidRPr="0097057A" w:rsidR="0018730B">
        <w:rPr>
          <w:rFonts w:ascii="Calibri" w:hAnsi="Calibri" w:cs="Calibri"/>
        </w:rPr>
        <w:t>,</w:t>
      </w:r>
      <w:r w:rsidRPr="0097057A" w:rsidR="00904877">
        <w:rPr>
          <w:rFonts w:ascii="Calibri" w:hAnsi="Calibri" w:cs="Calibri"/>
        </w:rPr>
        <w:t xml:space="preserve"> </w:t>
      </w:r>
      <w:proofErr w:type="spellStart"/>
      <w:r w:rsidRPr="0097057A" w:rsidR="009E5728">
        <w:rPr>
          <w:rFonts w:ascii="Calibri" w:hAnsi="Calibri" w:cs="Calibri"/>
        </w:rPr>
        <w:t>FIREFate</w:t>
      </w:r>
      <w:proofErr w:type="spellEnd"/>
      <w:r w:rsidRPr="009E5728" w:rsidR="009E5728">
        <w:rPr>
          <w:rFonts w:ascii="Calibri" w:hAnsi="Calibri" w:cs="Calibri"/>
        </w:rPr>
        <w:t xml:space="preserve"> </w:t>
      </w:r>
      <w:r w:rsidRPr="00686C9F" w:rsidR="009E5728">
        <w:rPr>
          <w:rFonts w:ascii="Calibri" w:hAnsi="Calibri" w:cs="Calibri"/>
        </w:rPr>
        <w:t>extend</w:t>
      </w:r>
      <w:r w:rsidR="009E5728">
        <w:rPr>
          <w:rFonts w:ascii="Calibri" w:hAnsi="Calibri" w:cs="Calibri"/>
        </w:rPr>
        <w:t>s</w:t>
      </w:r>
      <w:r w:rsidRPr="00686C9F" w:rsidR="009E5728">
        <w:rPr>
          <w:rFonts w:ascii="Calibri" w:hAnsi="Calibri" w:cs="Calibri"/>
        </w:rPr>
        <w:t xml:space="preserve"> beyond differential expression signatures </w:t>
      </w:r>
      <w:r w:rsidRPr="00D30736" w:rsidR="009E5728">
        <w:rPr>
          <w:rFonts w:ascii="Calibri" w:hAnsi="Calibri" w:cs="Calibri"/>
        </w:rPr>
        <w:t xml:space="preserve">and </w:t>
      </w:r>
      <w:r w:rsidR="009E5728">
        <w:rPr>
          <w:rFonts w:ascii="Calibri" w:hAnsi="Calibri" w:cs="Calibri"/>
        </w:rPr>
        <w:t>enables</w:t>
      </w:r>
      <w:r w:rsidRPr="00D30736" w:rsidR="009E5728">
        <w:rPr>
          <w:rFonts w:ascii="Calibri" w:hAnsi="Calibri" w:cs="Calibri"/>
        </w:rPr>
        <w:t xml:space="preserve"> prioritization of </w:t>
      </w:r>
      <w:r w:rsidR="00106FBC">
        <w:rPr>
          <w:rFonts w:ascii="Calibri" w:hAnsi="Calibri" w:cs="Calibri"/>
        </w:rPr>
        <w:t xml:space="preserve">key </w:t>
      </w:r>
      <w:r w:rsidRPr="00D30736" w:rsidR="009E5728">
        <w:rPr>
          <w:rFonts w:ascii="Calibri" w:hAnsi="Calibri" w:cs="Calibri"/>
        </w:rPr>
        <w:t xml:space="preserve">GRN modules and </w:t>
      </w:r>
      <w:r w:rsidR="009E5728">
        <w:rPr>
          <w:rFonts w:ascii="Calibri" w:hAnsi="Calibri" w:cs="Calibri"/>
        </w:rPr>
        <w:t xml:space="preserve">individual </w:t>
      </w:r>
      <w:r w:rsidR="00106FBC">
        <w:rPr>
          <w:rFonts w:ascii="Calibri" w:hAnsi="Calibri" w:cs="Calibri"/>
        </w:rPr>
        <w:t xml:space="preserve">regulatory </w:t>
      </w:r>
      <w:r w:rsidRPr="00D30736" w:rsidR="009E5728">
        <w:rPr>
          <w:rFonts w:ascii="Calibri" w:hAnsi="Calibri" w:cs="Calibri"/>
        </w:rPr>
        <w:t xml:space="preserve">components for experimental </w:t>
      </w:r>
      <w:r w:rsidR="00BB01ED">
        <w:rPr>
          <w:rFonts w:ascii="Calibri" w:hAnsi="Calibri" w:cs="Calibri"/>
        </w:rPr>
        <w:t>validation</w:t>
      </w:r>
      <w:r w:rsidRPr="00D30736" w:rsidR="009E5728">
        <w:rPr>
          <w:rFonts w:ascii="Calibri" w:hAnsi="Calibri" w:cs="Calibri"/>
        </w:rPr>
        <w:t>.</w:t>
      </w:r>
      <w:r w:rsidRPr="00686C9F" w:rsidR="009E5728">
        <w:rPr>
          <w:rFonts w:ascii="Calibri" w:hAnsi="Calibri" w:cs="Calibri"/>
        </w:rPr>
        <w:t xml:space="preserve"> </w:t>
      </w:r>
      <w:r w:rsidRPr="00686C9F">
        <w:rPr>
          <w:rFonts w:ascii="Calibri" w:hAnsi="Calibri" w:cs="Calibri"/>
        </w:rPr>
        <w:t xml:space="preserve">Orthogonally, </w:t>
      </w:r>
      <w:proofErr w:type="spellStart"/>
      <w:r w:rsidRPr="00686C9F">
        <w:rPr>
          <w:rFonts w:ascii="Calibri" w:hAnsi="Calibri" w:cs="Calibri"/>
        </w:rPr>
        <w:t>FIREFate</w:t>
      </w:r>
      <w:proofErr w:type="spellEnd"/>
      <w:r w:rsidRPr="00686C9F">
        <w:rPr>
          <w:rFonts w:ascii="Calibri" w:hAnsi="Calibri" w:cs="Calibri"/>
        </w:rPr>
        <w:t xml:space="preserve"> provides a GRN-independent formalization by transferring the cellular programs </w:t>
      </w:r>
      <w:r w:rsidRPr="00FB0275">
        <w:rPr>
          <w:rFonts w:ascii="Calibri" w:hAnsi="Calibri" w:eastAsia="Calibri" w:cs="Calibri"/>
          <w:color w:val="000000" w:themeColor="text1"/>
          <w:lang w:val="en-US"/>
        </w:rPr>
        <w:t>inferred from TF-perturbation data</w:t>
      </w:r>
      <w:r w:rsidRPr="00686C9F">
        <w:rPr>
          <w:rFonts w:ascii="Calibri" w:hAnsi="Calibri" w:cs="Calibri"/>
        </w:rPr>
        <w:t xml:space="preserve"> to resolve dynamic TF activity, enabling prediction of fate bias in uncommitted cells and uncovering latent</w:t>
      </w:r>
      <w:r w:rsidR="00936230">
        <w:rPr>
          <w:rFonts w:ascii="Calibri" w:hAnsi="Calibri" w:cs="Calibri"/>
        </w:rPr>
        <w:t xml:space="preserve"> </w:t>
      </w:r>
      <w:r w:rsidRPr="00936230" w:rsidR="00936230">
        <w:rPr>
          <w:rFonts w:ascii="Calibri" w:hAnsi="Calibri" w:cs="Calibri"/>
        </w:rPr>
        <w:t>architectures that emerge prior to clear phenotypic divergence</w:t>
      </w:r>
      <w:r w:rsidRPr="00686C9F">
        <w:rPr>
          <w:rFonts w:ascii="Calibri" w:hAnsi="Calibri" w:cs="Calibri"/>
        </w:rPr>
        <w:t xml:space="preserve">. Applied to the B-cell PB–GC cell bifurcation and to T-cell exhaustion, </w:t>
      </w:r>
      <w:proofErr w:type="spellStart"/>
      <w:r w:rsidRPr="00686C9F">
        <w:rPr>
          <w:rFonts w:ascii="Calibri" w:hAnsi="Calibri" w:cs="Calibri"/>
        </w:rPr>
        <w:t>FIREFate</w:t>
      </w:r>
      <w:proofErr w:type="spellEnd"/>
      <w:r w:rsidRPr="00686C9F">
        <w:rPr>
          <w:rFonts w:ascii="Calibri" w:hAnsi="Calibri" w:cs="Calibri"/>
        </w:rPr>
        <w:t xml:space="preserve"> uncovers key sets of canonical regulators without prior knowledge </w:t>
      </w:r>
      <w:r w:rsidRPr="3FC5F5E9">
        <w:rPr>
          <w:rFonts w:ascii="Calibri" w:hAnsi="Calibri" w:cs="Calibri"/>
        </w:rPr>
        <w:t>identifies</w:t>
      </w:r>
      <w:r w:rsidRPr="00686C9F">
        <w:rPr>
          <w:rFonts w:ascii="Calibri" w:hAnsi="Calibri" w:cs="Calibri"/>
        </w:rPr>
        <w:t xml:space="preserve"> previously unrecognized drivers and consistently outperforms state-of-the-art methods in regulatory specificity and sensitivity.</w:t>
      </w:r>
    </w:p>
    <w:p w:rsidRPr="009658C3" w:rsidR="008515C4" w:rsidP="008515C4" w:rsidRDefault="008515C4" w14:paraId="23E9531D" w14:textId="77777777">
      <w:pPr>
        <w:pStyle w:val="Heading2"/>
        <w:pBdr>
          <w:bottom w:val="single" w:color="auto" w:sz="4" w:space="1"/>
        </w:pBdr>
        <w:jc w:val="both"/>
        <w:rPr>
          <w:rFonts w:ascii="Calibri" w:hAnsi="Calibri" w:cs="Calibri"/>
          <w:b/>
          <w:bCs/>
          <w:color w:val="000000" w:themeColor="text1"/>
          <w:sz w:val="28"/>
          <w:szCs w:val="28"/>
        </w:rPr>
      </w:pPr>
      <w:r w:rsidRPr="009658C3">
        <w:rPr>
          <w:rFonts w:ascii="Calibri" w:hAnsi="Calibri" w:cs="Calibri"/>
          <w:b/>
          <w:bCs/>
          <w:color w:val="000000" w:themeColor="text1"/>
          <w:sz w:val="28"/>
          <w:szCs w:val="28"/>
        </w:rPr>
        <w:t>RESULTS</w:t>
      </w:r>
    </w:p>
    <w:p w:rsidRPr="009658C3" w:rsidR="008515C4" w:rsidP="008515C4" w:rsidRDefault="008515C4" w14:paraId="492635B5" w14:textId="77777777">
      <w:pPr>
        <w:spacing w:before="320" w:after="80"/>
        <w:jc w:val="both"/>
        <w:rPr>
          <w:rFonts w:ascii="Calibri" w:hAnsi="Calibri" w:cs="Calibri"/>
          <w:b/>
          <w:color w:val="000000" w:themeColor="text1"/>
          <w:sz w:val="24"/>
          <w:szCs w:val="24"/>
        </w:rPr>
      </w:pPr>
      <w:r w:rsidRPr="009658C3">
        <w:rPr>
          <w:rFonts w:ascii="Calibri" w:hAnsi="Calibri" w:cs="Calibri"/>
          <w:b/>
          <w:color w:val="000000" w:themeColor="text1"/>
          <w:sz w:val="24"/>
          <w:szCs w:val="24"/>
        </w:rPr>
        <w:t>Integrative Module for linking Interpretable Cellular programs with Gene Regulatory Networks Uncovers Regulons Driving Cell Fate Decisions</w:t>
      </w:r>
    </w:p>
    <w:p w:rsidRPr="004843ED" w:rsidR="008515C4" w:rsidP="008515C4" w:rsidRDefault="008515C4" w14:paraId="189FB54C" w14:textId="6B377B29">
      <w:pPr>
        <w:spacing w:before="240" w:after="240"/>
        <w:jc w:val="both"/>
        <w:rPr>
          <w:rFonts w:ascii="Calibri" w:hAnsi="Calibri" w:cs="Calibri"/>
          <w:color w:val="000000" w:themeColor="text1"/>
        </w:rPr>
      </w:pPr>
      <w:r w:rsidRPr="004843ED">
        <w:rPr>
          <w:rFonts w:ascii="Calibri" w:hAnsi="Calibri" w:cs="Calibri"/>
          <w:color w:val="000000" w:themeColor="text1"/>
          <w:lang w:val="en-US"/>
        </w:rPr>
        <w:t>Cell fate</w:t>
      </w:r>
      <w:r w:rsidRPr="004843ED">
        <w:rPr>
          <w:rFonts w:ascii="Calibri" w:hAnsi="Calibri" w:cs="Calibri"/>
          <w:color w:val="000000" w:themeColor="text1"/>
        </w:rPr>
        <w:t xml:space="preserve"> determination</w:t>
      </w:r>
      <w:r w:rsidRPr="004843ED">
        <w:rPr>
          <w:rFonts w:ascii="Calibri" w:hAnsi="Calibri" w:cs="Calibri"/>
          <w:color w:val="000000" w:themeColor="text1"/>
          <w:lang w:val="en-US"/>
        </w:rPr>
        <w:t xml:space="preserve"> is governed by epigenetic features shaped through cell-autonomous logic and external environment</w:t>
      </w:r>
      <w:r w:rsidRPr="005D4371">
        <w:rPr>
          <w:rFonts w:ascii="Calibri" w:hAnsi="Calibri" w:cs="Calibri"/>
          <w:color w:val="000000"/>
          <w:szCs w:val="24"/>
          <w:vertAlign w:val="superscript"/>
          <w:lang w:val="en-US"/>
        </w:rPr>
        <w:t>2</w:t>
      </w:r>
      <w:r w:rsidRPr="004843ED">
        <w:rPr>
          <w:rFonts w:ascii="Calibri" w:hAnsi="Calibri" w:cs="Calibri"/>
          <w:color w:val="000000" w:themeColor="text1"/>
          <w:lang w:val="en-US"/>
        </w:rPr>
        <w:t>.</w:t>
      </w:r>
      <w:r w:rsidRPr="004843ED">
        <w:rPr>
          <w:rFonts w:ascii="Calibri" w:hAnsi="Calibri" w:eastAsia="Calibri" w:cs="Calibri"/>
          <w:color w:val="000000" w:themeColor="text1"/>
          <w:lang w:val="en-US"/>
        </w:rPr>
        <w:t xml:space="preserve"> </w:t>
      </w:r>
      <w:r w:rsidRPr="004843ED">
        <w:rPr>
          <w:rFonts w:ascii="Calibri" w:hAnsi="Calibri" w:cs="Calibri"/>
          <w:color w:val="000000" w:themeColor="text1"/>
        </w:rPr>
        <w:t xml:space="preserve">Capturing this complexity requires models that go beyond static representations of gene regulation. Available computational approaches, particularly those based on GRNs, have been instrumental in mapping the regulatory architecture underlying distinct cell fates, and understanding how transcriptional regulators shape distinct cell fates. </w:t>
      </w:r>
      <w:r w:rsidRPr="006223EC">
        <w:rPr>
          <w:rFonts w:ascii="Calibri" w:hAnsi="Calibri" w:cs="Calibri"/>
          <w:color w:val="000000" w:themeColor="text1"/>
        </w:rPr>
        <w:t xml:space="preserve">Yet, despite </w:t>
      </w:r>
      <w:r w:rsidRPr="00FB0275">
        <w:rPr>
          <w:rFonts w:ascii="Calibri" w:hAnsi="Calibri" w:cs="Calibri"/>
        </w:rPr>
        <w:t>substantial progress and their intent to encode causal, biologically grounded</w:t>
      </w:r>
      <w:r w:rsidRPr="006223EC" w:rsidDel="00455A33">
        <w:rPr>
          <w:rFonts w:ascii="Calibri" w:hAnsi="Calibri" w:cs="Calibri"/>
          <w:color w:val="000000" w:themeColor="text1"/>
        </w:rPr>
        <w:t xml:space="preserve"> </w:t>
      </w:r>
      <w:r w:rsidRPr="006223EC">
        <w:rPr>
          <w:rFonts w:ascii="Calibri" w:hAnsi="Calibri" w:cs="Calibri"/>
          <w:color w:val="000000" w:themeColor="text1"/>
        </w:rPr>
        <w:t xml:space="preserve">TF-target interactions, most existing GRN inference methods provide </w:t>
      </w:r>
      <w:r w:rsidR="00197B61">
        <w:rPr>
          <w:rFonts w:ascii="Calibri" w:hAnsi="Calibri" w:cs="Calibri"/>
          <w:color w:val="000000" w:themeColor="text1"/>
        </w:rPr>
        <w:t xml:space="preserve">a </w:t>
      </w:r>
      <w:r w:rsidRPr="006223EC">
        <w:rPr>
          <w:rFonts w:ascii="Calibri" w:hAnsi="Calibri" w:cs="Calibri"/>
          <w:color w:val="000000" w:themeColor="text1"/>
        </w:rPr>
        <w:t>larg</w:t>
      </w:r>
      <w:r>
        <w:rPr>
          <w:rFonts w:ascii="Calibri" w:hAnsi="Calibri" w:cs="Calibri"/>
          <w:color w:val="000000" w:themeColor="text1"/>
        </w:rPr>
        <w:t>e</w:t>
      </w:r>
      <w:r w:rsidRPr="006223EC">
        <w:rPr>
          <w:rFonts w:ascii="Calibri" w:hAnsi="Calibri" w:cs="Calibri"/>
          <w:color w:val="000000" w:themeColor="text1"/>
        </w:rPr>
        <w:t xml:space="preserve"> view of</w:t>
      </w:r>
      <w:r>
        <w:rPr>
          <w:rFonts w:ascii="Calibri" w:hAnsi="Calibri" w:cs="Calibri"/>
          <w:color w:val="000000" w:themeColor="text1"/>
        </w:rPr>
        <w:t xml:space="preserve"> </w:t>
      </w:r>
      <w:r w:rsidRPr="006223EC">
        <w:rPr>
          <w:rFonts w:ascii="Calibri" w:hAnsi="Calibri" w:cs="Calibri"/>
          <w:color w:val="000000" w:themeColor="text1"/>
        </w:rPr>
        <w:t>regulatory architecture with causal insight fundamentally constrained by estimation errors that inflate false positives</w:t>
      </w:r>
      <w:r>
        <w:rPr>
          <w:rFonts w:ascii="Calibri" w:hAnsi="Calibri" w:cs="Calibri"/>
        </w:rPr>
        <w:t xml:space="preserve">. </w:t>
      </w:r>
      <w:r w:rsidRPr="004843ED">
        <w:rPr>
          <w:rFonts w:ascii="Calibri" w:hAnsi="Calibri" w:cs="Calibri"/>
          <w:color w:val="000000" w:themeColor="text1"/>
        </w:rPr>
        <w:t xml:space="preserve">Even recent approaches incorporating dynamic GRNs </w:t>
      </w:r>
      <w:r w:rsidRPr="00FB0275">
        <w:rPr>
          <w:rFonts w:ascii="Calibri" w:hAnsi="Calibri" w:cs="Calibri"/>
        </w:rPr>
        <w:t>often result in</w:t>
      </w:r>
      <w:r w:rsidRPr="004843ED" w:rsidDel="006568AA">
        <w:rPr>
          <w:rFonts w:ascii="Calibri" w:hAnsi="Calibri" w:cs="Calibri"/>
          <w:color w:val="000000" w:themeColor="text1"/>
        </w:rPr>
        <w:t xml:space="preserve"> </w:t>
      </w:r>
      <w:r w:rsidRPr="004843ED">
        <w:rPr>
          <w:rFonts w:ascii="Calibri" w:hAnsi="Calibri" w:cs="Calibri"/>
          <w:color w:val="000000" w:themeColor="text1"/>
        </w:rPr>
        <w:t>inflated regulatory links as well as limited interpretability, often focusing on network topology or correlation-based features without linking them to biologically meaningful regulatory mechanisms</w:t>
      </w:r>
      <w:r w:rsidRPr="00BD6670" w:rsidR="00BD6670">
        <w:rPr>
          <w:rFonts w:ascii="Calibri" w:hAnsi="Calibri" w:cs="Calibri" w:eastAsiaTheme="minorHAnsi"/>
          <w:color w:val="000000"/>
          <w:szCs w:val="24"/>
          <w:vertAlign w:val="superscript"/>
          <w:lang w:val="en-US"/>
          <w14:ligatures w14:val="standardContextual"/>
        </w:rPr>
        <w:t>17</w:t>
      </w:r>
      <w:r>
        <w:rPr>
          <w:rFonts w:ascii="Calibri" w:hAnsi="Calibri" w:cs="Calibri"/>
          <w:color w:val="000000" w:themeColor="text1"/>
          <w:vertAlign w:val="superscript"/>
        </w:rPr>
        <w:t xml:space="preserve">, </w:t>
      </w:r>
      <w:r w:rsidRPr="00BD6670" w:rsidR="00BD6670">
        <w:rPr>
          <w:rFonts w:ascii="Calibri" w:hAnsi="Calibri" w:cs="Calibri" w:eastAsiaTheme="minorHAnsi"/>
          <w:color w:val="000000"/>
          <w:szCs w:val="24"/>
          <w:vertAlign w:val="superscript"/>
          <w:lang w:val="en-US"/>
          <w14:ligatures w14:val="standardContextual"/>
        </w:rPr>
        <w:t>18</w:t>
      </w:r>
      <w:r>
        <w:rPr>
          <w:rFonts w:ascii="Calibri" w:hAnsi="Calibri" w:cs="Calibri"/>
          <w:color w:val="000000" w:themeColor="text1"/>
          <w:vertAlign w:val="superscript"/>
        </w:rPr>
        <w:t xml:space="preserve">, </w:t>
      </w:r>
      <w:proofErr w:type="gramStart"/>
      <w:r w:rsidRPr="00BD6670" w:rsidR="00BD6670">
        <w:rPr>
          <w:rFonts w:ascii="Calibri" w:hAnsi="Calibri" w:cs="Calibri" w:eastAsiaTheme="minorHAnsi"/>
          <w:color w:val="000000"/>
          <w:szCs w:val="24"/>
          <w:vertAlign w:val="superscript"/>
          <w:lang w:val="en-US"/>
          <w14:ligatures w14:val="standardContextual"/>
        </w:rPr>
        <w:t>19</w:t>
      </w:r>
      <w:r>
        <w:rPr>
          <w:rFonts w:ascii="Calibri" w:hAnsi="Calibri" w:cs="Calibri"/>
          <w:color w:val="000000" w:themeColor="text1"/>
          <w:vertAlign w:val="superscript"/>
        </w:rPr>
        <w:t xml:space="preserve"> </w:t>
      </w:r>
      <w:r w:rsidRPr="004843ED">
        <w:rPr>
          <w:rFonts w:ascii="Calibri" w:hAnsi="Calibri" w:cs="Calibri"/>
          <w:color w:val="000000" w:themeColor="text1"/>
        </w:rPr>
        <w:t>.</w:t>
      </w:r>
      <w:proofErr w:type="gramEnd"/>
      <w:r w:rsidRPr="004843ED">
        <w:rPr>
          <w:rFonts w:ascii="Calibri" w:hAnsi="Calibri" w:cs="Calibri"/>
          <w:color w:val="000000" w:themeColor="text1"/>
        </w:rPr>
        <w:t xml:space="preserve"> As a result, they struggle to identify a </w:t>
      </w:r>
      <w:r w:rsidR="0080733B">
        <w:rPr>
          <w:rFonts w:ascii="Calibri" w:hAnsi="Calibri" w:cs="Calibri"/>
          <w:color w:val="000000" w:themeColor="text1"/>
        </w:rPr>
        <w:t>distinctive</w:t>
      </w:r>
      <w:r w:rsidRPr="004843ED">
        <w:rPr>
          <w:rFonts w:ascii="Calibri" w:hAnsi="Calibri" w:cs="Calibri"/>
          <w:color w:val="000000" w:themeColor="text1"/>
        </w:rPr>
        <w:t xml:space="preserve"> set </w:t>
      </w:r>
      <w:r w:rsidR="0080733B">
        <w:rPr>
          <w:rFonts w:ascii="Calibri" w:hAnsi="Calibri" w:cs="Calibri"/>
          <w:color w:val="000000" w:themeColor="text1"/>
        </w:rPr>
        <w:t>of</w:t>
      </w:r>
      <w:r w:rsidRPr="004843ED">
        <w:rPr>
          <w:rFonts w:ascii="Calibri" w:hAnsi="Calibri" w:cs="Calibri"/>
          <w:color w:val="000000" w:themeColor="text1"/>
        </w:rPr>
        <w:t xml:space="preserve"> regulons that orchestrate decision-making processes such as activation, differentiation, or reprogramming. </w:t>
      </w:r>
      <w:r w:rsidRPr="00AA2D2E" w:rsidR="00AA2D2E">
        <w:rPr>
          <w:rFonts w:ascii="Calibri" w:hAnsi="Calibri" w:cs="Calibri"/>
          <w:color w:val="000000" w:themeColor="text1"/>
        </w:rPr>
        <w:t>These challenges underscore the need for hybrid approaches that integrate mechanistic frameworks with interpretable machine learning models capable of systematically identifying the most informative regulatory signals and dynamic transcriptional programs that govern cellular bifurcation and commitment trajectories.</w:t>
      </w:r>
    </w:p>
    <w:p w:rsidR="00AE2AE5" w:rsidP="008515C4" w:rsidRDefault="00770268" w14:paraId="3F09BD9A" w14:textId="3E0BD93C">
      <w:pPr>
        <w:spacing w:before="240" w:after="240"/>
        <w:jc w:val="both"/>
        <w:rPr>
          <w:rFonts w:ascii="Calibri" w:hAnsi="Calibri" w:cs="Calibri"/>
          <w:color w:val="000000" w:themeColor="text1"/>
          <w:lang w:val="en-US"/>
        </w:rPr>
      </w:pPr>
      <w:r>
        <w:rPr>
          <w:rFonts w:ascii="Calibri" w:hAnsi="Calibri" w:cs="Calibri"/>
          <w:color w:val="000000" w:themeColor="text1"/>
          <w:lang w:val="en-US"/>
        </w:rPr>
        <w:t>Here</w:t>
      </w:r>
      <w:r w:rsidRPr="009658C3" w:rsidR="008515C4">
        <w:rPr>
          <w:rFonts w:ascii="Calibri" w:hAnsi="Calibri" w:cs="Calibri"/>
          <w:color w:val="000000" w:themeColor="text1"/>
          <w:lang w:val="en-US"/>
        </w:rPr>
        <w:t xml:space="preserve">, we developed </w:t>
      </w:r>
      <w:proofErr w:type="spellStart"/>
      <w:r w:rsidR="008515C4">
        <w:rPr>
          <w:rFonts w:ascii="Calibri" w:hAnsi="Calibri" w:cs="Calibri"/>
          <w:color w:val="000000" w:themeColor="text1"/>
          <w:lang w:val="en-US"/>
        </w:rPr>
        <w:t>FIREFate</w:t>
      </w:r>
      <w:proofErr w:type="spellEnd"/>
      <w:r w:rsidR="008515C4">
        <w:rPr>
          <w:rFonts w:ascii="Calibri" w:hAnsi="Calibri" w:cs="Calibri"/>
          <w:color w:val="000000" w:themeColor="text1"/>
          <w:lang w:val="en-US"/>
        </w:rPr>
        <w:t xml:space="preserve">, </w:t>
      </w:r>
      <w:r w:rsidRPr="009658C3" w:rsidR="008515C4">
        <w:rPr>
          <w:rFonts w:ascii="Calibri" w:hAnsi="Calibri" w:cs="Calibri"/>
          <w:color w:val="000000" w:themeColor="text1"/>
          <w:lang w:val="en-US"/>
        </w:rPr>
        <w:t xml:space="preserve">a </w:t>
      </w:r>
      <w:r w:rsidR="008515C4">
        <w:rPr>
          <w:rFonts w:ascii="Calibri" w:hAnsi="Calibri" w:cs="Calibri"/>
          <w:color w:val="000000" w:themeColor="text1"/>
          <w:lang w:val="en-US"/>
        </w:rPr>
        <w:t>conceptual</w:t>
      </w:r>
      <w:r w:rsidRPr="009658C3" w:rsidR="008515C4">
        <w:rPr>
          <w:rFonts w:ascii="Calibri" w:hAnsi="Calibri" w:cs="Calibri"/>
          <w:color w:val="000000" w:themeColor="text1"/>
          <w:lang w:val="en-US"/>
        </w:rPr>
        <w:t xml:space="preserve"> framework </w:t>
      </w:r>
      <w:r w:rsidR="008515C4">
        <w:rPr>
          <w:rFonts w:ascii="Calibri" w:hAnsi="Calibri" w:cs="Calibri"/>
          <w:color w:val="000000" w:themeColor="text1"/>
          <w:lang w:val="en-US"/>
        </w:rPr>
        <w:t xml:space="preserve">to </w:t>
      </w:r>
      <w:r w:rsidRPr="00C52D5A" w:rsidR="008515C4">
        <w:rPr>
          <w:rFonts w:ascii="Calibri" w:hAnsi="Calibri" w:cs="Calibri"/>
          <w:color w:val="000000" w:themeColor="text1"/>
          <w:lang w:val="en-US"/>
        </w:rPr>
        <w:t>decode the regulatory logic of cell-fate determination.</w:t>
      </w:r>
      <w:r w:rsidR="008515C4">
        <w:rPr>
          <w:rFonts w:ascii="Calibri" w:hAnsi="Calibri" w:cs="Calibri"/>
          <w:color w:val="000000" w:themeColor="text1"/>
          <w:lang w:val="en-US"/>
        </w:rPr>
        <w:t xml:space="preserve"> </w:t>
      </w:r>
      <w:proofErr w:type="spellStart"/>
      <w:r w:rsidR="008515C4">
        <w:rPr>
          <w:rFonts w:ascii="Calibri" w:hAnsi="Calibri" w:cs="Calibri"/>
          <w:color w:val="000000" w:themeColor="text1"/>
          <w:lang w:val="en-US"/>
        </w:rPr>
        <w:t>FIREFate</w:t>
      </w:r>
      <w:proofErr w:type="spellEnd"/>
      <w:r w:rsidR="008515C4">
        <w:rPr>
          <w:rFonts w:ascii="Calibri" w:hAnsi="Calibri" w:cs="Calibri"/>
          <w:color w:val="000000" w:themeColor="text1"/>
          <w:lang w:val="en-US"/>
        </w:rPr>
        <w:t xml:space="preserve"> </w:t>
      </w:r>
      <w:r w:rsidRPr="009658C3" w:rsidR="008515C4">
        <w:rPr>
          <w:rFonts w:ascii="Calibri" w:hAnsi="Calibri" w:cs="Calibri"/>
          <w:color w:val="000000" w:themeColor="text1"/>
          <w:lang w:val="en-US"/>
        </w:rPr>
        <w:t xml:space="preserve">integrates </w:t>
      </w:r>
      <w:r w:rsidR="008515C4">
        <w:rPr>
          <w:rFonts w:ascii="Calibri" w:hAnsi="Calibri" w:cs="Calibri"/>
          <w:color w:val="000000" w:themeColor="text1"/>
          <w:lang w:val="en-US"/>
        </w:rPr>
        <w:t xml:space="preserve">mechanistic models including </w:t>
      </w:r>
      <w:r w:rsidRPr="009658C3" w:rsidR="008515C4">
        <w:rPr>
          <w:rFonts w:ascii="Calibri" w:hAnsi="Calibri" w:cs="Calibri"/>
          <w:color w:val="000000" w:themeColor="text1"/>
          <w:lang w:val="en-US"/>
        </w:rPr>
        <w:t xml:space="preserve">high-resolution static and dynamic GRNs with interpretable machine learning to uncover </w:t>
      </w:r>
      <w:r w:rsidR="008515C4">
        <w:rPr>
          <w:rFonts w:ascii="Calibri" w:hAnsi="Calibri" w:cs="Calibri"/>
          <w:color w:val="000000" w:themeColor="text1"/>
          <w:lang w:val="en-US"/>
        </w:rPr>
        <w:t xml:space="preserve">key </w:t>
      </w:r>
      <w:r w:rsidRPr="009658C3" w:rsidR="008515C4">
        <w:rPr>
          <w:rFonts w:ascii="Calibri" w:hAnsi="Calibri" w:cs="Calibri"/>
          <w:color w:val="000000" w:themeColor="text1"/>
          <w:lang w:val="en-US"/>
        </w:rPr>
        <w:t xml:space="preserve">regulatory modules </w:t>
      </w:r>
      <w:r w:rsidR="008515C4">
        <w:rPr>
          <w:rFonts w:ascii="Calibri" w:hAnsi="Calibri" w:cs="Calibri"/>
          <w:color w:val="000000" w:themeColor="text1"/>
          <w:lang w:val="en-US"/>
        </w:rPr>
        <w:t xml:space="preserve">that </w:t>
      </w:r>
      <w:r w:rsidRPr="009658C3" w:rsidR="008515C4">
        <w:rPr>
          <w:rFonts w:ascii="Calibri" w:hAnsi="Calibri" w:cs="Calibri"/>
          <w:color w:val="000000" w:themeColor="text1"/>
          <w:lang w:val="en-US"/>
        </w:rPr>
        <w:t>orchestrat</w:t>
      </w:r>
      <w:r w:rsidR="008515C4">
        <w:rPr>
          <w:rFonts w:ascii="Calibri" w:hAnsi="Calibri" w:cs="Calibri"/>
          <w:color w:val="000000" w:themeColor="text1"/>
          <w:lang w:val="en-US"/>
        </w:rPr>
        <w:t>e</w:t>
      </w:r>
      <w:r w:rsidRPr="009658C3" w:rsidR="008515C4">
        <w:rPr>
          <w:rFonts w:ascii="Calibri" w:hAnsi="Calibri" w:cs="Calibri"/>
          <w:color w:val="000000" w:themeColor="text1"/>
          <w:lang w:val="en-US"/>
        </w:rPr>
        <w:t xml:space="preserve"> cellular transitions (Fig. 1A). </w:t>
      </w:r>
      <w:r w:rsidR="008515C4">
        <w:rPr>
          <w:rFonts w:ascii="Calibri" w:hAnsi="Calibri" w:cs="Calibri"/>
          <w:color w:val="000000" w:themeColor="text1"/>
          <w:lang w:val="en-US"/>
        </w:rPr>
        <w:t>It</w:t>
      </w:r>
      <w:r w:rsidRPr="009658C3" w:rsidR="008515C4">
        <w:rPr>
          <w:rFonts w:ascii="Calibri" w:hAnsi="Calibri" w:cs="Calibri"/>
          <w:color w:val="000000" w:themeColor="text1"/>
          <w:lang w:val="en-US"/>
        </w:rPr>
        <w:t xml:space="preserve"> </w:t>
      </w:r>
      <w:r w:rsidR="008515C4">
        <w:rPr>
          <w:rFonts w:ascii="Calibri" w:hAnsi="Calibri" w:cs="Calibri"/>
          <w:color w:val="000000" w:themeColor="text1"/>
          <w:lang w:val="en-US"/>
        </w:rPr>
        <w:t>employs</w:t>
      </w:r>
      <w:r w:rsidRPr="009658C3" w:rsidR="008515C4">
        <w:rPr>
          <w:rFonts w:ascii="Calibri" w:hAnsi="Calibri" w:cs="Calibri"/>
          <w:color w:val="000000" w:themeColor="text1"/>
          <w:lang w:val="en-US"/>
        </w:rPr>
        <w:t xml:space="preserve"> an interpretable learning method that identifies distinct </w:t>
      </w:r>
      <w:r w:rsidR="008515C4">
        <w:rPr>
          <w:rFonts w:ascii="Calibri" w:hAnsi="Calibri" w:cs="Calibri"/>
          <w:color w:val="000000" w:themeColor="text1"/>
          <w:lang w:val="en-US"/>
        </w:rPr>
        <w:t xml:space="preserve">modules </w:t>
      </w:r>
      <w:r w:rsidRPr="009658C3" w:rsidR="008515C4">
        <w:rPr>
          <w:rFonts w:ascii="Calibri" w:hAnsi="Calibri" w:cs="Calibri"/>
          <w:color w:val="000000" w:themeColor="text1"/>
          <w:lang w:val="en-US"/>
        </w:rPr>
        <w:t xml:space="preserve">of co-regulated genes underlying outcomes of interest in high-dimensional </w:t>
      </w:r>
      <w:proofErr w:type="spellStart"/>
      <w:r w:rsidRPr="009658C3" w:rsidR="008515C4">
        <w:rPr>
          <w:rFonts w:ascii="Calibri" w:hAnsi="Calibri" w:cs="Calibri"/>
          <w:color w:val="000000" w:themeColor="text1"/>
          <w:lang w:val="en-US"/>
        </w:rPr>
        <w:t>omic</w:t>
      </w:r>
      <w:proofErr w:type="spellEnd"/>
      <w:r w:rsidRPr="009658C3" w:rsidR="008515C4">
        <w:rPr>
          <w:rFonts w:ascii="Calibri" w:hAnsi="Calibri" w:cs="Calibri"/>
          <w:color w:val="000000" w:themeColor="text1"/>
          <w:lang w:val="en-US"/>
        </w:rPr>
        <w:t xml:space="preserve"> datasets</w:t>
      </w:r>
      <w:r w:rsidRPr="00BD6670" w:rsidR="00BD6670">
        <w:rPr>
          <w:rFonts w:ascii="Calibri" w:hAnsi="Calibri" w:cs="Calibri" w:eastAsiaTheme="minorHAnsi"/>
          <w:color w:val="000000"/>
          <w:szCs w:val="24"/>
          <w:vertAlign w:val="superscript"/>
          <w:lang w:val="en-US"/>
          <w14:ligatures w14:val="standardContextual"/>
        </w:rPr>
        <w:t>22</w:t>
      </w:r>
      <w:r w:rsidRPr="009658C3" w:rsidR="008515C4">
        <w:rPr>
          <w:rFonts w:ascii="Calibri" w:hAnsi="Calibri" w:cs="Calibri"/>
          <w:color w:val="000000" w:themeColor="text1"/>
          <w:lang w:val="en-US"/>
        </w:rPr>
        <w:t xml:space="preserve">. These cellular programs, analogous to co-expression modules enable fine-grained discrimination between emergent cell states </w:t>
      </w:r>
      <w:r w:rsidR="008515C4">
        <w:rPr>
          <w:rFonts w:ascii="Calibri" w:hAnsi="Calibri" w:cs="Calibri"/>
          <w:color w:val="000000" w:themeColor="text1"/>
          <w:lang w:val="en-US"/>
        </w:rPr>
        <w:t>and</w:t>
      </w:r>
      <w:r w:rsidRPr="009658C3" w:rsidR="008515C4">
        <w:rPr>
          <w:rFonts w:ascii="Calibri" w:hAnsi="Calibri" w:cs="Calibri"/>
          <w:color w:val="000000" w:themeColor="text1"/>
          <w:lang w:val="en-US"/>
        </w:rPr>
        <w:t xml:space="preserve"> </w:t>
      </w:r>
      <w:r w:rsidR="008515C4">
        <w:rPr>
          <w:rFonts w:ascii="Calibri" w:hAnsi="Calibri" w:cs="Calibri"/>
          <w:color w:val="000000" w:themeColor="text1"/>
          <w:lang w:val="en-US"/>
        </w:rPr>
        <w:t>provide a fundamental layer of biological interpretation, particularly once incorporated with gene set analysis tools leveraging large language models (LLMs)</w:t>
      </w:r>
      <w:r w:rsidRPr="00BD6670" w:rsidR="00BD6670">
        <w:rPr>
          <w:rFonts w:ascii="Calibri" w:hAnsi="Calibri" w:cs="Calibri" w:eastAsiaTheme="minorHAnsi"/>
          <w:color w:val="000000"/>
          <w:szCs w:val="24"/>
          <w:vertAlign w:val="superscript"/>
          <w:lang w:val="en-US"/>
          <w14:ligatures w14:val="standardContextual"/>
        </w:rPr>
        <w:t>23</w:t>
      </w:r>
      <w:r w:rsidR="008515C4">
        <w:rPr>
          <w:rFonts w:ascii="Calibri" w:hAnsi="Calibri" w:cs="Calibri"/>
          <w:color w:val="000000" w:themeColor="text1"/>
          <w:lang w:val="en-US"/>
        </w:rPr>
        <w:t xml:space="preserve">. Then </w:t>
      </w:r>
      <w:proofErr w:type="spellStart"/>
      <w:r w:rsidR="008515C4">
        <w:rPr>
          <w:rFonts w:ascii="Calibri" w:hAnsi="Calibri" w:cs="Calibri"/>
          <w:color w:val="000000" w:themeColor="text1"/>
          <w:lang w:val="en-US"/>
        </w:rPr>
        <w:t>FIREFate</w:t>
      </w:r>
      <w:proofErr w:type="spellEnd"/>
      <w:r w:rsidRPr="009658C3" w:rsidR="008515C4">
        <w:rPr>
          <w:rFonts w:ascii="Calibri" w:hAnsi="Calibri" w:cs="Calibri"/>
          <w:color w:val="000000" w:themeColor="text1"/>
          <w:lang w:val="en-US"/>
        </w:rPr>
        <w:t xml:space="preserve"> </w:t>
      </w:r>
      <w:r w:rsidR="008515C4">
        <w:rPr>
          <w:rFonts w:ascii="Calibri" w:hAnsi="Calibri" w:cs="Calibri"/>
          <w:color w:val="000000" w:themeColor="text1"/>
          <w:lang w:val="en-US"/>
        </w:rPr>
        <w:t>i</w:t>
      </w:r>
      <w:r w:rsidRPr="009658C3" w:rsidR="008515C4">
        <w:rPr>
          <w:rFonts w:ascii="Calibri" w:hAnsi="Calibri" w:cs="Calibri"/>
          <w:color w:val="000000" w:themeColor="text1"/>
          <w:lang w:val="en-US"/>
        </w:rPr>
        <w:t>ntegrat</w:t>
      </w:r>
      <w:r w:rsidR="008515C4">
        <w:rPr>
          <w:rFonts w:ascii="Calibri" w:hAnsi="Calibri" w:cs="Calibri"/>
          <w:color w:val="000000" w:themeColor="text1"/>
          <w:lang w:val="en-US"/>
        </w:rPr>
        <w:t>es</w:t>
      </w:r>
      <w:r w:rsidRPr="009658C3" w:rsidR="008515C4">
        <w:rPr>
          <w:rFonts w:ascii="Calibri" w:hAnsi="Calibri" w:cs="Calibri"/>
          <w:color w:val="000000" w:themeColor="text1"/>
          <w:lang w:val="en-US"/>
        </w:rPr>
        <w:t xml:space="preserve"> genes within </w:t>
      </w:r>
      <w:r w:rsidR="008515C4">
        <w:rPr>
          <w:rFonts w:ascii="Calibri" w:hAnsi="Calibri" w:cs="Calibri"/>
          <w:color w:val="000000" w:themeColor="text1"/>
          <w:lang w:val="en-US"/>
        </w:rPr>
        <w:t xml:space="preserve">these </w:t>
      </w:r>
      <w:r w:rsidRPr="009658C3" w:rsidR="008515C4">
        <w:rPr>
          <w:rFonts w:ascii="Calibri" w:hAnsi="Calibri" w:cs="Calibri"/>
          <w:color w:val="000000" w:themeColor="text1"/>
          <w:lang w:val="en-US"/>
        </w:rPr>
        <w:t>cellular programs</w:t>
      </w:r>
      <w:r w:rsidR="009B1357">
        <w:rPr>
          <w:rFonts w:ascii="Calibri" w:hAnsi="Calibri" w:cs="Calibri"/>
          <w:color w:val="000000" w:themeColor="text1"/>
          <w:lang w:val="en-US"/>
        </w:rPr>
        <w:t xml:space="preserve">- </w:t>
      </w:r>
      <w:r w:rsidRPr="009658C3" w:rsidR="008515C4">
        <w:rPr>
          <w:rFonts w:ascii="Calibri" w:hAnsi="Calibri" w:cs="Calibri"/>
          <w:color w:val="000000" w:themeColor="text1"/>
          <w:lang w:val="en-US"/>
        </w:rPr>
        <w:t xml:space="preserve">identified through feature-level interpretability- </w:t>
      </w:r>
      <w:r w:rsidR="008515C4">
        <w:rPr>
          <w:rFonts w:ascii="Calibri" w:hAnsi="Calibri" w:cs="Calibri"/>
          <w:color w:val="000000" w:themeColor="text1"/>
          <w:lang w:val="en-US"/>
        </w:rPr>
        <w:t>into</w:t>
      </w:r>
      <w:r w:rsidRPr="009658C3" w:rsidR="008515C4">
        <w:rPr>
          <w:rFonts w:ascii="Calibri" w:hAnsi="Calibri" w:cs="Calibri"/>
          <w:color w:val="000000" w:themeColor="text1"/>
          <w:lang w:val="en-US"/>
        </w:rPr>
        <w:t xml:space="preserve"> </w:t>
      </w:r>
      <w:r w:rsidR="008515C4">
        <w:rPr>
          <w:rFonts w:ascii="Calibri" w:hAnsi="Calibri" w:cs="Calibri"/>
          <w:color w:val="000000" w:themeColor="text1"/>
          <w:lang w:val="en-US"/>
        </w:rPr>
        <w:t>mechanistic models, adding a causal layer of regulatory insights to the inferred programs. By i</w:t>
      </w:r>
      <w:r w:rsidRPr="009658C3" w:rsidR="008515C4">
        <w:rPr>
          <w:rFonts w:ascii="Calibri" w:hAnsi="Calibri" w:cs="Calibri"/>
          <w:color w:val="000000" w:themeColor="text1"/>
          <w:lang w:val="en-US"/>
        </w:rPr>
        <w:t>ntegrat</w:t>
      </w:r>
      <w:r w:rsidR="008515C4">
        <w:rPr>
          <w:rFonts w:ascii="Calibri" w:hAnsi="Calibri" w:cs="Calibri"/>
          <w:color w:val="000000" w:themeColor="text1"/>
          <w:lang w:val="en-US"/>
        </w:rPr>
        <w:t xml:space="preserve">ing </w:t>
      </w:r>
      <w:r w:rsidRPr="009658C3" w:rsidR="008515C4">
        <w:rPr>
          <w:rFonts w:ascii="Calibri" w:hAnsi="Calibri" w:cs="Calibri"/>
          <w:color w:val="000000" w:themeColor="text1"/>
          <w:lang w:val="en-US"/>
        </w:rPr>
        <w:t xml:space="preserve">genes </w:t>
      </w:r>
      <w:r w:rsidR="008515C4">
        <w:rPr>
          <w:rFonts w:ascii="Calibri" w:hAnsi="Calibri" w:cs="Calibri"/>
          <w:color w:val="000000" w:themeColor="text1"/>
          <w:lang w:val="en-US"/>
        </w:rPr>
        <w:t>associated with the inferred cellular programs into the state-specific static</w:t>
      </w:r>
      <w:r w:rsidRPr="009658C3" w:rsidR="008515C4">
        <w:rPr>
          <w:rFonts w:ascii="Calibri" w:hAnsi="Calibri" w:cs="Calibri"/>
          <w:color w:val="000000" w:themeColor="text1"/>
          <w:lang w:val="en-US"/>
        </w:rPr>
        <w:t xml:space="preserve"> GRNs derived from transcriptomic and epigenomic data</w:t>
      </w:r>
      <w:r w:rsidR="008515C4">
        <w:rPr>
          <w:rFonts w:ascii="Calibri" w:hAnsi="Calibri" w:cs="Calibri"/>
          <w:color w:val="000000" w:themeColor="text1"/>
          <w:lang w:val="en-US"/>
        </w:rPr>
        <w:t xml:space="preserve">, and quantifying </w:t>
      </w:r>
      <w:r w:rsidRPr="009658C3" w:rsidR="008515C4">
        <w:rPr>
          <w:rFonts w:ascii="Calibri" w:hAnsi="Calibri" w:cs="Calibri"/>
          <w:color w:val="000000" w:themeColor="text1"/>
          <w:lang w:val="en-US"/>
        </w:rPr>
        <w:t>TF enrichment</w:t>
      </w:r>
      <w:r w:rsidR="008515C4">
        <w:rPr>
          <w:rFonts w:ascii="Calibri" w:hAnsi="Calibri" w:cs="Calibri"/>
          <w:color w:val="000000" w:themeColor="text1"/>
          <w:lang w:val="en-US"/>
        </w:rPr>
        <w:t xml:space="preserve"> by </w:t>
      </w:r>
      <w:r w:rsidRPr="009658C3" w:rsidR="008515C4">
        <w:rPr>
          <w:rFonts w:ascii="Calibri" w:hAnsi="Calibri" w:cs="Calibri"/>
          <w:color w:val="000000" w:themeColor="text1"/>
          <w:lang w:val="en-US"/>
        </w:rPr>
        <w:t>estimating the relative bias of each TF toward specific lineages</w:t>
      </w:r>
      <w:r w:rsidR="008515C4">
        <w:rPr>
          <w:rFonts w:ascii="Calibri" w:hAnsi="Calibri" w:cs="Calibri"/>
          <w:color w:val="000000" w:themeColor="text1"/>
          <w:lang w:val="en-US"/>
        </w:rPr>
        <w:t xml:space="preserve">, </w:t>
      </w:r>
      <w:proofErr w:type="spellStart"/>
      <w:r w:rsidR="008515C4">
        <w:rPr>
          <w:rFonts w:ascii="Calibri" w:hAnsi="Calibri" w:cs="Calibri"/>
          <w:color w:val="000000" w:themeColor="text1"/>
          <w:lang w:val="en-US"/>
        </w:rPr>
        <w:t>FIREFate</w:t>
      </w:r>
      <w:proofErr w:type="spellEnd"/>
      <w:r w:rsidR="008515C4">
        <w:rPr>
          <w:rFonts w:ascii="Calibri" w:hAnsi="Calibri" w:cs="Calibri"/>
          <w:color w:val="000000" w:themeColor="text1"/>
          <w:lang w:val="en-US"/>
        </w:rPr>
        <w:t xml:space="preserve"> enables</w:t>
      </w:r>
      <w:r w:rsidRPr="00CA15D4" w:rsidR="008515C4">
        <w:rPr>
          <w:rFonts w:ascii="Calibri" w:hAnsi="Calibri" w:cs="Calibri"/>
          <w:color w:val="000000" w:themeColor="text1"/>
          <w:lang w:val="en-US"/>
        </w:rPr>
        <w:t xml:space="preserve"> </w:t>
      </w:r>
      <w:r w:rsidRPr="009658C3" w:rsidR="008515C4">
        <w:rPr>
          <w:rFonts w:ascii="Calibri" w:hAnsi="Calibri" w:cs="Calibri"/>
          <w:color w:val="000000" w:themeColor="text1"/>
          <w:lang w:val="en-US"/>
        </w:rPr>
        <w:t>de novo identification of</w:t>
      </w:r>
      <w:r w:rsidR="008515C4">
        <w:rPr>
          <w:rFonts w:ascii="Calibri" w:hAnsi="Calibri" w:cs="Calibri"/>
          <w:color w:val="000000" w:themeColor="text1"/>
          <w:lang w:val="en-US"/>
        </w:rPr>
        <w:t xml:space="preserve"> </w:t>
      </w:r>
      <w:r w:rsidRPr="009658C3" w:rsidR="008515C4">
        <w:rPr>
          <w:rFonts w:ascii="Calibri" w:hAnsi="Calibri" w:cs="Calibri"/>
          <w:color w:val="000000" w:themeColor="text1"/>
          <w:lang w:val="en-US"/>
        </w:rPr>
        <w:t>TF</w:t>
      </w:r>
      <w:r w:rsidR="008515C4">
        <w:rPr>
          <w:rFonts w:ascii="Calibri" w:hAnsi="Calibri" w:cs="Calibri"/>
          <w:color w:val="000000" w:themeColor="text1"/>
          <w:lang w:val="en-US"/>
        </w:rPr>
        <w:t>-</w:t>
      </w:r>
      <w:r w:rsidRPr="009658C3" w:rsidR="008515C4">
        <w:rPr>
          <w:rFonts w:ascii="Calibri" w:hAnsi="Calibri" w:cs="Calibri"/>
          <w:color w:val="000000" w:themeColor="text1"/>
          <w:lang w:val="en-US"/>
        </w:rPr>
        <w:t>regulons</w:t>
      </w:r>
      <w:r w:rsidR="008515C4">
        <w:rPr>
          <w:rFonts w:ascii="Calibri" w:hAnsi="Calibri" w:cs="Calibri"/>
          <w:color w:val="000000" w:themeColor="text1"/>
          <w:lang w:val="en-US"/>
        </w:rPr>
        <w:t xml:space="preserve"> which</w:t>
      </w:r>
      <w:r w:rsidRPr="00CA15D4" w:rsidR="008515C4">
        <w:rPr>
          <w:rFonts w:ascii="Calibri" w:hAnsi="Calibri" w:cs="Calibri"/>
          <w:color w:val="000000" w:themeColor="text1"/>
          <w:lang w:val="en-US"/>
        </w:rPr>
        <w:t xml:space="preserve"> </w:t>
      </w:r>
      <w:r w:rsidR="008515C4">
        <w:rPr>
          <w:rFonts w:ascii="Calibri" w:hAnsi="Calibri" w:cs="Calibri"/>
          <w:color w:val="000000" w:themeColor="text1"/>
          <w:lang w:val="en-US"/>
        </w:rPr>
        <w:t>drive</w:t>
      </w:r>
      <w:r w:rsidRPr="009658C3" w:rsidR="008515C4">
        <w:rPr>
          <w:rFonts w:ascii="Calibri" w:hAnsi="Calibri" w:cs="Calibri"/>
          <w:color w:val="000000" w:themeColor="text1"/>
          <w:lang w:val="en-US"/>
        </w:rPr>
        <w:t xml:space="preserve"> the </w:t>
      </w:r>
      <w:r w:rsidR="008515C4">
        <w:rPr>
          <w:rFonts w:ascii="Calibri" w:hAnsi="Calibri" w:cs="Calibri"/>
          <w:color w:val="000000" w:themeColor="text1"/>
          <w:lang w:val="en-US"/>
        </w:rPr>
        <w:t xml:space="preserve">cellular </w:t>
      </w:r>
      <w:r w:rsidRPr="009658C3" w:rsidR="008515C4">
        <w:rPr>
          <w:rFonts w:ascii="Calibri" w:hAnsi="Calibri" w:cs="Calibri"/>
          <w:color w:val="000000" w:themeColor="text1"/>
          <w:lang w:val="en-US"/>
        </w:rPr>
        <w:t>transition.</w:t>
      </w:r>
      <w:r w:rsidR="008515C4">
        <w:rPr>
          <w:rFonts w:ascii="Calibri" w:hAnsi="Calibri" w:cs="Calibri"/>
          <w:color w:val="000000" w:themeColor="text1"/>
          <w:lang w:val="en-US"/>
        </w:rPr>
        <w:t xml:space="preserve"> </w:t>
      </w:r>
      <w:r w:rsidRPr="009658C3" w:rsidR="008515C4">
        <w:rPr>
          <w:rFonts w:ascii="Calibri" w:hAnsi="Calibri" w:cs="Calibri"/>
          <w:color w:val="000000" w:themeColor="text1"/>
          <w:lang w:val="en-US"/>
        </w:rPr>
        <w:t xml:space="preserve">Benchmarking across multiple immune systems demonstrated that the inferred TF-centric regulons exhibit high specificity and sensitivity in capturing state transitions, underscoring the robustness, interpretability, and generalizability of </w:t>
      </w:r>
      <w:proofErr w:type="spellStart"/>
      <w:r w:rsidRPr="009658C3" w:rsidR="008515C4">
        <w:rPr>
          <w:rFonts w:ascii="Calibri" w:hAnsi="Calibri" w:cs="Calibri"/>
          <w:color w:val="000000" w:themeColor="text1"/>
          <w:lang w:val="en-US"/>
        </w:rPr>
        <w:t>FIREFate</w:t>
      </w:r>
      <w:proofErr w:type="spellEnd"/>
      <w:r w:rsidRPr="009658C3" w:rsidR="008515C4">
        <w:rPr>
          <w:rFonts w:ascii="Calibri" w:hAnsi="Calibri" w:cs="Calibri"/>
          <w:color w:val="000000" w:themeColor="text1"/>
          <w:lang w:val="en-US"/>
        </w:rPr>
        <w:t xml:space="preserve"> for dissecting regulatory mechanisms across diverse contexts.</w:t>
      </w:r>
      <w:r w:rsidR="008515C4">
        <w:rPr>
          <w:rFonts w:ascii="Calibri" w:hAnsi="Calibri" w:cs="Calibri"/>
          <w:color w:val="000000" w:themeColor="text1"/>
          <w:lang w:val="en-US"/>
        </w:rPr>
        <w:t xml:space="preserve"> </w:t>
      </w:r>
    </w:p>
    <w:p w:rsidRPr="009658C3" w:rsidR="008515C4" w:rsidP="008515C4" w:rsidRDefault="008515C4" w14:paraId="41FAD9F5" w14:textId="33667235">
      <w:pPr>
        <w:spacing w:before="240" w:after="240"/>
        <w:jc w:val="both"/>
        <w:rPr>
          <w:rFonts w:ascii="Calibri" w:hAnsi="Calibri" w:cs="Calibri"/>
          <w:color w:val="000000" w:themeColor="text1"/>
          <w:lang w:val="en-US"/>
        </w:rPr>
      </w:pPr>
      <w:r w:rsidRPr="009658C3">
        <w:rPr>
          <w:rFonts w:ascii="Calibri" w:hAnsi="Calibri" w:cs="Calibri"/>
          <w:color w:val="000000" w:themeColor="text1"/>
          <w:lang w:val="en-US"/>
        </w:rPr>
        <w:t xml:space="preserve">While static GRNs reveal state-specific </w:t>
      </w:r>
      <w:r>
        <w:rPr>
          <w:rFonts w:ascii="Calibri" w:hAnsi="Calibri" w:cs="Calibri"/>
          <w:color w:val="000000" w:themeColor="text1"/>
          <w:lang w:val="en-US"/>
        </w:rPr>
        <w:t xml:space="preserve">regulatory </w:t>
      </w:r>
      <w:r w:rsidRPr="009658C3">
        <w:rPr>
          <w:rFonts w:ascii="Calibri" w:hAnsi="Calibri" w:cs="Calibri"/>
          <w:color w:val="000000" w:themeColor="text1"/>
          <w:lang w:val="en-US"/>
        </w:rPr>
        <w:t xml:space="preserve">architectures, they often obscure transient TF activities and dynamic interactions essential for lineage commitment. To address this,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quantifi</w:t>
      </w:r>
      <w:r>
        <w:rPr>
          <w:rFonts w:ascii="Calibri" w:hAnsi="Calibri" w:cs="Calibri"/>
          <w:color w:val="000000" w:themeColor="text1"/>
          <w:lang w:val="en-US"/>
        </w:rPr>
        <w:t>es</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transient TF </w:t>
      </w:r>
      <w:r w:rsidRPr="009658C3">
        <w:rPr>
          <w:rFonts w:ascii="Calibri" w:hAnsi="Calibri" w:cs="Calibri"/>
          <w:color w:val="000000" w:themeColor="text1"/>
          <w:lang w:val="en-US"/>
        </w:rPr>
        <w:t>dynamic</w:t>
      </w:r>
      <w:r>
        <w:rPr>
          <w:rFonts w:ascii="Calibri" w:hAnsi="Calibri" w:cs="Calibri"/>
          <w:color w:val="000000" w:themeColor="text1"/>
          <w:lang w:val="en-US"/>
        </w:rPr>
        <w:t xml:space="preserve">s and </w:t>
      </w:r>
      <w:r w:rsidRPr="009658C3">
        <w:rPr>
          <w:rFonts w:ascii="Calibri" w:hAnsi="Calibri" w:cs="Calibri"/>
          <w:color w:val="000000" w:themeColor="text1"/>
          <w:lang w:val="en-US"/>
        </w:rPr>
        <w:t>uncover</w:t>
      </w:r>
      <w:r>
        <w:rPr>
          <w:rFonts w:ascii="Calibri" w:hAnsi="Calibri" w:cs="Calibri"/>
          <w:color w:val="000000" w:themeColor="text1"/>
          <w:lang w:val="en-US"/>
        </w:rPr>
        <w:t>s</w:t>
      </w:r>
      <w:r w:rsidRPr="009658C3">
        <w:rPr>
          <w:rFonts w:ascii="Calibri" w:hAnsi="Calibri" w:cs="Calibri"/>
          <w:color w:val="000000" w:themeColor="text1"/>
          <w:lang w:val="en-US"/>
        </w:rPr>
        <w:t xml:space="preserve"> sequential waves of TF activation that orchestrate</w:t>
      </w:r>
      <w:r>
        <w:rPr>
          <w:rFonts w:ascii="Calibri" w:hAnsi="Calibri" w:cs="Calibri"/>
          <w:color w:val="000000" w:themeColor="text1"/>
          <w:lang w:val="en-US"/>
        </w:rPr>
        <w:t xml:space="preserve"> cell fate</w:t>
      </w:r>
      <w:r w:rsidRPr="009658C3">
        <w:rPr>
          <w:rFonts w:ascii="Calibri" w:hAnsi="Calibri" w:cs="Calibri"/>
          <w:color w:val="000000" w:themeColor="text1"/>
          <w:lang w:val="en-US"/>
        </w:rPr>
        <w:t xml:space="preserve"> bifurcation</w:t>
      </w:r>
      <w:r>
        <w:rPr>
          <w:rFonts w:ascii="Calibri" w:hAnsi="Calibri" w:cs="Calibri"/>
          <w:color w:val="000000" w:themeColor="text1"/>
          <w:lang w:val="en-US"/>
        </w:rPr>
        <w:t xml:space="preserve">. This is achieved by integrating inferred cellular programs with a dynamic GRN which constructed using a </w:t>
      </w:r>
      <w:r w:rsidRPr="009658C3">
        <w:rPr>
          <w:rFonts w:ascii="Calibri" w:hAnsi="Calibri" w:cs="Calibri"/>
          <w:color w:val="000000" w:themeColor="text1"/>
          <w:lang w:val="en-US"/>
        </w:rPr>
        <w:t>stochastic ODE-based approach that simulate</w:t>
      </w:r>
      <w:r>
        <w:rPr>
          <w:rFonts w:ascii="Calibri" w:hAnsi="Calibri" w:cs="Calibri"/>
          <w:color w:val="000000" w:themeColor="text1"/>
          <w:lang w:val="en-US"/>
        </w:rPr>
        <w:t>s</w:t>
      </w:r>
      <w:r w:rsidRPr="009658C3">
        <w:rPr>
          <w:rFonts w:ascii="Calibri" w:hAnsi="Calibri" w:cs="Calibri"/>
          <w:color w:val="000000" w:themeColor="text1"/>
          <w:lang w:val="en-US"/>
        </w:rPr>
        <w:t xml:space="preserve"> continuous differentiation trajectories from epigenomic and transcriptomic data</w:t>
      </w:r>
      <w:r w:rsidRPr="00BD6670" w:rsidR="00BD6670">
        <w:rPr>
          <w:rFonts w:ascii="Calibri" w:hAnsi="Calibri" w:cs="Calibri" w:eastAsiaTheme="minorHAnsi"/>
          <w:color w:val="000000"/>
          <w:szCs w:val="24"/>
          <w:vertAlign w:val="superscript"/>
          <w:lang w:val="en-US"/>
          <w14:ligatures w14:val="standardContextual"/>
        </w:rPr>
        <w:t>18</w:t>
      </w:r>
      <w:r w:rsidRPr="009658C3">
        <w:rPr>
          <w:rFonts w:ascii="Calibri" w:hAnsi="Calibri" w:cs="Calibri"/>
          <w:color w:val="000000" w:themeColor="text1"/>
          <w:lang w:val="en-US"/>
        </w:rPr>
        <w:t xml:space="preserve"> (Fig. 1B).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then </w:t>
      </w:r>
      <w:r w:rsidRPr="009658C3">
        <w:rPr>
          <w:rFonts w:ascii="Calibri" w:hAnsi="Calibri" w:cs="Calibri"/>
          <w:color w:val="000000" w:themeColor="text1"/>
          <w:lang w:val="en-US"/>
        </w:rPr>
        <w:t>quanti</w:t>
      </w:r>
      <w:r>
        <w:rPr>
          <w:rFonts w:ascii="Calibri" w:hAnsi="Calibri" w:cs="Calibri"/>
          <w:color w:val="000000" w:themeColor="text1"/>
          <w:lang w:val="en-US"/>
        </w:rPr>
        <w:t>fies</w:t>
      </w:r>
      <w:r w:rsidRPr="009658C3">
        <w:rPr>
          <w:rFonts w:ascii="Calibri" w:hAnsi="Calibri" w:cs="Calibri"/>
          <w:color w:val="000000" w:themeColor="text1"/>
          <w:lang w:val="en-US"/>
        </w:rPr>
        <w:t xml:space="preserve"> TF</w:t>
      </w:r>
      <w:r>
        <w:rPr>
          <w:rFonts w:ascii="Calibri" w:hAnsi="Calibri" w:cs="Calibri"/>
          <w:color w:val="000000" w:themeColor="text1"/>
          <w:lang w:val="en-US"/>
        </w:rPr>
        <w:t xml:space="preserve"> </w:t>
      </w:r>
      <w:r w:rsidRPr="009658C3">
        <w:rPr>
          <w:rFonts w:ascii="Calibri" w:hAnsi="Calibri" w:cs="Calibri"/>
          <w:color w:val="000000" w:themeColor="text1"/>
          <w:lang w:val="en-US"/>
        </w:rPr>
        <w:t>episodic enrichmen</w:t>
      </w:r>
      <w:r>
        <w:rPr>
          <w:rFonts w:ascii="Calibri" w:hAnsi="Calibri" w:cs="Calibri"/>
          <w:color w:val="000000" w:themeColor="text1"/>
          <w:lang w:val="en-US"/>
        </w:rPr>
        <w:t>t enables us to</w:t>
      </w:r>
      <w:r w:rsidRPr="004943ED">
        <w:rPr>
          <w:rFonts w:ascii="Calibri" w:hAnsi="Calibri" w:cs="Calibri"/>
          <w:color w:val="000000" w:themeColor="text1"/>
          <w:lang w:val="en-US"/>
        </w:rPr>
        <w:t xml:space="preserve"> </w:t>
      </w:r>
      <w:r w:rsidRPr="009658C3">
        <w:rPr>
          <w:rFonts w:ascii="Calibri" w:hAnsi="Calibri" w:cs="Calibri"/>
          <w:color w:val="000000" w:themeColor="text1"/>
          <w:lang w:val="en-US"/>
        </w:rPr>
        <w:t>identi</w:t>
      </w:r>
      <w:r>
        <w:rPr>
          <w:rFonts w:ascii="Calibri" w:hAnsi="Calibri" w:cs="Calibri"/>
          <w:color w:val="000000" w:themeColor="text1"/>
          <w:lang w:val="en-US"/>
        </w:rPr>
        <w:t>fy</w:t>
      </w:r>
      <w:r w:rsidRPr="009658C3">
        <w:rPr>
          <w:rFonts w:ascii="Calibri" w:hAnsi="Calibri" w:cs="Calibri"/>
          <w:color w:val="000000" w:themeColor="text1"/>
          <w:lang w:val="en-US"/>
        </w:rPr>
        <w:t xml:space="preserve"> temporal window of action for transient TFs, </w:t>
      </w:r>
      <w:r>
        <w:rPr>
          <w:rFonts w:ascii="Calibri" w:hAnsi="Calibri" w:cs="Calibri"/>
          <w:color w:val="000000" w:themeColor="text1"/>
          <w:lang w:val="en-US"/>
        </w:rPr>
        <w:t>adding</w:t>
      </w:r>
      <w:r w:rsidRPr="009658C3">
        <w:rPr>
          <w:rFonts w:ascii="Calibri" w:hAnsi="Calibri" w:cs="Calibri"/>
          <w:color w:val="000000" w:themeColor="text1"/>
          <w:lang w:val="en-US"/>
        </w:rPr>
        <w:t xml:space="preserve"> mechanistic insight into regulatory decision-making during fate transitions.</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Through this integrative </w:t>
      </w:r>
      <w:r>
        <w:rPr>
          <w:rFonts w:ascii="Calibri" w:hAnsi="Calibri" w:cs="Calibri"/>
          <w:color w:val="000000" w:themeColor="text1"/>
          <w:lang w:val="en-US"/>
        </w:rPr>
        <w:t>paradigm</w:t>
      </w:r>
      <w:r w:rsidRPr="009658C3">
        <w:rPr>
          <w:rFonts w:ascii="Calibri" w:hAnsi="Calibri" w:cs="Calibri"/>
          <w:color w:val="000000" w:themeColor="text1"/>
          <w:lang w:val="en-US"/>
        </w:rPr>
        <w:t xml:space="preserve">,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w:t>
      </w:r>
      <w:r w:rsidRPr="009658C3">
        <w:rPr>
          <w:rFonts w:ascii="Calibri" w:hAnsi="Calibri" w:cs="Calibri"/>
          <w:color w:val="000000" w:themeColor="text1"/>
          <w:lang w:val="en-US"/>
        </w:rPr>
        <w:t>offers a systems-level lens to dissect how hierarchical gene regulation evolves as cells progress through decision-making landscapes toward their final fates.</w:t>
      </w:r>
    </w:p>
    <w:p w:rsidRPr="00FB0275" w:rsidR="008515C4" w:rsidP="008515C4" w:rsidRDefault="008515C4" w14:paraId="4F88726E" w14:textId="77777777">
      <w:pPr>
        <w:spacing w:before="240" w:after="240"/>
        <w:jc w:val="both"/>
        <w:rPr>
          <w:rFonts w:ascii="Calibri" w:hAnsi="Calibri" w:eastAsia="Calibri" w:cs="Calibri"/>
          <w:color w:val="000000" w:themeColor="text1"/>
        </w:rPr>
      </w:pPr>
      <w:r w:rsidRPr="00686C9F">
        <w:rPr>
          <w:rFonts w:ascii="Calibri" w:hAnsi="Calibri" w:cs="Calibri"/>
        </w:rPr>
        <w:t xml:space="preserve">Orthogonally, </w:t>
      </w:r>
      <w:r>
        <w:rPr>
          <w:rFonts w:ascii="Calibri" w:hAnsi="Calibri" w:cs="Calibri"/>
        </w:rPr>
        <w:t xml:space="preserve">the conceptual design of </w:t>
      </w:r>
      <w:proofErr w:type="spellStart"/>
      <w:r>
        <w:rPr>
          <w:rFonts w:ascii="Calibri" w:hAnsi="Calibri" w:cs="Calibri"/>
        </w:rPr>
        <w:t>FIREFate</w:t>
      </w:r>
      <w:proofErr w:type="spellEnd"/>
      <w:r>
        <w:rPr>
          <w:rFonts w:ascii="Calibri" w:hAnsi="Calibri" w:cs="Calibri"/>
        </w:rPr>
        <w:t xml:space="preserve"> enables resolution of </w:t>
      </w:r>
      <w:r w:rsidRPr="00686C9F">
        <w:rPr>
          <w:rFonts w:ascii="Calibri" w:hAnsi="Calibri" w:cs="Calibri"/>
        </w:rPr>
        <w:t>dynamic</w:t>
      </w:r>
      <w:r>
        <w:rPr>
          <w:rFonts w:ascii="Calibri" w:hAnsi="Calibri" w:cs="Calibri"/>
        </w:rPr>
        <w:t xml:space="preserve"> </w:t>
      </w:r>
      <w:r w:rsidRPr="00686C9F">
        <w:rPr>
          <w:rFonts w:ascii="Calibri" w:hAnsi="Calibri" w:cs="Calibri"/>
        </w:rPr>
        <w:t>TF</w:t>
      </w:r>
      <w:r>
        <w:rPr>
          <w:rFonts w:ascii="Calibri" w:hAnsi="Calibri" w:cs="Calibri"/>
        </w:rPr>
        <w:t xml:space="preserve"> </w:t>
      </w:r>
      <w:r w:rsidRPr="00686C9F">
        <w:rPr>
          <w:rFonts w:ascii="Calibri" w:hAnsi="Calibri" w:cs="Calibri"/>
        </w:rPr>
        <w:t>activit</w:t>
      </w:r>
      <w:r>
        <w:rPr>
          <w:rFonts w:ascii="Calibri" w:hAnsi="Calibri" w:cs="Calibri"/>
        </w:rPr>
        <w:t xml:space="preserve">ies that drive cell fate commitment, identifying </w:t>
      </w:r>
      <w:r w:rsidRPr="6C4092E4">
        <w:rPr>
          <w:rFonts w:ascii="Calibri" w:hAnsi="Calibri" w:cs="Calibri"/>
          <w:color w:val="000000" w:themeColor="text1"/>
          <w:lang w:val="en-US"/>
        </w:rPr>
        <w:t>lineage-defining TFs</w:t>
      </w:r>
      <w:r>
        <w:rPr>
          <w:rFonts w:ascii="Calibri" w:hAnsi="Calibri" w:cs="Calibri"/>
        </w:rPr>
        <w:t xml:space="preserve">. The framework </w:t>
      </w:r>
      <w:r w:rsidRPr="00686C9F">
        <w:rPr>
          <w:rFonts w:ascii="Calibri" w:hAnsi="Calibri" w:cs="Calibri"/>
        </w:rPr>
        <w:t>provides a GRN-independent formul</w:t>
      </w:r>
      <w:r>
        <w:rPr>
          <w:rFonts w:ascii="Calibri" w:hAnsi="Calibri" w:cs="Calibri"/>
        </w:rPr>
        <w:t>ation</w:t>
      </w:r>
      <w:r w:rsidRPr="00686C9F">
        <w:rPr>
          <w:rFonts w:ascii="Calibri" w:hAnsi="Calibri" w:cs="Calibri"/>
        </w:rPr>
        <w:t xml:space="preserve"> by transferring the cellular programs </w:t>
      </w:r>
      <w:r w:rsidRPr="00BA6951">
        <w:rPr>
          <w:rFonts w:ascii="Calibri" w:hAnsi="Calibri" w:eastAsia="Calibri" w:cs="Calibri"/>
          <w:color w:val="000000" w:themeColor="text1"/>
        </w:rPr>
        <w:t>inferred from TF-perturbation</w:t>
      </w:r>
      <w:r>
        <w:rPr>
          <w:rFonts w:ascii="Calibri" w:hAnsi="Calibri" w:eastAsia="Calibri" w:cs="Calibri"/>
          <w:color w:val="000000" w:themeColor="text1"/>
        </w:rPr>
        <w:t xml:space="preserve"> onto </w:t>
      </w:r>
      <w:r w:rsidRPr="009658C3">
        <w:rPr>
          <w:rFonts w:ascii="Calibri" w:hAnsi="Calibri" w:cs="Calibri"/>
          <w:color w:val="000000" w:themeColor="text1"/>
          <w:lang w:val="en-US"/>
        </w:rPr>
        <w:t>uncommitted cel</w:t>
      </w:r>
      <w:r>
        <w:rPr>
          <w:rFonts w:ascii="Calibri" w:hAnsi="Calibri" w:cs="Calibri"/>
          <w:color w:val="000000" w:themeColor="text1"/>
          <w:lang w:val="en-US"/>
        </w:rPr>
        <w:t>ls</w:t>
      </w:r>
      <w:r w:rsidRPr="00686C9F">
        <w:rPr>
          <w:rFonts w:ascii="Calibri" w:hAnsi="Calibri" w:cs="Calibri"/>
        </w:rPr>
        <w:t xml:space="preserve">, </w:t>
      </w:r>
      <w:r w:rsidRPr="6C4092E4">
        <w:rPr>
          <w:rFonts w:ascii="Calibri" w:hAnsi="Calibri" w:cs="Calibri"/>
          <w:color w:val="000000" w:themeColor="text1"/>
          <w:lang w:val="en-US"/>
        </w:rPr>
        <w:t xml:space="preserve">enabling </w:t>
      </w:r>
      <w:r>
        <w:rPr>
          <w:rFonts w:ascii="Calibri" w:hAnsi="Calibri" w:cs="Calibri"/>
          <w:color w:val="000000" w:themeColor="text1"/>
          <w:lang w:val="en-US"/>
        </w:rPr>
        <w:t xml:space="preserve">revealing </w:t>
      </w:r>
      <w:r w:rsidRPr="009658C3">
        <w:rPr>
          <w:rFonts w:ascii="Calibri" w:hAnsi="Calibri" w:cs="Calibri"/>
          <w:color w:val="000000" w:themeColor="text1"/>
          <w:lang w:val="en-US"/>
        </w:rPr>
        <w:t>upstream regulatory circuits that prime bifurcation events</w:t>
      </w:r>
      <w:r w:rsidRPr="6C4092E4">
        <w:rPr>
          <w:rFonts w:ascii="Calibri" w:hAnsi="Calibri" w:cs="Calibri"/>
          <w:color w:val="000000" w:themeColor="text1"/>
          <w:lang w:val="en-US"/>
        </w:rPr>
        <w:t xml:space="preserve"> </w:t>
      </w:r>
      <w:r>
        <w:rPr>
          <w:rFonts w:ascii="Calibri" w:hAnsi="Calibri" w:cs="Calibri"/>
          <w:color w:val="000000" w:themeColor="text1"/>
          <w:lang w:val="en-US"/>
        </w:rPr>
        <w:t xml:space="preserve">and </w:t>
      </w:r>
      <w:r w:rsidRPr="6C4092E4">
        <w:rPr>
          <w:rFonts w:ascii="Calibri" w:hAnsi="Calibri" w:cs="Calibri"/>
          <w:color w:val="000000" w:themeColor="text1"/>
          <w:lang w:val="en-US"/>
        </w:rPr>
        <w:t>prediction of lineage outcome</w:t>
      </w:r>
      <w:r>
        <w:rPr>
          <w:rFonts w:ascii="Calibri" w:hAnsi="Calibri" w:cs="Calibri"/>
          <w:color w:val="000000" w:themeColor="text1"/>
          <w:lang w:val="en-US"/>
        </w:rPr>
        <w:t>s</w:t>
      </w:r>
      <w:r w:rsidRPr="6C4092E4">
        <w:rPr>
          <w:rFonts w:ascii="Calibri" w:hAnsi="Calibri" w:cs="Calibri"/>
          <w:color w:val="000000" w:themeColor="text1"/>
          <w:lang w:val="en-US"/>
        </w:rPr>
        <w:t xml:space="preserve"> before bifurcation becomes transcriptionally apparent</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(Fig. 1C). Across multiple cellular systems, this approach consistently captured fate-predisposing patterns overlooked by DEG-based and conventional machine learning methods, demonstrating its superior accuracy and generalizability. Altogether, this integrative framework fuses </w:t>
      </w:r>
      <w:r>
        <w:rPr>
          <w:rFonts w:ascii="Calibri" w:hAnsi="Calibri" w:cs="Calibri"/>
          <w:color w:val="000000" w:themeColor="text1"/>
          <w:lang w:val="en-US"/>
        </w:rPr>
        <w:t xml:space="preserve">mechanistic </w:t>
      </w:r>
      <w:r w:rsidRPr="009658C3">
        <w:rPr>
          <w:rFonts w:ascii="Calibri" w:hAnsi="Calibri" w:cs="Calibri"/>
          <w:color w:val="000000" w:themeColor="text1"/>
          <w:lang w:val="en-US"/>
        </w:rPr>
        <w:t>views with interpretable machine learning to delineate the cellular programs that steer fate bifurcation and commitment. Its robustness across diverse systems demonstrates its ability to resolve the molecular logic underlying cell fate decisions beyond the reach of existing approaches.</w:t>
      </w:r>
    </w:p>
    <w:p w:rsidRPr="009658C3" w:rsidR="008515C4" w:rsidP="008515C4" w:rsidRDefault="00042BF7" w14:paraId="409ACB6A" w14:textId="307DEA7C">
      <w:pPr>
        <w:pStyle w:val="Heading3"/>
        <w:jc w:val="both"/>
        <w:rPr>
          <w:rFonts w:ascii="Calibri" w:hAnsi="Calibri" w:cs="Calibri"/>
          <w:b/>
          <w:bCs/>
          <w:color w:val="000000" w:themeColor="text1"/>
          <w:sz w:val="24"/>
          <w:szCs w:val="24"/>
          <w:lang w:val="en-US"/>
        </w:rPr>
      </w:pPr>
      <w:proofErr w:type="spellStart"/>
      <w:r>
        <w:rPr>
          <w:rFonts w:ascii="Calibri" w:hAnsi="Calibri" w:cs="Calibri"/>
          <w:b/>
          <w:bCs/>
          <w:color w:val="000000" w:themeColor="text1"/>
          <w:sz w:val="24"/>
          <w:szCs w:val="24"/>
          <w:lang w:val="en-US"/>
        </w:rPr>
        <w:t>FIREFate</w:t>
      </w:r>
      <w:proofErr w:type="spellEnd"/>
      <w:r>
        <w:rPr>
          <w:rFonts w:ascii="Calibri" w:hAnsi="Calibri" w:cs="Calibri"/>
          <w:b/>
          <w:bCs/>
          <w:color w:val="000000" w:themeColor="text1"/>
          <w:sz w:val="24"/>
          <w:szCs w:val="24"/>
          <w:lang w:val="en-US"/>
        </w:rPr>
        <w:t xml:space="preserve"> recovers core fate-regulatory subnetworks de novo across B and T cell decisions</w:t>
      </w:r>
    </w:p>
    <w:p w:rsidRPr="00442647" w:rsidR="00442647" w:rsidP="20739231" w:rsidRDefault="00442647" w14:paraId="7D2791F1" w14:textId="77777777">
      <w:pPr>
        <w:jc w:val="both"/>
        <w:rPr>
          <w:rFonts w:ascii="Calibri" w:hAnsi="Calibri" w:cs="Calibri"/>
          <w:color w:val="000000" w:themeColor="text1"/>
          <w:lang w:val="en-US"/>
        </w:rPr>
      </w:pPr>
      <w:r w:rsidRPr="20739231" w:rsidR="00442647">
        <w:rPr>
          <w:rFonts w:ascii="Calibri" w:hAnsi="Calibri" w:cs="Calibri"/>
          <w:color w:val="000000" w:themeColor="text1" w:themeTint="FF" w:themeShade="FF"/>
          <w:lang w:val="en-US"/>
        </w:rPr>
        <w:t xml:space="preserve">Adaptive humoral immunity begins with naïve B cells. After antigen encounter, each cell makes a binary fate decision. It can become an extrafollicular plasmablast (PB) that secretes early, low-affinity antibodies. Alternatively, it can enter a germinal center (GC) to become a high-affinity, long-lived plasma cell or memory B cell [24,25]. This PB-versus-GC choice is a paradigmatic fate decision. Yet the programs that govern it remain poorly defined. Existing methods cannot resolve </w:t>
      </w:r>
      <w:r w:rsidRPr="20739231" w:rsidR="00442647">
        <w:rPr>
          <w:rFonts w:ascii="Calibri" w:hAnsi="Calibri" w:cs="Calibri"/>
          <w:color w:val="000000" w:themeColor="text1" w:themeTint="FF" w:themeShade="FF"/>
          <w:lang w:val="en-US"/>
        </w:rPr>
        <w:t>this logic. Network-based approaches prioritize hubs and ignore program-level organization. Differential expression captures only marginal effects. Decomposition methods suffer from non-identifiability. Deep-learning models predict well but stay black boxes with little mechanistic insight. None treat fate as an integrated regulatory program.</w:t>
      </w:r>
    </w:p>
    <w:p w:rsidR="002A1856" w:rsidP="008515C4" w:rsidRDefault="002A1856" w14:paraId="50CD59AA" w14:textId="2015BE05">
      <w:pPr>
        <w:jc w:val="both"/>
        <w:rPr>
          <w:rFonts w:ascii="Calibri" w:hAnsi="Calibri" w:cs="Calibri"/>
          <w:color w:val="000000" w:themeColor="text1"/>
          <w:lang w:val="en-US"/>
        </w:rPr>
      </w:pPr>
    </w:p>
    <w:p w:rsidR="008515C4" w:rsidP="008515C4" w:rsidRDefault="009C644E" w14:paraId="3036B209" w14:textId="216C2296">
      <w:pPr>
        <w:jc w:val="both"/>
        <w:rPr>
          <w:rFonts w:ascii="Calibri" w:hAnsi="Calibri" w:cs="Calibri"/>
          <w:color w:val="000000" w:themeColor="text1"/>
          <w:lang w:val="en-US"/>
        </w:rPr>
      </w:pP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fills this gap. It integrates mechanistic models with interpretable cellular programs to uncover functional, state-defining regulons (Fig. 2A). Its mechanistic layer is built from high-resolution </w:t>
      </w:r>
      <w:proofErr w:type="gramStart"/>
      <w:r>
        <w:rPr>
          <w:rFonts w:ascii="Calibri" w:hAnsi="Calibri" w:cs="Calibri"/>
          <w:color w:val="000000" w:themeColor="text1"/>
          <w:lang w:val="en-US"/>
        </w:rPr>
        <w:t>single-cell</w:t>
      </w:r>
      <w:proofErr w:type="gramEnd"/>
      <w:r>
        <w:rPr>
          <w:rFonts w:ascii="Calibri" w:hAnsi="Calibri" w:cs="Calibri"/>
          <w:color w:val="000000" w:themeColor="text1"/>
          <w:lang w:val="en-US"/>
        </w:rPr>
        <w:t xml:space="preserve"> </w:t>
      </w:r>
      <w:proofErr w:type="spellStart"/>
      <w:r>
        <w:rPr>
          <w:rFonts w:ascii="Calibri" w:hAnsi="Calibri" w:cs="Calibri"/>
          <w:color w:val="000000" w:themeColor="text1"/>
          <w:lang w:val="en-US"/>
        </w:rPr>
        <w:t>multiome</w:t>
      </w:r>
      <w:proofErr w:type="spellEnd"/>
      <w:r>
        <w:rPr>
          <w:rFonts w:ascii="Calibri" w:hAnsi="Calibri" w:cs="Calibri"/>
          <w:color w:val="000000" w:themeColor="text1"/>
          <w:lang w:val="en-US"/>
        </w:rPr>
        <w:t xml:space="preserve"> data. This data pairs </w:t>
      </w:r>
      <w:proofErr w:type="spellStart"/>
      <w:r>
        <w:rPr>
          <w:rFonts w:ascii="Calibri" w:hAnsi="Calibri" w:cs="Calibri"/>
          <w:color w:val="000000" w:themeColor="text1"/>
          <w:lang w:val="en-US"/>
        </w:rPr>
        <w:t>scRNA</w:t>
      </w:r>
      <w:proofErr w:type="spellEnd"/>
      <w:r>
        <w:rPr>
          <w:rFonts w:ascii="Calibri" w:hAnsi="Calibri" w:cs="Calibri"/>
          <w:color w:val="000000" w:themeColor="text1"/>
          <w:lang w:val="en-US"/>
        </w:rPr>
        <w:t xml:space="preserve">-seq and </w:t>
      </w:r>
      <w:proofErr w:type="spellStart"/>
      <w:r>
        <w:rPr>
          <w:rFonts w:ascii="Calibri" w:hAnsi="Calibri" w:cs="Calibri"/>
          <w:color w:val="000000" w:themeColor="text1"/>
          <w:lang w:val="en-US"/>
        </w:rPr>
        <w:t>scATAC</w:t>
      </w:r>
      <w:proofErr w:type="spellEnd"/>
      <w:r>
        <w:rPr>
          <w:rFonts w:ascii="Calibri" w:hAnsi="Calibri" w:cs="Calibri"/>
          <w:color w:val="000000" w:themeColor="text1"/>
          <w:lang w:val="en-US"/>
        </w:rPr>
        <w:t>-seq in the same cells</w:t>
      </w:r>
      <w:r w:rsidR="00901936">
        <w:rPr>
          <w:rFonts w:ascii="Calibri" w:hAnsi="Calibri" w:cs="Calibri"/>
          <w:color w:val="000000" w:themeColor="text1"/>
          <w:lang w:val="en-US"/>
        </w:rPr>
        <w:t xml:space="preserve">, </w:t>
      </w:r>
      <w:r>
        <w:rPr>
          <w:rFonts w:ascii="Calibri" w:hAnsi="Calibri" w:cs="Calibri"/>
          <w:color w:val="000000" w:themeColor="text1"/>
          <w:lang w:val="en-US"/>
        </w:rPr>
        <w:t>therefore enabl</w:t>
      </w:r>
      <w:r w:rsidR="00901936">
        <w:rPr>
          <w:rFonts w:ascii="Calibri" w:hAnsi="Calibri" w:cs="Calibri"/>
          <w:color w:val="000000" w:themeColor="text1"/>
          <w:lang w:val="en-US"/>
        </w:rPr>
        <w:t>ing</w:t>
      </w:r>
      <w:r>
        <w:rPr>
          <w:rFonts w:ascii="Calibri" w:hAnsi="Calibri" w:cs="Calibri"/>
          <w:color w:val="000000" w:themeColor="text1"/>
          <w:lang w:val="en-US"/>
        </w:rPr>
        <w:t xml:space="preserve"> more accurate, state-specific GRN inference than expression alone.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then works in three steps. First, it infers a GRN for each cell state and unions them into a combined GRN spanning PB and GC states. Second, it applies interpretable machine learning to </w:t>
      </w:r>
      <w:proofErr w:type="spellStart"/>
      <w:r>
        <w:rPr>
          <w:rFonts w:ascii="Calibri" w:hAnsi="Calibri" w:cs="Calibri"/>
          <w:color w:val="000000" w:themeColor="text1"/>
          <w:lang w:val="en-US"/>
        </w:rPr>
        <w:t>scRNA</w:t>
      </w:r>
      <w:proofErr w:type="spellEnd"/>
      <w:r>
        <w:rPr>
          <w:rFonts w:ascii="Calibri" w:hAnsi="Calibri" w:cs="Calibri"/>
          <w:color w:val="000000" w:themeColor="text1"/>
          <w:lang w:val="en-US"/>
        </w:rPr>
        <w:t>-seq to derive the programs that discriminate the two states. Third, it unifies these into regulatory-encoded subnetworks that drive state differences.</w:t>
      </w:r>
    </w:p>
    <w:p w:rsidRPr="009658C3" w:rsidR="008515C4" w:rsidP="008515C4" w:rsidRDefault="008515C4" w14:paraId="3D58C642" w14:textId="77777777">
      <w:pPr>
        <w:jc w:val="both"/>
        <w:rPr>
          <w:rFonts w:ascii="Calibri" w:hAnsi="Calibri" w:cs="Calibri"/>
          <w:color w:val="000000" w:themeColor="text1"/>
          <w:lang w:val="en-US"/>
        </w:rPr>
      </w:pPr>
    </w:p>
    <w:p w:rsidR="008515C4" w:rsidP="008515C4" w:rsidRDefault="00DF0B2E" w14:paraId="3DD7AB35" w14:textId="5AD39897">
      <w:pPr>
        <w:jc w:val="both"/>
        <w:rPr>
          <w:rFonts w:ascii="Calibri" w:hAnsi="Calibri" w:cs="Calibri"/>
          <w:color w:val="000000" w:themeColor="text1"/>
          <w:lang w:val="en-US"/>
        </w:rPr>
      </w:pPr>
      <w:r w:rsidRPr="00DF0B2E">
        <w:rPr>
          <w:rFonts w:ascii="Calibri" w:hAnsi="Calibri" w:cs="Calibri"/>
          <w:color w:val="000000" w:themeColor="text1"/>
          <w:lang w:val="en-US"/>
        </w:rPr>
        <w:t xml:space="preserve">We first derived the cellular programs that separate PB from GC states in primary human B cells [26]. </w:t>
      </w:r>
      <w:proofErr w:type="spellStart"/>
      <w:r w:rsidRPr="00DF0B2E">
        <w:rPr>
          <w:rFonts w:ascii="Calibri" w:hAnsi="Calibri" w:cs="Calibri"/>
          <w:color w:val="000000" w:themeColor="text1"/>
          <w:lang w:val="en-US"/>
        </w:rPr>
        <w:t>FIREFate</w:t>
      </w:r>
      <w:proofErr w:type="spellEnd"/>
      <w:r w:rsidRPr="00DF0B2E">
        <w:rPr>
          <w:rFonts w:ascii="Calibri" w:hAnsi="Calibri" w:cs="Calibri"/>
          <w:color w:val="000000" w:themeColor="text1"/>
          <w:lang w:val="en-US"/>
        </w:rPr>
        <w:t xml:space="preserve"> identified two programs, one standalone and one interacting. Together they discriminated the states with high accuracy (AUC = 0.98 versus 0.55 for permutation) (Extended Fig. 1A-C). Gene set annotation via GSAI [23,27] mapped them to plasma cell differentiation and to MHC class II antigen presentation (Extended Fig. 1D-E). These programs recovered canonical regulators such as PRDM1 [28] and PAX5 [29] with no prior knowledge. They also generalized across datasets and modalities, with cross-modality transfer reaching AUCs of 0.94 to 0.96 (Extended Fig. 1F-H). The programs therefore recover core transcriptional circuitry rather than artifacts, seeding the regulatory analysis</w:t>
      </w:r>
      <w:r w:rsidR="00A9076B">
        <w:rPr>
          <w:rFonts w:ascii="Calibri" w:hAnsi="Calibri" w:cs="Calibri"/>
          <w:color w:val="000000" w:themeColor="text1"/>
          <w:lang w:val="en-US"/>
        </w:rPr>
        <w:t>.</w:t>
      </w:r>
    </w:p>
    <w:p w:rsidRPr="002857D0" w:rsidR="00A9076B" w:rsidP="008515C4" w:rsidRDefault="00A9076B" w14:paraId="2A280C59" w14:textId="77777777">
      <w:pPr>
        <w:jc w:val="both"/>
        <w:rPr>
          <w:rFonts w:ascii="Calibri" w:hAnsi="Calibri" w:cs="Calibri"/>
          <w:color w:val="000000" w:themeColor="text1"/>
        </w:rPr>
      </w:pPr>
    </w:p>
    <w:p w:rsidR="00442647" w:rsidP="008515C4" w:rsidRDefault="00442647" w14:paraId="672688DC" w14:textId="6CCCC477">
      <w:pPr>
        <w:jc w:val="both"/>
        <w:rPr>
          <w:rFonts w:ascii="Calibri" w:hAnsi="Calibri" w:eastAsia="Times New Roman" w:cs="Calibri"/>
          <w:color w:val="000000" w:themeColor="text1"/>
          <w:lang w:val="en-US"/>
        </w:rPr>
      </w:pPr>
      <w:r w:rsidRPr="00442647">
        <w:rPr>
          <w:rFonts w:ascii="Calibri" w:hAnsi="Calibri" w:eastAsia="Times New Roman" w:cs="Calibri"/>
          <w:color w:val="000000" w:themeColor="text1"/>
          <w:lang w:val="en-US"/>
        </w:rPr>
        <w:t xml:space="preserve">We then integrated these programs with a state-specific static GRN [26] to convert them into </w:t>
      </w:r>
      <w:r w:rsidR="00EE2299">
        <w:rPr>
          <w:rFonts w:ascii="Calibri" w:hAnsi="Calibri" w:eastAsia="Times New Roman" w:cs="Calibri"/>
          <w:color w:val="000000" w:themeColor="text1"/>
          <w:lang w:val="en-US"/>
        </w:rPr>
        <w:t xml:space="preserve">candidate </w:t>
      </w:r>
      <w:r w:rsidRPr="00442647">
        <w:rPr>
          <w:rFonts w:ascii="Calibri" w:hAnsi="Calibri" w:eastAsia="Times New Roman" w:cs="Calibri"/>
          <w:color w:val="000000" w:themeColor="text1"/>
          <w:lang w:val="en-US"/>
        </w:rPr>
        <w:t xml:space="preserve">causal, TF-centric subnetworks (Fig. 2B). This step recovered the canonical master regulators with no priors encoded, validating the approach. PAX5 emerged as the dominant GC regulon, while PRDM1 and IRF4 defined PB identity [30]. Beyond this validation, </w:t>
      </w:r>
      <w:proofErr w:type="spellStart"/>
      <w:r w:rsidR="00042BF7">
        <w:rPr>
          <w:rFonts w:ascii="Calibri" w:hAnsi="Calibri" w:eastAsia="Times New Roman" w:cs="Calibri"/>
          <w:color w:val="000000" w:themeColor="text1"/>
          <w:lang w:val="en-US"/>
        </w:rPr>
        <w:t>FIREFate</w:t>
      </w:r>
      <w:proofErr w:type="spellEnd"/>
      <w:r w:rsidR="00042BF7">
        <w:rPr>
          <w:rFonts w:ascii="Calibri" w:hAnsi="Calibri" w:eastAsia="Times New Roman" w:cs="Calibri"/>
          <w:color w:val="000000" w:themeColor="text1"/>
          <w:lang w:val="en-US"/>
        </w:rPr>
        <w:t xml:space="preserve"> also surfaced under-appreciated candidate regulators. For instance, CREB3L2</w:t>
      </w:r>
      <w:r w:rsidRPr="00442647">
        <w:rPr>
          <w:rFonts w:ascii="Calibri" w:hAnsi="Calibri" w:eastAsia="Times New Roman" w:cs="Calibri"/>
          <w:color w:val="000000" w:themeColor="text1"/>
          <w:lang w:val="en-US"/>
        </w:rPr>
        <w:t xml:space="preserve">, a regulator of the ER stress response required for antibody secretion [31], activated the PB driver IRF4 while repressing the GC enforcer PAX5. </w:t>
      </w:r>
      <w:r w:rsidR="00DC5750">
        <w:rPr>
          <w:rFonts w:ascii="Calibri" w:hAnsi="Calibri" w:eastAsia="Times New Roman" w:cs="Calibri"/>
          <w:color w:val="000000" w:themeColor="text1"/>
          <w:lang w:val="en-US"/>
        </w:rPr>
        <w:t xml:space="preserve">This activation-repression pattern is a putative causal circuit that ties antibody-secretion stress signaling directly to the fate switch, rather than a mere correlation. </w:t>
      </w:r>
      <w:r w:rsidRPr="00442647">
        <w:rPr>
          <w:rFonts w:ascii="Calibri" w:hAnsi="Calibri" w:eastAsia="Times New Roman" w:cs="Calibri"/>
          <w:color w:val="000000" w:themeColor="text1"/>
          <w:lang w:val="en-US"/>
        </w:rPr>
        <w:t xml:space="preserve">The subnetwork also placed known GC factors in context, including BATF, which drives antigen-triggered GC formation [32], BACH2, which restrains premature differentiation, and NFKB1 [34]. Overrepresentation analysis ranked the enriched regulons and again flagged under-studied </w:t>
      </w:r>
      <w:r w:rsidR="00042BF7">
        <w:rPr>
          <w:rFonts w:ascii="Calibri" w:hAnsi="Calibri" w:eastAsia="Times New Roman" w:cs="Calibri"/>
          <w:color w:val="000000" w:themeColor="text1"/>
          <w:lang w:val="en-US"/>
        </w:rPr>
        <w:t>factors such as TCF12 as candidate fate regulators</w:t>
      </w:r>
      <w:r w:rsidRPr="00442647">
        <w:rPr>
          <w:rFonts w:ascii="Calibri" w:hAnsi="Calibri" w:eastAsia="Times New Roman" w:cs="Calibri"/>
          <w:color w:val="000000" w:themeColor="text1"/>
          <w:lang w:val="en-US"/>
        </w:rPr>
        <w:t xml:space="preserve"> [35] (Fig. 2C). </w:t>
      </w:r>
      <w:proofErr w:type="spellStart"/>
      <w:r w:rsidRPr="00442647">
        <w:rPr>
          <w:rFonts w:ascii="Calibri" w:hAnsi="Calibri" w:eastAsia="Times New Roman" w:cs="Calibri"/>
          <w:color w:val="000000" w:themeColor="text1"/>
          <w:lang w:val="en-US"/>
        </w:rPr>
        <w:t>FIREFate</w:t>
      </w:r>
      <w:proofErr w:type="spellEnd"/>
      <w:r w:rsidRPr="00442647">
        <w:rPr>
          <w:rFonts w:ascii="Calibri" w:hAnsi="Calibri" w:eastAsia="Times New Roman" w:cs="Calibri"/>
          <w:color w:val="000000" w:themeColor="text1"/>
          <w:lang w:val="en-US"/>
        </w:rPr>
        <w:t xml:space="preserve"> thus recovers both the canonical circuitry and new, testable regulatory dependencies that govern the decision.</w:t>
      </w:r>
    </w:p>
    <w:p w:rsidRPr="00442647" w:rsidR="007846E7" w:rsidP="008515C4" w:rsidRDefault="007846E7" w14:paraId="267C598C" w14:textId="77777777">
      <w:pPr>
        <w:jc w:val="both"/>
        <w:rPr>
          <w:rFonts w:ascii="Calibri" w:hAnsi="Calibri" w:eastAsia="Times New Roman" w:cs="Calibri"/>
          <w:color w:val="000000" w:themeColor="text1"/>
          <w:lang w:val="en-US"/>
        </w:rPr>
      </w:pPr>
    </w:p>
    <w:p w:rsidR="008515C4" w:rsidP="008515C4" w:rsidRDefault="00442647" w14:paraId="62B67F03" w14:textId="507FA739">
      <w:pPr>
        <w:jc w:val="both"/>
        <w:rPr>
          <w:rFonts w:ascii="Calibri" w:hAnsi="Calibri" w:cs="Calibri"/>
          <w:color w:val="000000" w:themeColor="text1"/>
        </w:rPr>
      </w:pPr>
      <w:r w:rsidRPr="00442647">
        <w:rPr>
          <w:rFonts w:ascii="Calibri" w:hAnsi="Calibri" w:eastAsia="Times New Roman" w:cs="Calibri"/>
          <w:color w:val="000000" w:themeColor="text1"/>
          <w:lang w:val="en-US"/>
        </w:rPr>
        <w:t xml:space="preserve">The subnetwork was learned in a single in vitro system. A correct core subnetwork should generalize to a related system. We tested this with perturbation analysis. For each prioritized TF, we computed an </w:t>
      </w:r>
      <w:proofErr w:type="gramStart"/>
      <w:r w:rsidRPr="00442647">
        <w:rPr>
          <w:rFonts w:ascii="Calibri" w:hAnsi="Calibri" w:eastAsia="Times New Roman" w:cs="Calibri"/>
          <w:color w:val="000000" w:themeColor="text1"/>
          <w:lang w:val="en-US"/>
        </w:rPr>
        <w:t>in silico</w:t>
      </w:r>
      <w:proofErr w:type="gramEnd"/>
      <w:r w:rsidRPr="00442647">
        <w:rPr>
          <w:rFonts w:ascii="Calibri" w:hAnsi="Calibri" w:eastAsia="Times New Roman" w:cs="Calibri"/>
          <w:color w:val="000000" w:themeColor="text1"/>
          <w:lang w:val="en-US"/>
        </w:rPr>
        <w:t xml:space="preserve"> perturbation score in the primary human B cell network (Fig. 2D). We then scored the same TFs in an independent in vivo tonsil B cell atlas (Fig. 2E). In both systems, the </w:t>
      </w:r>
      <w:proofErr w:type="spellStart"/>
      <w:r w:rsidRPr="00442647">
        <w:rPr>
          <w:rFonts w:ascii="Calibri" w:hAnsi="Calibri" w:eastAsia="Times New Roman" w:cs="Calibri"/>
          <w:color w:val="000000" w:themeColor="text1"/>
          <w:lang w:val="en-US"/>
        </w:rPr>
        <w:t>FIREFate</w:t>
      </w:r>
      <w:proofErr w:type="spellEnd"/>
      <w:r w:rsidRPr="00442647">
        <w:rPr>
          <w:rFonts w:ascii="Calibri" w:hAnsi="Calibri" w:eastAsia="Times New Roman" w:cs="Calibri"/>
          <w:color w:val="000000" w:themeColor="text1"/>
          <w:lang w:val="en-US"/>
        </w:rPr>
        <w:t xml:space="preserve">-prioritized TFs showed significantly higher perturbation scores than all other TFs (p = xx and p = xx; n = xx). This advantage held across the two independent datasets. </w:t>
      </w:r>
      <w:proofErr w:type="spellStart"/>
      <w:r w:rsidRPr="00442647">
        <w:rPr>
          <w:rFonts w:ascii="Calibri" w:hAnsi="Calibri" w:eastAsia="Times New Roman" w:cs="Calibri"/>
          <w:color w:val="000000" w:themeColor="text1"/>
          <w:lang w:val="en-US"/>
        </w:rPr>
        <w:t>FIREFate</w:t>
      </w:r>
      <w:proofErr w:type="spellEnd"/>
      <w:r w:rsidRPr="00442647">
        <w:rPr>
          <w:rFonts w:ascii="Calibri" w:hAnsi="Calibri" w:eastAsia="Times New Roman" w:cs="Calibri"/>
          <w:color w:val="000000" w:themeColor="text1"/>
          <w:lang w:val="en-US"/>
        </w:rPr>
        <w:t xml:space="preserve"> therefore captures regulators tied to true biology, and the prioritized subnetwork is robust and generalizable.</w:t>
      </w:r>
    </w:p>
    <w:p w:rsidRPr="009658C3" w:rsidR="00C71EA6" w:rsidP="008515C4" w:rsidRDefault="00C71EA6" w14:paraId="49360A7F" w14:textId="77777777">
      <w:pPr>
        <w:jc w:val="both"/>
        <w:rPr>
          <w:rFonts w:ascii="Calibri" w:hAnsi="Calibri" w:cs="Calibri"/>
          <w:color w:val="000000" w:themeColor="text1"/>
        </w:rPr>
      </w:pPr>
    </w:p>
    <w:p w:rsidRPr="0095541C" w:rsidR="0095541C" w:rsidP="008515C4" w:rsidRDefault="00DF0B2E" w14:paraId="583F14F3" w14:textId="56815D5C">
      <w:pPr>
        <w:jc w:val="both"/>
        <w:rPr>
          <w:rFonts w:ascii="Calibri" w:hAnsi="Calibri" w:cs="Calibri"/>
          <w:color w:val="000000" w:themeColor="text1"/>
          <w:lang w:val="en-US"/>
        </w:rPr>
      </w:pPr>
      <w:r w:rsidRPr="00DF0B2E">
        <w:rPr>
          <w:rFonts w:ascii="Calibri" w:hAnsi="Calibri" w:cs="Calibri"/>
          <w:color w:val="000000" w:themeColor="text1"/>
          <w:lang w:val="en-US"/>
        </w:rPr>
        <w:t xml:space="preserve">We next benchmarked </w:t>
      </w:r>
      <w:proofErr w:type="spellStart"/>
      <w:r w:rsidRPr="00DF0B2E">
        <w:rPr>
          <w:rFonts w:ascii="Calibri" w:hAnsi="Calibri" w:cs="Calibri"/>
          <w:color w:val="000000" w:themeColor="text1"/>
          <w:lang w:val="en-US"/>
        </w:rPr>
        <w:t>FIREFate</w:t>
      </w:r>
      <w:proofErr w:type="spellEnd"/>
      <w:r w:rsidRPr="00DF0B2E">
        <w:rPr>
          <w:rFonts w:ascii="Calibri" w:hAnsi="Calibri" w:cs="Calibri"/>
          <w:color w:val="000000" w:themeColor="text1"/>
          <w:lang w:val="en-US"/>
        </w:rPr>
        <w:t xml:space="preserve"> against SCENIC+ [19], which also infers context-specific regulons. SCENIC+ recovered many known regulators. However, it assigned each TF a large, diffuse target set. Most of these targets are broad and do not drive the state difference, inflating false positives. </w:t>
      </w:r>
      <w:proofErr w:type="spellStart"/>
      <w:r w:rsidRPr="00DF0B2E">
        <w:rPr>
          <w:rFonts w:ascii="Calibri" w:hAnsi="Calibri" w:cs="Calibri"/>
          <w:color w:val="000000" w:themeColor="text1"/>
          <w:lang w:val="en-US"/>
        </w:rPr>
        <w:t>FIREFate</w:t>
      </w:r>
      <w:proofErr w:type="spellEnd"/>
      <w:r w:rsidRPr="00DF0B2E">
        <w:rPr>
          <w:rFonts w:ascii="Calibri" w:hAnsi="Calibri" w:cs="Calibri"/>
          <w:color w:val="000000" w:themeColor="text1"/>
          <w:lang w:val="en-US"/>
        </w:rPr>
        <w:t xml:space="preserve"> instead assigned each TF a compact target set. To compare fairly, we restricted the analysis to TFs shared by both methods. For each TF, we measured the absolute log fold-change of its targets between GC and PB states. Across all shared TFs, </w:t>
      </w:r>
      <w:proofErr w:type="spellStart"/>
      <w:r w:rsidRPr="00DF0B2E">
        <w:rPr>
          <w:rFonts w:ascii="Calibri" w:hAnsi="Calibri" w:cs="Calibri"/>
          <w:color w:val="000000" w:themeColor="text1"/>
          <w:lang w:val="en-US"/>
        </w:rPr>
        <w:t>FIREFate</w:t>
      </w:r>
      <w:proofErr w:type="spellEnd"/>
      <w:r w:rsidRPr="00DF0B2E">
        <w:rPr>
          <w:rFonts w:ascii="Calibri" w:hAnsi="Calibri" w:cs="Calibri"/>
          <w:color w:val="000000" w:themeColor="text1"/>
          <w:lang w:val="en-US"/>
        </w:rPr>
        <w:t xml:space="preserve"> targets showed significantly higher absolute log fold-changes (xx-fold; p = xx) (Fig. 2F). The same advantage held when we split the comparison by individual TF (Fig. 2G). </w:t>
      </w:r>
      <w:proofErr w:type="spellStart"/>
      <w:r w:rsidRPr="00DF0B2E">
        <w:rPr>
          <w:rFonts w:ascii="Calibri" w:hAnsi="Calibri" w:cs="Calibri"/>
          <w:color w:val="000000" w:themeColor="text1"/>
          <w:lang w:val="en-US"/>
        </w:rPr>
        <w:t>FIREFate</w:t>
      </w:r>
      <w:proofErr w:type="spellEnd"/>
      <w:r w:rsidRPr="00DF0B2E">
        <w:rPr>
          <w:rFonts w:ascii="Calibri" w:hAnsi="Calibri" w:cs="Calibri"/>
          <w:color w:val="000000" w:themeColor="text1"/>
          <w:lang w:val="en-US"/>
        </w:rPr>
        <w:t xml:space="preserve"> therefore selects fewer targets with stronger, state-defining changes. This reflects higher specificity and fewer false positives than SCENIC+.</w:t>
      </w:r>
    </w:p>
    <w:p w:rsidR="0095541C" w:rsidP="008515C4" w:rsidRDefault="0095541C" w14:paraId="143FAE3A" w14:textId="77777777">
      <w:pPr>
        <w:jc w:val="both"/>
        <w:rPr>
          <w:rFonts w:ascii="Calibri" w:hAnsi="Calibri" w:cs="Calibri"/>
          <w:i/>
          <w:iCs/>
          <w:color w:val="000000" w:themeColor="text1"/>
          <w:lang w:val="en-US"/>
        </w:rPr>
      </w:pPr>
    </w:p>
    <w:p w:rsidRPr="00FB0275" w:rsidR="008515C4" w:rsidP="008515C4" w:rsidRDefault="00042BF7" w14:paraId="6AC8EF27" w14:textId="3FB65B0B">
      <w:pPr>
        <w:jc w:val="both"/>
        <w:rPr>
          <w:rFonts w:ascii="Calibri" w:hAnsi="Calibri" w:cs="Calibri"/>
          <w:i/>
          <w:iCs/>
          <w:color w:val="000000" w:themeColor="text1"/>
          <w:lang w:val="en-US"/>
        </w:rPr>
      </w:pPr>
      <w:r>
        <w:rPr>
          <w:rFonts w:ascii="Calibri" w:hAnsi="Calibri" w:cs="Calibri"/>
          <w:color w:val="000000" w:themeColor="text1"/>
          <w:lang w:val="en-US"/>
        </w:rPr>
        <w:t xml:space="preserve">So far,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resolved a clear-cut decision using a high-resolution </w:t>
      </w:r>
      <w:proofErr w:type="spellStart"/>
      <w:r>
        <w:rPr>
          <w:rFonts w:ascii="Calibri" w:hAnsi="Calibri" w:cs="Calibri"/>
          <w:color w:val="000000" w:themeColor="text1"/>
          <w:lang w:val="en-US"/>
        </w:rPr>
        <w:t>multiome</w:t>
      </w:r>
      <w:proofErr w:type="spellEnd"/>
      <w:r>
        <w:rPr>
          <w:rFonts w:ascii="Calibri" w:hAnsi="Calibri" w:cs="Calibri"/>
          <w:color w:val="000000" w:themeColor="text1"/>
          <w:lang w:val="en-US"/>
        </w:rPr>
        <w:t xml:space="preserve"> network. A method is only general if it also handles two harder problems. The states may be far more subtle. And the mechanistic network may be lower resolution. CD8 T cell exhaustion presents both problems at once, so we used it as a stringent test.</w:t>
      </w:r>
    </w:p>
    <w:p w:rsidR="008515C4" w:rsidP="008515C4" w:rsidRDefault="008515C4" w14:paraId="398BAAB2" w14:textId="77777777">
      <w:pPr>
        <w:jc w:val="both"/>
        <w:rPr>
          <w:rFonts w:ascii="Calibri" w:hAnsi="Calibri" w:cs="Calibri"/>
          <w:color w:val="000000" w:themeColor="text1"/>
          <w:lang w:val="en-US"/>
        </w:rPr>
      </w:pPr>
    </w:p>
    <w:p w:rsidR="008515C4" w:rsidP="008515C4" w:rsidRDefault="00EE372B" w14:paraId="78704430" w14:textId="2C471BF5">
      <w:pPr>
        <w:jc w:val="both"/>
        <w:rPr>
          <w:rFonts w:ascii="Calibri" w:hAnsi="Calibri" w:cs="Calibri"/>
          <w:color w:val="000000" w:themeColor="text1"/>
          <w:lang w:val="en-US"/>
        </w:rPr>
      </w:pPr>
      <w:r>
        <w:rPr>
          <w:rFonts w:ascii="Calibri" w:hAnsi="Calibri" w:cs="Calibri"/>
          <w:color w:val="000000" w:themeColor="text1"/>
          <w:lang w:val="en-US"/>
        </w:rPr>
        <w:t>Chronic antigen exposure in persistent infection and cancer drives CD8 T cells into exhaustion [37,38]. Unlike the discrete PB-GC choice, exhaustion does not converge on one endpoint. It resolves into two closely related but functionally divergent states, a fixed, hypofunctional terminally exhausted state (</w:t>
      </w:r>
      <w:proofErr w:type="spellStart"/>
      <w:r>
        <w:rPr>
          <w:rFonts w:ascii="Calibri" w:hAnsi="Calibri" w:cs="Calibri"/>
          <w:color w:val="000000" w:themeColor="text1"/>
          <w:lang w:val="en-US"/>
        </w:rPr>
        <w:t>Texterm</w:t>
      </w:r>
      <w:proofErr w:type="spellEnd"/>
      <w:r>
        <w:rPr>
          <w:rFonts w:ascii="Calibri" w:hAnsi="Calibri" w:cs="Calibri"/>
          <w:color w:val="000000" w:themeColor="text1"/>
          <w:lang w:val="en-US"/>
        </w:rPr>
        <w:t>) and a killer-lectin-like-receptor state (</w:t>
      </w:r>
      <w:proofErr w:type="spellStart"/>
      <w:r>
        <w:rPr>
          <w:rFonts w:ascii="Calibri" w:hAnsi="Calibri" w:cs="Calibri"/>
          <w:color w:val="000000" w:themeColor="text1"/>
          <w:lang w:val="en-US"/>
        </w:rPr>
        <w:t>TexKLR</w:t>
      </w:r>
      <w:proofErr w:type="spellEnd"/>
      <w:r>
        <w:rPr>
          <w:rFonts w:ascii="Calibri" w:hAnsi="Calibri" w:cs="Calibri"/>
          <w:color w:val="000000" w:themeColor="text1"/>
          <w:lang w:val="en-US"/>
        </w:rPr>
        <w:t>) that retains effector features [39] (Extended Fig. 2A). The decision is subtle, continuous, and transcriptionally compressed, and its governing programs remain poorly defined.</w:t>
      </w:r>
    </w:p>
    <w:p w:rsidRPr="009658C3" w:rsidR="008515C4" w:rsidP="008515C4" w:rsidRDefault="00EE372B" w14:paraId="05F4CE6A" w14:textId="28163183">
      <w:pPr>
        <w:jc w:val="both"/>
        <w:rPr>
          <w:rFonts w:ascii="Calibri" w:hAnsi="Calibri" w:cs="Calibri"/>
          <w:color w:val="000000" w:themeColor="text1"/>
          <w:lang w:val="en-US"/>
        </w:rPr>
      </w:pPr>
      <w:r>
        <w:rPr>
          <w:rFonts w:ascii="Calibri" w:hAnsi="Calibri" w:cs="Calibri"/>
          <w:color w:val="000000" w:themeColor="text1"/>
          <w:lang w:val="en-US"/>
        </w:rPr>
        <w:t xml:space="preserve">We applied the same interpretable machine learning step to </w:t>
      </w:r>
      <w:proofErr w:type="spellStart"/>
      <w:r>
        <w:rPr>
          <w:rFonts w:ascii="Calibri" w:hAnsi="Calibri" w:cs="Calibri"/>
          <w:color w:val="000000" w:themeColor="text1"/>
          <w:lang w:val="en-US"/>
        </w:rPr>
        <w:t>scRNA</w:t>
      </w:r>
      <w:proofErr w:type="spellEnd"/>
      <w:r>
        <w:rPr>
          <w:rFonts w:ascii="Calibri" w:hAnsi="Calibri" w:cs="Calibri"/>
          <w:color w:val="000000" w:themeColor="text1"/>
          <w:lang w:val="en-US"/>
        </w:rPr>
        <w:t>-seq from murine chronic viral infection [39]. Where the B cell decision needed two programs, this subtler decision needed four, two standalone and two interacting (AUC = 0.78) (Extended Fig. 2B). The extra, nonlinear programs track the finer granularity of these overlapping states, capturing dependencies a linear model would miss. They mapped to T cell activation, exhaustion, effector, and cytotoxic regulation, together with TCR signaling and cytoskeletal remodeling (Extended Fig. 2C).</w:t>
      </w:r>
    </w:p>
    <w:p w:rsidRPr="009658C3" w:rsidR="008515C4" w:rsidP="008515C4" w:rsidRDefault="008515C4" w14:paraId="1B9F7E6B" w14:textId="77777777">
      <w:pPr>
        <w:jc w:val="both"/>
        <w:rPr>
          <w:rFonts w:ascii="Calibri" w:hAnsi="Calibri" w:cs="Calibri"/>
          <w:color w:val="000000" w:themeColor="text1"/>
          <w:lang w:val="en-US"/>
        </w:rPr>
      </w:pPr>
    </w:p>
    <w:p w:rsidR="008515C4" w:rsidP="008515C4" w:rsidRDefault="00EE372B" w14:paraId="50C19467" w14:textId="58AF1353">
      <w:pPr>
        <w:jc w:val="both"/>
        <w:rPr>
          <w:rFonts w:ascii="Calibri" w:hAnsi="Calibri" w:cs="Calibri"/>
          <w:color w:val="000000" w:themeColor="text1"/>
          <w:lang w:val="en-US"/>
        </w:rPr>
      </w:pPr>
      <w:r>
        <w:rPr>
          <w:rFonts w:ascii="Calibri" w:hAnsi="Calibri" w:cs="Calibri"/>
          <w:color w:val="000000" w:themeColor="text1"/>
          <w:lang w:val="en-US"/>
        </w:rPr>
        <w:t xml:space="preserve">We again integrated these programs with a GRN, but here the mechanistic layer was far sparser. B cells had a state-specific network built from paired </w:t>
      </w:r>
      <w:proofErr w:type="spellStart"/>
      <w:r>
        <w:rPr>
          <w:rFonts w:ascii="Calibri" w:hAnsi="Calibri" w:cs="Calibri"/>
          <w:color w:val="000000" w:themeColor="text1"/>
          <w:lang w:val="en-US"/>
        </w:rPr>
        <w:t>multiome</w:t>
      </w:r>
      <w:proofErr w:type="spellEnd"/>
      <w:r>
        <w:rPr>
          <w:rFonts w:ascii="Calibri" w:hAnsi="Calibri" w:cs="Calibri"/>
          <w:color w:val="000000" w:themeColor="text1"/>
          <w:lang w:val="en-US"/>
        </w:rPr>
        <w:t xml:space="preserve"> data. T cells had only a context-agnostic murine base GRN, refit on </w:t>
      </w:r>
      <w:proofErr w:type="spellStart"/>
      <w:r>
        <w:rPr>
          <w:rFonts w:ascii="Calibri" w:hAnsi="Calibri" w:cs="Calibri"/>
          <w:color w:val="000000" w:themeColor="text1"/>
          <w:lang w:val="en-US"/>
        </w:rPr>
        <w:t>scRNA</w:t>
      </w:r>
      <w:proofErr w:type="spellEnd"/>
      <w:r>
        <w:rPr>
          <w:rFonts w:ascii="Calibri" w:hAnsi="Calibri" w:cs="Calibri"/>
          <w:color w:val="000000" w:themeColor="text1"/>
          <w:lang w:val="en-US"/>
        </w:rPr>
        <w:t xml:space="preserve">-seq with no T cell ATAC-seq. This is a stringent test of whether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needs a rich network to work. Even on this low-resolution layer,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distilled a compact, informative set of regulatory modules.</w:t>
      </w:r>
    </w:p>
    <w:p w:rsidR="006326F4" w:rsidP="008515C4" w:rsidRDefault="00EE372B" w14:paraId="604E1769" w14:textId="6E20FFBD">
      <w:pPr>
        <w:jc w:val="both"/>
        <w:rPr>
          <w:rFonts w:ascii="Calibri" w:hAnsi="Calibri" w:cs="Calibri"/>
          <w:color w:val="000000" w:themeColor="text1"/>
          <w:lang w:val="en-US"/>
        </w:rPr>
      </w:pP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identified Nr4a2 as a candidate causal driver of terminal exhaustion, with no prior knowledge, consistent with its established role enforcing exhaustion identity [40]. It also implicated Tbx21 and Jun in effector differentiation [41,42], Klf6 in T cell development [43], and Fos in effector and exhaustion control [44,45] (Extended Fig. 2D), regulators most tightly linked to the discriminating programs by overrepresentation analysis (Extended Fig. 2E).</w:t>
      </w:r>
    </w:p>
    <w:p w:rsidR="006326F4" w:rsidP="008515C4" w:rsidRDefault="006326F4" w14:paraId="2070C00C" w14:textId="77777777">
      <w:pPr>
        <w:jc w:val="both"/>
        <w:rPr>
          <w:rFonts w:ascii="Calibri" w:hAnsi="Calibri" w:cs="Calibri"/>
          <w:color w:val="000000" w:themeColor="text1"/>
          <w:lang w:val="en-US"/>
        </w:rPr>
      </w:pPr>
    </w:p>
    <w:p w:rsidRPr="00D449EB" w:rsidR="008515C4" w:rsidP="008515C4" w:rsidRDefault="00EE372B" w14:paraId="2D6722D6" w14:textId="027EAE52">
      <w:pPr>
        <w:jc w:val="both"/>
        <w:rPr>
          <w:color w:val="EE0000"/>
          <w:lang w:val="en-US"/>
        </w:rPr>
      </w:pPr>
      <w:r>
        <w:rPr>
          <w:rFonts w:ascii="Calibri" w:hAnsi="Calibri" w:cs="Calibri"/>
          <w:color w:val="000000" w:themeColor="text1"/>
          <w:lang w:val="en-US"/>
        </w:rPr>
        <w:t xml:space="preserve">As in B cells, the prioritized TFs drove a significantly larger shift in cell state under perturbation than other TFs (p = xx; n = xx) (Extended Fig. 2F). And as in B cells,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outperformed SCENIC+: its regulons stayed compact and state-defining, while SCENIC+ produced diffuse modules with weak discriminatory power (xx-fold; p = xx) (Extended Fig. 2G-H). The same two advantages that held for a clear-cut decision with a rich network also held for a subtle decision with a sparse one.</w:t>
      </w:r>
    </w:p>
    <w:p w:rsidRPr="009658C3" w:rsidR="008515C4" w:rsidP="008515C4" w:rsidRDefault="008515C4" w14:paraId="68B04967" w14:textId="77777777">
      <w:pPr>
        <w:jc w:val="both"/>
        <w:rPr>
          <w:rFonts w:ascii="Calibri" w:hAnsi="Calibri" w:cs="Calibri"/>
          <w:color w:val="000000" w:themeColor="text1"/>
          <w:lang w:val="en-US"/>
        </w:rPr>
      </w:pPr>
    </w:p>
    <w:p w:rsidR="008515C4" w:rsidP="008515C4" w:rsidRDefault="00F863CC" w14:paraId="4DFCD034" w14:textId="627CAEC7">
      <w:pPr>
        <w:jc w:val="both"/>
        <w:rPr>
          <w:rFonts w:ascii="Calibri" w:hAnsi="Calibri" w:cs="Calibri"/>
          <w:color w:val="000000" w:themeColor="text1"/>
          <w:lang w:val="en-US"/>
        </w:rPr>
      </w:pPr>
      <w:r>
        <w:rPr>
          <w:rFonts w:ascii="Calibri" w:hAnsi="Calibri" w:cs="Calibri"/>
          <w:color w:val="000000" w:themeColor="text1"/>
          <w:lang w:val="en-US"/>
        </w:rPr>
        <w:t xml:space="preserve">Together, these results establish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as a general method for inferring the core regulatory subnetwork of a fate decision. The same framework held across two very different regimes. In B cells, it drew on a high-resolution </w:t>
      </w:r>
      <w:proofErr w:type="spellStart"/>
      <w:r>
        <w:rPr>
          <w:rFonts w:ascii="Calibri" w:hAnsi="Calibri" w:cs="Calibri"/>
          <w:color w:val="000000" w:themeColor="text1"/>
          <w:lang w:val="en-US"/>
        </w:rPr>
        <w:t>multiome</w:t>
      </w:r>
      <w:proofErr w:type="spellEnd"/>
      <w:r>
        <w:rPr>
          <w:rFonts w:ascii="Calibri" w:hAnsi="Calibri" w:cs="Calibri"/>
          <w:color w:val="000000" w:themeColor="text1"/>
          <w:lang w:val="en-US"/>
        </w:rPr>
        <w:t xml:space="preserve"> network and resolved a clear-cut PB-GC choice. In T cells, it used only a low-resolution base GRN with no ATAC-seq and resolved a subtle, compressed exhaustion decision. In both, it recovered canonical master regulators with no priors and surfaced new candidate factors, including CREB3L2 and TCF12 in B cells and Nr4a2 and Klf6 in T cells. In both, it outperformed SCENIC+ in specificity. The interpretable layer also scaled with the difficulty of the decision. Subtler states required more cellular programs, and more of these were nonlinear interacting programs.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therefore recovers fate logic whether the mechanistic network is rich or sparse, and whether the states are distinct or nearly overlapping. These </w:t>
      </w:r>
      <w:r w:rsidR="00DC5750">
        <w:rPr>
          <w:rFonts w:ascii="Calibri" w:hAnsi="Calibri" w:cs="Calibri"/>
          <w:color w:val="000000" w:themeColor="text1"/>
          <w:lang w:val="en-US"/>
        </w:rPr>
        <w:t xml:space="preserve">putative causal circuits point to concrete levers, tuning the rapid-versus-durable antibody trade-off in B cells and nominating candidate targets to delay or reverse exhaustion in T cells. These </w:t>
      </w:r>
      <w:r>
        <w:rPr>
          <w:rFonts w:ascii="Calibri" w:hAnsi="Calibri" w:cs="Calibri"/>
          <w:color w:val="000000" w:themeColor="text1"/>
          <w:lang w:val="en-US"/>
        </w:rPr>
        <w:t>are static snapshots, however, and they do not reveal when each regulator acts.</w:t>
      </w:r>
    </w:p>
    <w:p w:rsidRPr="009658C3" w:rsidR="008515C4" w:rsidP="008515C4" w:rsidRDefault="008515C4" w14:paraId="76CC4848" w14:textId="77777777">
      <w:pPr>
        <w:pStyle w:val="Heading3"/>
        <w:jc w:val="both"/>
        <w:rPr>
          <w:rFonts w:ascii="Calibri" w:hAnsi="Calibri" w:cs="Calibri"/>
          <w:b/>
          <w:bCs/>
          <w:color w:val="000000" w:themeColor="text1"/>
          <w:sz w:val="24"/>
          <w:szCs w:val="24"/>
          <w:lang w:val="en-US"/>
        </w:rPr>
      </w:pPr>
      <w:proofErr w:type="spellStart"/>
      <w:r w:rsidRPr="009658C3">
        <w:rPr>
          <w:rFonts w:ascii="Calibri" w:hAnsi="Calibri" w:cs="Calibri"/>
          <w:b/>
          <w:bCs/>
          <w:color w:val="000000" w:themeColor="text1"/>
          <w:sz w:val="24"/>
          <w:szCs w:val="24"/>
          <w:lang w:val="en-US"/>
        </w:rPr>
        <w:t>FIREFate</w:t>
      </w:r>
      <w:proofErr w:type="spellEnd"/>
      <w:r w:rsidRPr="009658C3">
        <w:rPr>
          <w:rFonts w:ascii="Calibri" w:hAnsi="Calibri" w:cs="Calibri"/>
          <w:b/>
          <w:bCs/>
          <w:color w:val="000000" w:themeColor="text1"/>
          <w:sz w:val="24"/>
          <w:szCs w:val="24"/>
          <w:lang w:val="en-US"/>
        </w:rPr>
        <w:t xml:space="preserve"> Identifies Temporal Regulatory Programs Revealing Sequential Waves Driving PB and GC Differentiation</w:t>
      </w:r>
    </w:p>
    <w:p w:rsidRPr="009658C3" w:rsidR="008515C4" w:rsidP="008515C4" w:rsidRDefault="008515C4" w14:paraId="15FDF9DB" w14:textId="7A8436F0">
      <w:pPr>
        <w:jc w:val="both"/>
        <w:rPr>
          <w:rFonts w:ascii="Calibri" w:hAnsi="Calibri" w:cs="Calibri"/>
          <w:color w:val="000000" w:themeColor="text1"/>
          <w:lang w:val="en-US"/>
        </w:rPr>
      </w:pPr>
      <w:proofErr w:type="spellStart"/>
      <w:r w:rsidRPr="302B18D7">
        <w:rPr>
          <w:rFonts w:ascii="Calibri" w:hAnsi="Calibri" w:cs="Calibri"/>
          <w:color w:val="000000" w:themeColor="text1"/>
          <w:lang w:val="en-US"/>
        </w:rPr>
        <w:t>FIREFate</w:t>
      </w:r>
      <w:proofErr w:type="spellEnd"/>
      <w:r w:rsidRPr="302B18D7">
        <w:rPr>
          <w:rFonts w:ascii="Calibri" w:hAnsi="Calibri" w:cs="Calibri"/>
          <w:color w:val="000000" w:themeColor="text1"/>
          <w:lang w:val="en-US"/>
        </w:rPr>
        <w:t xml:space="preserve"> successfully captured TF-centric regulons underlying the PB-GC bifurcation by integrating interpretable machine learning with state-specific static GRNs. However, </w:t>
      </w:r>
      <w:bookmarkStart w:name="_Hlk221012877" w:id="0"/>
      <w:r w:rsidRPr="302B18D7">
        <w:rPr>
          <w:rFonts w:ascii="Calibri" w:hAnsi="Calibri" w:cs="Calibri"/>
          <w:color w:val="000000" w:themeColor="text1"/>
          <w:lang w:val="en-US"/>
        </w:rPr>
        <w:t>cell state specification unfolds along a temporal continuum controlled by dynamic regulatory programs</w:t>
      </w:r>
      <w:bookmarkEnd w:id="0"/>
      <w:r w:rsidRPr="302B18D7">
        <w:rPr>
          <w:rFonts w:ascii="Calibri" w:hAnsi="Calibri" w:cs="Calibri"/>
          <w:color w:val="000000" w:themeColor="text1"/>
          <w:lang w:val="en-US"/>
        </w:rPr>
        <w:t xml:space="preserve">. Resolving the mechanisms guiding fate decisions therefore requires reconstructing this continuum and its governing regulatory dynamics. Direct temporal measurements of cellular transitions are limited as </w:t>
      </w:r>
      <w:r w:rsidRPr="302B18D7">
        <w:rPr>
          <w:rFonts w:ascii="Calibri" w:hAnsi="Calibri" w:eastAsia="Calibri" w:cs="Calibri"/>
          <w:lang w:val="en-US"/>
        </w:rPr>
        <w:t xml:space="preserve">individual cells are destroyed upon molecular profiling, </w:t>
      </w:r>
      <w:r w:rsidRPr="302B18D7">
        <w:rPr>
          <w:rFonts w:ascii="Calibri" w:hAnsi="Calibri" w:cs="Calibri"/>
          <w:i/>
          <w:iCs/>
          <w:color w:val="000000" w:themeColor="text1"/>
          <w:lang w:val="en-US"/>
        </w:rPr>
        <w:t>in silico</w:t>
      </w:r>
      <w:r w:rsidRPr="302B18D7">
        <w:rPr>
          <w:rFonts w:ascii="Calibri" w:hAnsi="Calibri" w:cs="Calibri"/>
          <w:color w:val="000000" w:themeColor="text1"/>
          <w:lang w:val="en-US"/>
        </w:rPr>
        <w:t xml:space="preserve"> mechanistic models are required to infer dynamics from snapshot, single-cell data. Accordingly, we employed </w:t>
      </w:r>
      <w:proofErr w:type="spellStart"/>
      <w:r w:rsidRPr="302B18D7">
        <w:rPr>
          <w:rFonts w:ascii="Calibri" w:hAnsi="Calibri" w:cs="Calibri"/>
          <w:color w:val="000000" w:themeColor="text1"/>
          <w:lang w:val="en-US"/>
        </w:rPr>
        <w:t>Dictys</w:t>
      </w:r>
      <w:proofErr w:type="spellEnd"/>
      <w:r w:rsidRPr="302B18D7">
        <w:rPr>
          <w:rFonts w:ascii="Calibri" w:hAnsi="Calibri" w:cs="Calibri"/>
          <w:color w:val="000000" w:themeColor="text1"/>
          <w:lang w:val="en-US"/>
        </w:rPr>
        <w:t xml:space="preserve"> to infer dynamic GRNs driving activated B cells (ABC) divergence into PB or GC cells, using </w:t>
      </w:r>
      <w:proofErr w:type="spellStart"/>
      <w:r w:rsidRPr="302B18D7">
        <w:rPr>
          <w:rFonts w:ascii="Calibri" w:hAnsi="Calibri" w:cs="Calibri"/>
          <w:color w:val="000000" w:themeColor="text1"/>
          <w:lang w:val="en-US"/>
        </w:rPr>
        <w:t>pseudotime</w:t>
      </w:r>
      <w:proofErr w:type="spellEnd"/>
      <w:r w:rsidRPr="302B18D7">
        <w:rPr>
          <w:rFonts w:ascii="Calibri" w:hAnsi="Calibri" w:cs="Calibri"/>
          <w:color w:val="000000" w:themeColor="text1"/>
          <w:lang w:val="en-US"/>
        </w:rPr>
        <w:t>-resolved single-cell trajectories</w:t>
      </w:r>
      <w:r w:rsidRPr="00BD6670" w:rsidR="00BD6670">
        <w:rPr>
          <w:rFonts w:ascii="Calibri" w:hAnsi="Calibri" w:cs="Calibri" w:eastAsiaTheme="minorHAnsi"/>
          <w:color w:val="000000"/>
          <w:szCs w:val="24"/>
          <w:vertAlign w:val="superscript"/>
          <w:lang w:val="en-US"/>
          <w14:ligatures w14:val="standardContextual"/>
        </w:rPr>
        <w:t>18</w:t>
      </w:r>
      <w:r w:rsidRPr="302B18D7">
        <w:rPr>
          <w:rFonts w:ascii="Calibri" w:hAnsi="Calibri" w:cs="Calibri"/>
          <w:color w:val="000000" w:themeColor="text1"/>
          <w:lang w:val="en-US"/>
        </w:rPr>
        <w:t xml:space="preserve">. The trajectory was partitioned into overlapping windows to track differentiation along </w:t>
      </w:r>
      <w:proofErr w:type="spellStart"/>
      <w:r w:rsidRPr="302B18D7">
        <w:rPr>
          <w:rFonts w:ascii="Calibri" w:hAnsi="Calibri" w:cs="Calibri"/>
          <w:color w:val="000000" w:themeColor="text1"/>
          <w:lang w:val="en-US"/>
        </w:rPr>
        <w:t>pseudotime</w:t>
      </w:r>
      <w:proofErr w:type="spellEnd"/>
      <w:r w:rsidRPr="302B18D7">
        <w:rPr>
          <w:rFonts w:ascii="Calibri" w:hAnsi="Calibri" w:cs="Calibri"/>
          <w:color w:val="000000" w:themeColor="text1"/>
          <w:lang w:val="en-US"/>
        </w:rPr>
        <w:t xml:space="preserve">, with terminal windows reflecting stabilized precursor or committed states (Fig. 4A, sky blue, red, green; &gt;75–99% homogeneous) and bifurcation-centered windows showing marked heterogeneity (Fig. 4A, purple: 49.7% ActB-4, 35.1% ActB-3, 13.1% ActB-2), capturing stochastic state transitions. Window-specific GRNs were then inferred and smoothed with a Gaussian kernel to obtain continuous, time-resolved mechanistic dynamics across </w:t>
      </w:r>
      <w:proofErr w:type="spellStart"/>
      <w:r w:rsidRPr="302B18D7">
        <w:rPr>
          <w:rFonts w:ascii="Calibri" w:hAnsi="Calibri" w:cs="Calibri"/>
          <w:color w:val="000000" w:themeColor="text1"/>
          <w:lang w:val="en-US"/>
        </w:rPr>
        <w:t>pseudotime</w:t>
      </w:r>
      <w:proofErr w:type="spellEnd"/>
      <w:r w:rsidRPr="302B18D7">
        <w:rPr>
          <w:rFonts w:ascii="Calibri" w:hAnsi="Calibri" w:cs="Calibri"/>
          <w:color w:val="000000" w:themeColor="text1"/>
          <w:lang w:val="en-US"/>
        </w:rPr>
        <w:t>.</w:t>
      </w:r>
    </w:p>
    <w:p w:rsidRPr="009658C3" w:rsidR="008515C4" w:rsidP="008515C4" w:rsidRDefault="008515C4" w14:paraId="4B66F83C" w14:textId="77777777">
      <w:pPr>
        <w:jc w:val="both"/>
        <w:rPr>
          <w:rFonts w:ascii="Calibri" w:hAnsi="Calibri" w:cs="Calibri"/>
          <w:color w:val="000000" w:themeColor="text1"/>
          <w:lang w:val="en-US"/>
        </w:rPr>
      </w:pPr>
    </w:p>
    <w:p w:rsidR="008515C4" w:rsidP="008515C4" w:rsidRDefault="008515C4" w14:paraId="484E000C" w14:textId="77777777">
      <w:pPr>
        <w:jc w:val="both"/>
        <w:rPr>
          <w:rFonts w:ascii="Calibri" w:hAnsi="Calibri" w:cs="Calibri"/>
          <w:color w:val="000000" w:themeColor="text1"/>
          <w:lang w:val="en-US"/>
        </w:rPr>
      </w:pPr>
      <w:r>
        <w:rPr>
          <w:rFonts w:ascii="Calibri" w:hAnsi="Calibri" w:cs="Calibri"/>
          <w:color w:val="000000" w:themeColor="text1"/>
          <w:lang w:val="en-US"/>
        </w:rPr>
        <w:t xml:space="preserve">Then we used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to identify transient regulatory events </w:t>
      </w:r>
      <w:r w:rsidRPr="009658C3">
        <w:rPr>
          <w:rFonts w:ascii="Calibri" w:hAnsi="Calibri" w:cs="Calibri"/>
          <w:color w:val="000000" w:themeColor="text1"/>
          <w:lang w:val="en-US"/>
        </w:rPr>
        <w:t>driv</w:t>
      </w:r>
      <w:r>
        <w:rPr>
          <w:rFonts w:ascii="Calibri" w:hAnsi="Calibri" w:cs="Calibri"/>
          <w:color w:val="000000" w:themeColor="text1"/>
          <w:lang w:val="en-US"/>
        </w:rPr>
        <w:t>ing</w:t>
      </w:r>
      <w:r w:rsidRPr="009658C3">
        <w:rPr>
          <w:rFonts w:ascii="Calibri" w:hAnsi="Calibri" w:cs="Calibri"/>
          <w:color w:val="000000" w:themeColor="text1"/>
          <w:lang w:val="en-US"/>
        </w:rPr>
        <w:t xml:space="preserve"> lineage commitment-</w:t>
      </w:r>
      <w:r>
        <w:rPr>
          <w:rFonts w:ascii="Calibri" w:hAnsi="Calibri" w:cs="Calibri"/>
          <w:color w:val="000000" w:themeColor="text1"/>
          <w:lang w:val="en-US"/>
        </w:rPr>
        <w:t>signals that are</w:t>
      </w:r>
      <w:r w:rsidRPr="009658C3">
        <w:rPr>
          <w:rFonts w:ascii="Calibri" w:hAnsi="Calibri" w:cs="Calibri"/>
          <w:color w:val="000000" w:themeColor="text1"/>
          <w:lang w:val="en-US"/>
        </w:rPr>
        <w:t xml:space="preserve"> invisible to static analyses</w:t>
      </w:r>
      <w:r>
        <w:rPr>
          <w:rFonts w:ascii="Calibri" w:hAnsi="Calibri" w:cs="Calibri"/>
          <w:color w:val="000000" w:themeColor="text1"/>
          <w:lang w:val="en-US"/>
        </w:rPr>
        <w:t xml:space="preserve">. By design,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integrates interpretable cellular programs with GRNs irrespective of how they are constructed. Here, integrating machine learning-prioritized PB-GC cellular programs with state-specific dynamic GRNs, </w:t>
      </w:r>
      <w:proofErr w:type="spellStart"/>
      <w:r>
        <w:rPr>
          <w:rFonts w:ascii="Calibri" w:hAnsi="Calibri" w:cs="Calibri"/>
          <w:color w:val="000000" w:themeColor="text1"/>
          <w:lang w:val="en-US"/>
        </w:rPr>
        <w:t>FIRFate</w:t>
      </w:r>
      <w:proofErr w:type="spellEnd"/>
      <w:r>
        <w:rPr>
          <w:rFonts w:ascii="Calibri" w:hAnsi="Calibri" w:cs="Calibri"/>
          <w:color w:val="000000" w:themeColor="text1"/>
          <w:lang w:val="en-US"/>
        </w:rPr>
        <w:t xml:space="preserve"> </w:t>
      </w:r>
      <w:r w:rsidRPr="009658C3">
        <w:rPr>
          <w:rFonts w:ascii="Calibri" w:hAnsi="Calibri" w:cs="Calibri"/>
          <w:color w:val="000000" w:themeColor="text1"/>
          <w:lang w:val="en-US"/>
        </w:rPr>
        <w:t>capture</w:t>
      </w:r>
      <w:r>
        <w:rPr>
          <w:rFonts w:ascii="Calibri" w:hAnsi="Calibri" w:cs="Calibri"/>
          <w:color w:val="000000" w:themeColor="text1"/>
          <w:lang w:val="en-US"/>
        </w:rPr>
        <w:t>d</w:t>
      </w:r>
      <w:r w:rsidRPr="009658C3">
        <w:rPr>
          <w:rFonts w:ascii="Calibri" w:hAnsi="Calibri" w:cs="Calibri"/>
          <w:color w:val="000000" w:themeColor="text1"/>
          <w:lang w:val="en-US"/>
        </w:rPr>
        <w:t xml:space="preserve"> not only changes </w:t>
      </w:r>
      <w:r>
        <w:rPr>
          <w:rFonts w:ascii="Calibri" w:hAnsi="Calibri" w:cs="Calibri"/>
          <w:color w:val="000000" w:themeColor="text1"/>
          <w:lang w:val="en-US"/>
        </w:rPr>
        <w:t xml:space="preserve">in </w:t>
      </w:r>
      <w:r w:rsidRPr="009658C3">
        <w:rPr>
          <w:rFonts w:ascii="Calibri" w:hAnsi="Calibri" w:cs="Calibri"/>
          <w:color w:val="000000" w:themeColor="text1"/>
          <w:lang w:val="en-US"/>
        </w:rPr>
        <w:t xml:space="preserve">TF expression but the episodic and hierarchical deployment of regulatory influence along </w:t>
      </w:r>
      <w:proofErr w:type="spellStart"/>
      <w:r w:rsidRPr="009658C3">
        <w:rPr>
          <w:rFonts w:ascii="Calibri" w:hAnsi="Calibri" w:cs="Calibri"/>
          <w:color w:val="000000" w:themeColor="text1"/>
          <w:lang w:val="en-US"/>
        </w:rPr>
        <w:t>pseudotime</w:t>
      </w:r>
      <w:proofErr w:type="spellEnd"/>
      <w:r w:rsidRPr="009658C3">
        <w:rPr>
          <w:rFonts w:ascii="Calibri" w:hAnsi="Calibri" w:cs="Calibri"/>
          <w:color w:val="000000" w:themeColor="text1"/>
          <w:lang w:val="en-US"/>
        </w:rPr>
        <w:t>.</w:t>
      </w:r>
      <w:r>
        <w:rPr>
          <w:rFonts w:ascii="Calibri" w:hAnsi="Calibri" w:cs="Calibri"/>
          <w:color w:val="000000" w:themeColor="text1"/>
          <w:lang w:val="en-US"/>
        </w:rPr>
        <w:t xml:space="preserve"> It provides </w:t>
      </w:r>
      <w:r w:rsidRPr="009658C3">
        <w:rPr>
          <w:rFonts w:ascii="Calibri" w:hAnsi="Calibri" w:cs="Calibri"/>
          <w:color w:val="000000" w:themeColor="text1"/>
          <w:lang w:val="en-US"/>
        </w:rPr>
        <w:t>biologically rooted priors</w:t>
      </w:r>
      <w:r>
        <w:rPr>
          <w:rFonts w:ascii="Calibri" w:hAnsi="Calibri" w:cs="Calibri"/>
          <w:color w:val="000000" w:themeColor="text1"/>
          <w:lang w:val="en-US"/>
        </w:rPr>
        <w:t xml:space="preserve"> that expose transient </w:t>
      </w:r>
      <w:r w:rsidRPr="009658C3">
        <w:rPr>
          <w:rFonts w:ascii="Calibri" w:hAnsi="Calibri" w:cs="Calibri"/>
          <w:color w:val="000000" w:themeColor="text1"/>
          <w:lang w:val="en-US"/>
        </w:rPr>
        <w:t>yet decisive regulatory events</w:t>
      </w:r>
      <w:r>
        <w:rPr>
          <w:rFonts w:ascii="Calibri" w:hAnsi="Calibri" w:cs="Calibri"/>
          <w:color w:val="000000" w:themeColor="text1"/>
          <w:lang w:val="en-US"/>
        </w:rPr>
        <w:t xml:space="preserve"> underlying </w:t>
      </w:r>
      <w:r w:rsidRPr="009658C3">
        <w:rPr>
          <w:rFonts w:ascii="Calibri" w:hAnsi="Calibri" w:cs="Calibri"/>
          <w:color w:val="000000" w:themeColor="text1"/>
          <w:lang w:val="en-US"/>
        </w:rPr>
        <w:t>lineage commitment</w:t>
      </w:r>
      <w:r>
        <w:rPr>
          <w:rFonts w:ascii="Calibri" w:hAnsi="Calibri" w:cs="Calibri"/>
          <w:color w:val="000000" w:themeColor="text1"/>
          <w:lang w:val="en-US"/>
        </w:rPr>
        <w:t>.</w:t>
      </w:r>
    </w:p>
    <w:p w:rsidRPr="009658C3" w:rsidR="008515C4" w:rsidP="008515C4" w:rsidRDefault="008515C4" w14:paraId="73649590" w14:textId="77777777">
      <w:pPr>
        <w:jc w:val="both"/>
        <w:rPr>
          <w:rFonts w:ascii="Calibri" w:hAnsi="Calibri" w:cs="Calibri"/>
          <w:color w:val="000000" w:themeColor="text1"/>
          <w:lang w:val="en-US"/>
        </w:rPr>
      </w:pPr>
    </w:p>
    <w:p w:rsidRPr="009658C3" w:rsidR="008515C4" w:rsidP="008515C4" w:rsidRDefault="008515C4" w14:paraId="74CAA0E8" w14:textId="685EAA14">
      <w:pPr>
        <w:jc w:val="both"/>
        <w:rPr>
          <w:rFonts w:ascii="Calibri" w:hAnsi="Calibri" w:cs="Calibri"/>
          <w:color w:val="000000" w:themeColor="text1"/>
          <w:lang w:val="en-US"/>
        </w:rPr>
      </w:pPr>
      <w:r>
        <w:rPr>
          <w:rFonts w:ascii="Calibri" w:hAnsi="Calibri" w:cs="Calibri"/>
          <w:color w:val="000000" w:themeColor="text1"/>
          <w:lang w:val="en-US"/>
        </w:rPr>
        <w:t>In this system, a</w:t>
      </w:r>
      <w:r w:rsidRPr="009658C3">
        <w:rPr>
          <w:rFonts w:ascii="Calibri" w:hAnsi="Calibri" w:cs="Calibri"/>
          <w:color w:val="000000" w:themeColor="text1"/>
          <w:lang w:val="en-US"/>
        </w:rPr>
        <w:t>s ABCs differentiate into PB cells, lineage-defining TFs</w:t>
      </w:r>
      <w:r>
        <w:rPr>
          <w:rFonts w:ascii="Calibri" w:hAnsi="Calibri" w:cs="Calibri"/>
          <w:color w:val="000000" w:themeColor="text1"/>
          <w:lang w:val="en-US"/>
        </w:rPr>
        <w:t xml:space="preserve"> including </w:t>
      </w:r>
      <w:r w:rsidRPr="009658C3">
        <w:rPr>
          <w:rFonts w:ascii="Calibri" w:hAnsi="Calibri" w:cs="Calibri"/>
          <w:color w:val="000000" w:themeColor="text1"/>
          <w:lang w:val="en-US"/>
        </w:rPr>
        <w:t xml:space="preserve">IRF4, PRDM1, and XBP1-become increasingly expressed along the trajectory (Fig. 4C), consistent with their roles in plasma cell commitment. </w:t>
      </w:r>
      <w:r>
        <w:rPr>
          <w:rFonts w:ascii="Calibri" w:hAnsi="Calibri" w:cs="Calibri"/>
          <w:color w:val="000000" w:themeColor="text1"/>
          <w:lang w:val="en-US"/>
        </w:rPr>
        <w:t>H</w:t>
      </w:r>
      <w:r w:rsidRPr="009658C3">
        <w:rPr>
          <w:rFonts w:ascii="Calibri" w:hAnsi="Calibri" w:cs="Calibri"/>
          <w:color w:val="000000" w:themeColor="text1"/>
          <w:lang w:val="en-US"/>
        </w:rPr>
        <w:t>owever,</w:t>
      </w:r>
      <w:r w:rsidRPr="001D28EA">
        <w:t xml:space="preserve"> </w:t>
      </w:r>
      <w:r w:rsidRPr="001D28EA">
        <w:rPr>
          <w:rFonts w:ascii="Calibri" w:hAnsi="Calibri" w:cs="Calibri"/>
          <w:color w:val="000000" w:themeColor="text1"/>
          <w:lang w:val="en-US"/>
        </w:rPr>
        <w:t xml:space="preserve">Cell fate decisions are frequently governed by nonlinear gene regulatory dynamics in which </w:t>
      </w:r>
      <w:r>
        <w:rPr>
          <w:rFonts w:ascii="Calibri" w:hAnsi="Calibri" w:cs="Calibri"/>
          <w:color w:val="000000" w:themeColor="text1"/>
          <w:lang w:val="en-US"/>
        </w:rPr>
        <w:t>TFs</w:t>
      </w:r>
      <w:r w:rsidRPr="001D28EA">
        <w:rPr>
          <w:rFonts w:ascii="Calibri" w:hAnsi="Calibri" w:cs="Calibri"/>
          <w:color w:val="000000" w:themeColor="text1"/>
          <w:lang w:val="en-US"/>
        </w:rPr>
        <w:t xml:space="preserve"> exhibit </w:t>
      </w:r>
      <w:proofErr w:type="spellStart"/>
      <w:r w:rsidRPr="001D28EA">
        <w:rPr>
          <w:rFonts w:ascii="Calibri" w:hAnsi="Calibri" w:cs="Calibri"/>
          <w:color w:val="000000" w:themeColor="text1"/>
          <w:lang w:val="en-US"/>
        </w:rPr>
        <w:t>bistability</w:t>
      </w:r>
      <w:proofErr w:type="spellEnd"/>
      <w:r w:rsidRPr="001D28EA">
        <w:rPr>
          <w:rFonts w:ascii="Calibri" w:hAnsi="Calibri" w:cs="Calibri"/>
          <w:color w:val="000000" w:themeColor="text1"/>
          <w:lang w:val="en-US"/>
        </w:rPr>
        <w:t xml:space="preserve"> and threshold-like responses, producing rapid, switch-like transitions between regulatory states rather than smooth, gradual changes</w:t>
      </w:r>
      <w:r w:rsidRPr="00BD6670" w:rsidR="00BD6670">
        <w:rPr>
          <w:rFonts w:ascii="Calibri" w:hAnsi="Calibri" w:cs="Calibri" w:eastAsiaTheme="minorHAnsi"/>
          <w:color w:val="000000"/>
          <w:szCs w:val="24"/>
          <w:vertAlign w:val="superscript"/>
          <w:lang w:val="en-US"/>
          <w14:ligatures w14:val="standardContextual"/>
        </w:rPr>
        <w:t>46</w:t>
      </w:r>
      <w:r w:rsidRPr="00B77E96">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These TFs display an unexpected biphasic pattern: an early </w:t>
      </w:r>
      <w:r>
        <w:rPr>
          <w:rFonts w:ascii="Calibri" w:hAnsi="Calibri" w:cs="Calibri"/>
          <w:color w:val="000000" w:themeColor="text1"/>
          <w:lang w:val="en-US"/>
        </w:rPr>
        <w:t>regulatory activation</w:t>
      </w:r>
      <w:r w:rsidRPr="009658C3">
        <w:rPr>
          <w:rFonts w:ascii="Calibri" w:hAnsi="Calibri" w:cs="Calibri"/>
          <w:color w:val="000000" w:themeColor="text1"/>
          <w:lang w:val="en-US"/>
        </w:rPr>
        <w:t xml:space="preserve"> at the bifurcation node </w:t>
      </w:r>
      <w:r>
        <w:rPr>
          <w:rFonts w:ascii="Calibri" w:hAnsi="Calibri" w:cs="Calibri"/>
          <w:color w:val="000000" w:themeColor="text1"/>
          <w:lang w:val="en-US"/>
        </w:rPr>
        <w:t xml:space="preserve">which </w:t>
      </w:r>
      <w:r w:rsidRPr="009658C3">
        <w:rPr>
          <w:rFonts w:ascii="Calibri" w:hAnsi="Calibri" w:cs="Calibri"/>
          <w:color w:val="000000" w:themeColor="text1"/>
          <w:lang w:val="en-US"/>
        </w:rPr>
        <w:t>seeds lineage bias, a dip in the early PB state follows, and a second peak during late differentiation consolidates terminal identity (Fig. 4D). Integrating expression and regulatory activity reveals a hierarchical cascade of three major regulatory waves during and after bifurcation (Fig. 4E).</w:t>
      </w:r>
    </w:p>
    <w:p w:rsidRPr="009658C3" w:rsidR="008515C4" w:rsidP="008515C4" w:rsidRDefault="008515C4" w14:paraId="1C8BDE31" w14:textId="77777777">
      <w:pPr>
        <w:jc w:val="both"/>
        <w:rPr>
          <w:rFonts w:ascii="Calibri" w:hAnsi="Calibri" w:cs="Calibri"/>
          <w:color w:val="000000" w:themeColor="text1"/>
          <w:lang w:val="en-US"/>
        </w:rPr>
      </w:pPr>
    </w:p>
    <w:p w:rsidRPr="009658C3" w:rsidR="008515C4" w:rsidP="008515C4" w:rsidRDefault="008515C4" w14:paraId="3CD7C5A8" w14:textId="2EC12961">
      <w:pPr>
        <w:jc w:val="both"/>
        <w:rPr>
          <w:rFonts w:ascii="Calibri" w:hAnsi="Calibri" w:cs="Calibri"/>
          <w:color w:val="000000" w:themeColor="text1"/>
          <w:lang w:val="en-US"/>
        </w:rPr>
      </w:pPr>
      <w:r w:rsidRPr="00835828">
        <w:rPr>
          <w:rFonts w:ascii="Calibri" w:hAnsi="Calibri" w:cs="Calibri"/>
          <w:color w:val="000000" w:themeColor="text1"/>
          <w:lang w:val="en-US"/>
        </w:rPr>
        <w:t>The first wave</w:t>
      </w:r>
      <w:r>
        <w:rPr>
          <w:rFonts w:ascii="Calibri" w:hAnsi="Calibri" w:cs="Calibri"/>
          <w:color w:val="000000" w:themeColor="text1"/>
          <w:lang w:val="en-US"/>
        </w:rPr>
        <w:t xml:space="preserve"> </w:t>
      </w:r>
      <w:r w:rsidRPr="00835828">
        <w:rPr>
          <w:rFonts w:ascii="Calibri" w:hAnsi="Calibri" w:cs="Calibri"/>
          <w:color w:val="000000" w:themeColor="text1"/>
          <w:lang w:val="en-US"/>
        </w:rPr>
        <w:t>highlights a previously unrecognized CREB3L2 activation of RUNX2, which in turn activates PRDM1, initiating the effector differentiation program.</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CREB3L2 and RUNX2 drive PRDM1 induction, marking the initial shift from activated state toward PB commitment. </w:t>
      </w:r>
      <w:r>
        <w:rPr>
          <w:rFonts w:ascii="Calibri" w:hAnsi="Calibri" w:cs="Calibri"/>
          <w:color w:val="000000" w:themeColor="text1"/>
          <w:lang w:val="en-US"/>
        </w:rPr>
        <w:t xml:space="preserve">Furthermore, </w:t>
      </w:r>
      <w:r w:rsidRPr="009658C3">
        <w:rPr>
          <w:rFonts w:ascii="Calibri" w:hAnsi="Calibri" w:cs="Calibri"/>
          <w:color w:val="000000" w:themeColor="text1"/>
          <w:lang w:val="en-US"/>
        </w:rPr>
        <w:t>exit from the activated state</w:t>
      </w:r>
      <w:r>
        <w:rPr>
          <w:rFonts w:ascii="Calibri" w:hAnsi="Calibri" w:cs="Calibri"/>
          <w:color w:val="000000" w:themeColor="text1"/>
          <w:lang w:val="en-US"/>
        </w:rPr>
        <w:t xml:space="preserve"> and</w:t>
      </w:r>
      <w:r w:rsidRPr="009658C3">
        <w:rPr>
          <w:rFonts w:ascii="Calibri" w:hAnsi="Calibri" w:cs="Calibri"/>
          <w:color w:val="000000" w:themeColor="text1"/>
          <w:lang w:val="en-US"/>
        </w:rPr>
        <w:t xml:space="preserve"> activation of the plasma cell program through relief of BACH2-mediated repression of XBP1 </w:t>
      </w:r>
      <w:r>
        <w:rPr>
          <w:rFonts w:ascii="Calibri" w:hAnsi="Calibri" w:cs="Calibri"/>
          <w:color w:val="000000" w:themeColor="text1"/>
          <w:lang w:val="en-US"/>
        </w:rPr>
        <w:t>is evident in this wave</w:t>
      </w:r>
      <w:r w:rsidRPr="00835828">
        <w:rPr>
          <w:rFonts w:ascii="Calibri" w:hAnsi="Calibri" w:cs="Calibri"/>
          <w:color w:val="000000" w:themeColor="text1"/>
          <w:lang w:val="en-US"/>
        </w:rPr>
        <w:t xml:space="preserve"> (Fig. 4E, top)</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The second wave is </w:t>
      </w:r>
      <w:r>
        <w:rPr>
          <w:rFonts w:ascii="Calibri" w:hAnsi="Calibri" w:cs="Calibri"/>
          <w:color w:val="000000" w:themeColor="text1"/>
          <w:lang w:val="en-US"/>
        </w:rPr>
        <w:t>mostly engaged with IRF4 activity including</w:t>
      </w:r>
      <w:r w:rsidRPr="009658C3">
        <w:rPr>
          <w:rFonts w:ascii="Calibri" w:hAnsi="Calibri" w:cs="Calibri"/>
          <w:color w:val="000000" w:themeColor="text1"/>
          <w:lang w:val="en-US"/>
        </w:rPr>
        <w:t xml:space="preserve"> </w:t>
      </w:r>
      <w:r>
        <w:rPr>
          <w:rFonts w:ascii="Calibri" w:hAnsi="Calibri" w:cs="Calibri"/>
          <w:color w:val="000000" w:themeColor="text1"/>
          <w:lang w:val="en-US"/>
        </w:rPr>
        <w:t>activation of</w:t>
      </w:r>
      <w:r w:rsidRPr="008B6608">
        <w:rPr>
          <w:rFonts w:ascii="Calibri" w:hAnsi="Calibri" w:cs="Calibri"/>
          <w:color w:val="000000" w:themeColor="text1"/>
          <w:lang w:val="en-US"/>
        </w:rPr>
        <w:t xml:space="preserve"> PRDM1</w:t>
      </w:r>
      <w:r>
        <w:rPr>
          <w:rFonts w:ascii="Calibri" w:hAnsi="Calibri" w:cs="Calibri"/>
          <w:color w:val="000000" w:themeColor="text1"/>
          <w:lang w:val="en-US"/>
        </w:rPr>
        <w:t xml:space="preserve"> and ELL2</w:t>
      </w:r>
      <w:r w:rsidRPr="009658C3">
        <w:rPr>
          <w:rFonts w:ascii="Calibri" w:hAnsi="Calibri" w:cs="Calibri"/>
          <w:color w:val="000000" w:themeColor="text1"/>
          <w:lang w:val="en-US"/>
        </w:rPr>
        <w:t>, which stabilize the PB transcriptional state and potentiate antibody-secreting functions</w:t>
      </w:r>
      <w:r w:rsidRPr="00BD6670" w:rsidR="00BD6670">
        <w:rPr>
          <w:rFonts w:ascii="Calibri" w:hAnsi="Calibri" w:cs="Calibri" w:eastAsiaTheme="minorHAnsi"/>
          <w:color w:val="000000"/>
          <w:szCs w:val="24"/>
          <w:vertAlign w:val="superscript"/>
          <w:lang w:val="en-US"/>
          <w14:ligatures w14:val="standardContextual"/>
        </w:rPr>
        <w:t>47</w:t>
      </w:r>
      <w:r>
        <w:rPr>
          <w:rFonts w:ascii="Calibri" w:hAnsi="Calibri" w:cs="Calibri"/>
          <w:color w:val="000000" w:themeColor="text1"/>
          <w:lang w:val="en-US"/>
        </w:rPr>
        <w:t xml:space="preserve"> </w:t>
      </w:r>
      <w:r w:rsidRPr="009658C3">
        <w:rPr>
          <w:rFonts w:ascii="Calibri" w:hAnsi="Calibri" w:cs="Calibri"/>
          <w:color w:val="000000" w:themeColor="text1"/>
          <w:lang w:val="en-US"/>
        </w:rPr>
        <w:t xml:space="preserve">(Fig. 4E, middle). The </w:t>
      </w:r>
      <w:r>
        <w:rPr>
          <w:rFonts w:ascii="Calibri" w:hAnsi="Calibri" w:cs="Calibri"/>
          <w:color w:val="000000" w:themeColor="text1"/>
          <w:lang w:val="en-US"/>
        </w:rPr>
        <w:t>final</w:t>
      </w:r>
      <w:r w:rsidRPr="009658C3">
        <w:rPr>
          <w:rFonts w:ascii="Calibri" w:hAnsi="Calibri" w:cs="Calibri"/>
          <w:color w:val="000000" w:themeColor="text1"/>
          <w:lang w:val="en-US"/>
        </w:rPr>
        <w:t xml:space="preserve"> wave </w:t>
      </w:r>
      <w:r>
        <w:rPr>
          <w:rFonts w:ascii="Calibri" w:hAnsi="Calibri" w:cs="Calibri"/>
          <w:color w:val="000000" w:themeColor="text1"/>
          <w:lang w:val="en-US"/>
        </w:rPr>
        <w:t>is dominated by the regulatory effects of PRDM1 and XBP1. While PRDM1 activates IRF4, f</w:t>
      </w:r>
      <w:r w:rsidRPr="009658C3">
        <w:rPr>
          <w:rFonts w:ascii="Calibri" w:hAnsi="Calibri" w:cs="Calibri"/>
          <w:color w:val="000000" w:themeColor="text1"/>
          <w:lang w:val="en-US"/>
        </w:rPr>
        <w:t>ully derepressed XBP1</w:t>
      </w:r>
      <w:r>
        <w:rPr>
          <w:rFonts w:ascii="Calibri" w:hAnsi="Calibri" w:cs="Calibri"/>
          <w:color w:val="000000" w:themeColor="text1"/>
          <w:lang w:val="en-US"/>
        </w:rPr>
        <w:t>,</w:t>
      </w:r>
      <w:r w:rsidRPr="009658C3">
        <w:rPr>
          <w:rFonts w:ascii="Calibri" w:hAnsi="Calibri" w:cs="Calibri"/>
          <w:color w:val="000000" w:themeColor="text1"/>
          <w:lang w:val="en-US"/>
        </w:rPr>
        <w:t xml:space="preserve"> </w:t>
      </w:r>
      <w:r>
        <w:rPr>
          <w:rFonts w:ascii="Calibri" w:hAnsi="Calibri" w:cs="Calibri"/>
          <w:color w:val="000000" w:themeColor="text1"/>
          <w:lang w:val="en-US"/>
        </w:rPr>
        <w:t>regulates</w:t>
      </w:r>
      <w:r w:rsidRPr="009658C3">
        <w:rPr>
          <w:rFonts w:ascii="Calibri" w:hAnsi="Calibri" w:cs="Calibri"/>
          <w:color w:val="000000" w:themeColor="text1"/>
          <w:lang w:val="en-US"/>
        </w:rPr>
        <w:t xml:space="preserve"> PPIB, TXNDC11, and HSP90B1, engaging late-stage secretory machinery required for mature plasma cell function.</w:t>
      </w:r>
      <w:r w:rsidRPr="00577E3C">
        <w:rPr>
          <w:rFonts w:ascii="Calibri" w:hAnsi="Calibri" w:cs="Calibri"/>
          <w:color w:val="000000" w:themeColor="text1"/>
          <w:lang w:val="en-US"/>
        </w:rPr>
        <w:t xml:space="preserve"> </w:t>
      </w:r>
      <w:r w:rsidRPr="009658C3">
        <w:rPr>
          <w:rFonts w:ascii="Calibri" w:hAnsi="Calibri" w:cs="Calibri"/>
          <w:color w:val="000000" w:themeColor="text1"/>
          <w:lang w:val="en-US"/>
        </w:rPr>
        <w:t>A striking finding is the temporal split of the RUNX2–PRDM1 feed-forward loop: RUNX2 enhances PRDM1 in the first wave (Fig. 4E, top), whereas in the third wave PRDM1 augments RUNX2 activity (Fig. 4E, bottom). Although RUNX2 and PRDM1 are well-studied in PB fate, this reciprocal structure is invisible to static regulons and emerges only from dynamic modeling.</w:t>
      </w:r>
    </w:p>
    <w:p w:rsidRPr="009658C3" w:rsidR="008515C4" w:rsidP="008515C4" w:rsidRDefault="008515C4" w14:paraId="3CC69F4A" w14:textId="77777777">
      <w:pPr>
        <w:jc w:val="both"/>
        <w:rPr>
          <w:rFonts w:ascii="Calibri" w:hAnsi="Calibri" w:cs="Calibri"/>
          <w:color w:val="000000" w:themeColor="text1"/>
          <w:lang w:val="en-US"/>
        </w:rPr>
      </w:pPr>
    </w:p>
    <w:p w:rsidRPr="009658C3" w:rsidR="008515C4" w:rsidP="008515C4" w:rsidRDefault="008515C4" w14:paraId="2AD9AAE2" w14:textId="77777777">
      <w:pPr>
        <w:jc w:val="both"/>
        <w:rPr>
          <w:rFonts w:ascii="Calibri" w:hAnsi="Calibri" w:cs="Calibri"/>
          <w:color w:val="000000" w:themeColor="text1"/>
          <w:lang w:val="en-US"/>
        </w:rPr>
      </w:pPr>
      <w:r w:rsidRPr="009658C3">
        <w:rPr>
          <w:rFonts w:ascii="Calibri" w:hAnsi="Calibri" w:cs="Calibri"/>
          <w:color w:val="000000" w:themeColor="text1"/>
          <w:lang w:val="en-US"/>
        </w:rPr>
        <w:t>Mirroring the PB results, the GC branch exhibits tightly ordered regulatory architecture, but with a strikingly repression-centric dynamic. Early in bifurcation, IRF4, NFKB1, and CREB3L2 show minimal expression change before declining as cells commit to GC fate, whereas PAX5 and BATF rise near bifurcation, consistent with their roles in establishing GC identity (Fig. 4</w:t>
      </w:r>
      <w:r>
        <w:rPr>
          <w:rFonts w:ascii="Calibri" w:hAnsi="Calibri" w:cs="Calibri"/>
          <w:color w:val="000000" w:themeColor="text1"/>
          <w:lang w:val="en-US"/>
        </w:rPr>
        <w:t>F</w:t>
      </w:r>
      <w:r w:rsidRPr="009658C3">
        <w:rPr>
          <w:rFonts w:ascii="Calibri" w:hAnsi="Calibri" w:cs="Calibri"/>
          <w:color w:val="000000" w:themeColor="text1"/>
          <w:lang w:val="en-US"/>
        </w:rPr>
        <w:t xml:space="preserve">). Regulatory activity echoes this structure: PRDM1 loses influence after bifurcation, while CREB3L2 and IRF4 show minimal activity change across </w:t>
      </w:r>
      <w:proofErr w:type="spellStart"/>
      <w:r w:rsidRPr="009658C3">
        <w:rPr>
          <w:rFonts w:ascii="Calibri" w:hAnsi="Calibri" w:cs="Calibri"/>
          <w:color w:val="000000" w:themeColor="text1"/>
          <w:lang w:val="en-US"/>
        </w:rPr>
        <w:t>pseudotime</w:t>
      </w:r>
      <w:proofErr w:type="spellEnd"/>
      <w:r w:rsidRPr="009658C3">
        <w:rPr>
          <w:rFonts w:ascii="Calibri" w:hAnsi="Calibri" w:cs="Calibri"/>
          <w:color w:val="000000" w:themeColor="text1"/>
          <w:lang w:val="en-US"/>
        </w:rPr>
        <w:t xml:space="preserve"> (Fig. 4</w:t>
      </w:r>
      <w:r>
        <w:rPr>
          <w:rFonts w:ascii="Calibri" w:hAnsi="Calibri" w:cs="Calibri"/>
          <w:color w:val="000000" w:themeColor="text1"/>
          <w:lang w:val="en-US"/>
        </w:rPr>
        <w:t>G</w:t>
      </w:r>
      <w:r w:rsidRPr="009658C3">
        <w:rPr>
          <w:rFonts w:ascii="Calibri" w:hAnsi="Calibri" w:cs="Calibri"/>
          <w:color w:val="000000" w:themeColor="text1"/>
          <w:lang w:val="en-US"/>
        </w:rPr>
        <w:t>). Around early GC, NFKB1 and BATF activity drops while PAX5 regulatory activity peaks, possibly blocking PB lineage. PAX5 dips at trajectory end reflect GC B-cell stabilization.</w:t>
      </w:r>
    </w:p>
    <w:p w:rsidRPr="009658C3" w:rsidR="008515C4" w:rsidP="008515C4" w:rsidRDefault="008515C4" w14:paraId="7B7D6123" w14:textId="77777777">
      <w:pPr>
        <w:jc w:val="both"/>
        <w:rPr>
          <w:rFonts w:ascii="Calibri" w:hAnsi="Calibri" w:cs="Calibri"/>
          <w:color w:val="000000" w:themeColor="text1"/>
          <w:lang w:val="en-US"/>
        </w:rPr>
      </w:pPr>
    </w:p>
    <w:p w:rsidRPr="009658C3" w:rsidR="008515C4" w:rsidP="008515C4" w:rsidRDefault="008515C4" w14:paraId="14046F08" w14:textId="77777777">
      <w:pPr>
        <w:spacing w:after="240"/>
        <w:jc w:val="both"/>
        <w:rPr>
          <w:rFonts w:ascii="Calibri" w:hAnsi="Calibri" w:cs="Calibri"/>
          <w:color w:val="000000" w:themeColor="text1"/>
          <w:lang w:val="en-US"/>
        </w:rPr>
      </w:pPr>
      <w:r w:rsidRPr="302B18D7">
        <w:rPr>
          <w:rFonts w:ascii="Calibri" w:hAnsi="Calibri" w:cs="Calibri"/>
          <w:color w:val="000000" w:themeColor="text1"/>
          <w:lang w:val="en-US"/>
        </w:rPr>
        <w:t xml:space="preserve">The surprise emerges when expression and regulation are integrated into dynamic GRN (Fig. 4H): GC commitment advances through sequential repression-driven waves, in sharp contrast to the mixed activating and reinforcing waves in the PB branch. </w:t>
      </w:r>
      <w:r w:rsidRPr="302B18D7">
        <w:rPr>
          <w:rFonts w:ascii="Calibri" w:hAnsi="Calibri" w:eastAsia="Calibri" w:cs="Calibri"/>
          <w:lang w:val="en-US"/>
        </w:rPr>
        <w:t xml:space="preserve">In GC - In the first wave, approximately 66% of the regulatory interactions (4 out of 6) were repressive. In second wave, 80% (4 out of 5) of the regulations were repressive. To classify each regulation as activating or repressive, we examined the sign of TF forces across five consecutive </w:t>
      </w:r>
      <w:proofErr w:type="spellStart"/>
      <w:r w:rsidRPr="302B18D7">
        <w:rPr>
          <w:rFonts w:ascii="Calibri" w:hAnsi="Calibri" w:eastAsia="Calibri" w:cs="Calibri"/>
          <w:lang w:val="en-US"/>
        </w:rPr>
        <w:t>pseudotime</w:t>
      </w:r>
      <w:proofErr w:type="spellEnd"/>
      <w:r w:rsidRPr="302B18D7">
        <w:rPr>
          <w:rFonts w:ascii="Calibri" w:hAnsi="Calibri" w:eastAsia="Calibri" w:cs="Calibri"/>
          <w:lang w:val="en-US"/>
        </w:rPr>
        <w:t xml:space="preserve"> windows where regulatory activity was most pronounced. These windows were identified by selecting regions with the highest absolute force values, determined using </w:t>
      </w:r>
      <w:proofErr w:type="spellStart"/>
      <w:r w:rsidRPr="302B18D7">
        <w:rPr>
          <w:rFonts w:ascii="Calibri" w:hAnsi="Calibri" w:eastAsia="Calibri" w:cs="Calibri"/>
          <w:lang w:val="en-US"/>
        </w:rPr>
        <w:t>softmax</w:t>
      </w:r>
      <w:proofErr w:type="spellEnd"/>
      <w:r w:rsidRPr="302B18D7">
        <w:rPr>
          <w:rFonts w:ascii="Calibri" w:hAnsi="Calibri" w:eastAsia="Calibri" w:cs="Calibri"/>
          <w:lang w:val="en-US"/>
        </w:rPr>
        <w:t xml:space="preserve"> normalization.</w:t>
      </w:r>
      <w:r w:rsidRPr="302B18D7">
        <w:rPr>
          <w:rFonts w:ascii="Calibri" w:hAnsi="Calibri" w:cs="Calibri"/>
          <w:color w:val="000000" w:themeColor="text1"/>
          <w:lang w:val="en-US"/>
        </w:rPr>
        <w:t xml:space="preserve"> </w:t>
      </w:r>
    </w:p>
    <w:p w:rsidRPr="009658C3" w:rsidR="008515C4" w:rsidP="008515C4" w:rsidRDefault="008515C4" w14:paraId="09244E5E" w14:textId="77777777">
      <w:pPr>
        <w:jc w:val="both"/>
        <w:rPr>
          <w:rFonts w:ascii="Calibri" w:hAnsi="Calibri" w:cs="Calibri"/>
          <w:color w:val="000000" w:themeColor="text1"/>
          <w:lang w:val="en-US"/>
        </w:rPr>
      </w:pPr>
      <w:r w:rsidRPr="302B18D7">
        <w:rPr>
          <w:rFonts w:ascii="Calibri" w:hAnsi="Calibri" w:cs="Calibri"/>
          <w:color w:val="000000" w:themeColor="text1"/>
          <w:lang w:val="en-US"/>
        </w:rPr>
        <w:t>The first wave comprises early repression-most notably inhibition of PAX5 by IRF4 within the activated B-cell state, while IRF4 along with NFKB1 simultaneously activate GC-promoting factor AFF3, initiating the early GC program (Fig. 4H, top). As cells transition from activated day 3–4 into early GC, repression of PAX5 eases, followed by a regulatory handoff in which NFKB1 starts to activating PAX5, enabling suppression of PRDM1 and blockade of PB fate (Fig. 4H, center). This repression-dominated cascade locks in GC identity while actively preventing effector differentiation, revealing a dynamic architecture fundamentally and unexpectedly distinct from the PB trajectory (Fig. 4H).</w:t>
      </w:r>
    </w:p>
    <w:p w:rsidRPr="009658C3" w:rsidR="008515C4" w:rsidP="008515C4" w:rsidRDefault="008515C4" w14:paraId="50DF1210" w14:textId="77777777">
      <w:pPr>
        <w:jc w:val="both"/>
        <w:rPr>
          <w:rFonts w:ascii="Calibri" w:hAnsi="Calibri" w:cs="Calibri"/>
          <w:color w:val="000000" w:themeColor="text1"/>
        </w:rPr>
      </w:pPr>
    </w:p>
    <w:p w:rsidRPr="009658C3" w:rsidR="008515C4" w:rsidP="008515C4" w:rsidRDefault="008515C4" w14:paraId="18C4C635" w14:textId="77777777">
      <w:pPr>
        <w:jc w:val="both"/>
        <w:rPr>
          <w:rFonts w:ascii="Calibri" w:hAnsi="Calibri" w:cs="Calibri"/>
          <w:color w:val="000000" w:themeColor="text1"/>
          <w:lang w:val="en-US"/>
        </w:rPr>
      </w:pPr>
      <w:proofErr w:type="spellStart"/>
      <w:r w:rsidRPr="6C4092E4">
        <w:rPr>
          <w:rFonts w:ascii="Calibri" w:hAnsi="Calibri" w:cs="Calibri"/>
          <w:color w:val="000000" w:themeColor="text1"/>
          <w:lang w:val="en-US"/>
        </w:rPr>
        <w:t>FIREFate</w:t>
      </w:r>
      <w:proofErr w:type="spellEnd"/>
      <w:r w:rsidRPr="6C4092E4">
        <w:rPr>
          <w:rFonts w:ascii="Calibri" w:hAnsi="Calibri" w:cs="Calibri"/>
          <w:color w:val="000000" w:themeColor="text1"/>
          <w:lang w:val="en-US"/>
        </w:rPr>
        <w:t xml:space="preserve"> moves beyond tracking single-gene trajectories to quantify how entire cellular programs are rewired over time. By embedding time-resolved regulatory information and focusing on edges invariant across episodic windows, it captures the episodic deployment of regulatory authority rather than a static snapshot (Extended Fig. 2A</w:t>
      </w:r>
      <w:r>
        <w:rPr>
          <w:rFonts w:ascii="Calibri" w:hAnsi="Calibri" w:cs="Calibri"/>
          <w:color w:val="000000" w:themeColor="text1"/>
          <w:lang w:val="en-US"/>
        </w:rPr>
        <w:t>-D).</w:t>
      </w:r>
      <w:r w:rsidRPr="6C4092E4">
        <w:rPr>
          <w:rFonts w:ascii="Calibri" w:hAnsi="Calibri" w:cs="Calibri"/>
          <w:color w:val="000000" w:themeColor="text1"/>
          <w:lang w:val="en-US"/>
        </w:rPr>
        <w:t xml:space="preserve"> To interrogate this evolution systematically, transcription factors were classified into four wave-like patterns along </w:t>
      </w:r>
      <w:proofErr w:type="spellStart"/>
      <w:r w:rsidRPr="6C4092E4">
        <w:rPr>
          <w:rFonts w:ascii="Calibri" w:hAnsi="Calibri" w:cs="Calibri"/>
          <w:color w:val="000000" w:themeColor="text1"/>
          <w:lang w:val="en-US"/>
        </w:rPr>
        <w:t>pseudotime</w:t>
      </w:r>
      <w:proofErr w:type="spellEnd"/>
      <w:r w:rsidRPr="6C4092E4">
        <w:rPr>
          <w:rFonts w:ascii="Calibri" w:hAnsi="Calibri" w:cs="Calibri"/>
          <w:color w:val="000000" w:themeColor="text1"/>
          <w:lang w:val="en-US"/>
        </w:rPr>
        <w:t>: terminally upregulated, terminally downregulated, transiently upregulated, and transiently downregulated.</w:t>
      </w:r>
    </w:p>
    <w:p w:rsidR="008515C4" w:rsidP="008515C4" w:rsidRDefault="008515C4" w14:paraId="4FF4A34A" w14:textId="77777777">
      <w:pPr>
        <w:jc w:val="both"/>
        <w:rPr>
          <w:rFonts w:ascii="Calibri" w:hAnsi="Calibri" w:cs="Calibri"/>
          <w:color w:val="000000" w:themeColor="text1"/>
        </w:rPr>
      </w:pPr>
    </w:p>
    <w:p w:rsidR="008515C4" w:rsidP="008515C4" w:rsidRDefault="008515C4" w14:paraId="77292505" w14:textId="77777777">
      <w:pPr>
        <w:jc w:val="both"/>
        <w:rPr>
          <w:rFonts w:ascii="Calibri" w:hAnsi="Calibri" w:cs="Calibri"/>
          <w:color w:val="000000" w:themeColor="text1"/>
          <w:lang w:val="en-US"/>
        </w:rPr>
      </w:pPr>
      <w:r w:rsidRPr="6C4092E4">
        <w:rPr>
          <w:rFonts w:ascii="Calibri" w:hAnsi="Calibri" w:cs="Calibri"/>
          <w:color w:val="000000" w:themeColor="text1"/>
          <w:lang w:val="en-US"/>
        </w:rPr>
        <w:t>The first three patterns exhibited strong effect sizes for PB and GC bifurcation, showing that both persistent and transient regulatory activities are essential for fate commitment</w:t>
      </w:r>
      <w:r>
        <w:rPr>
          <w:rFonts w:ascii="Calibri" w:hAnsi="Calibri" w:cs="Calibri"/>
          <w:color w:val="000000" w:themeColor="text1"/>
          <w:lang w:val="en-US"/>
        </w:rPr>
        <w:t xml:space="preserve">. </w:t>
      </w:r>
      <w:r w:rsidRPr="6C4092E4">
        <w:rPr>
          <w:rFonts w:ascii="Calibri" w:hAnsi="Calibri" w:cs="Calibri"/>
          <w:color w:val="000000" w:themeColor="text1"/>
          <w:lang w:val="en-US"/>
        </w:rPr>
        <w:t xml:space="preserve">Minimal overlap with statically enriched TFs highlights the complementary and non-redundant insight of episodic enrichment (Extended Fig. 2E-G). Within terminally upregulated TFs (Extended Fig. 2E), seven were uniquely recovered-including MAX, USF2, MEF2A, and IRF1-displaying bell-shaped (Extended Fig. 2F), wave-like expression indicative of transient yet functionally decisive activity, while static enrichment detected only ARID5B with sustained activation. In terminally downregulated TFs (Extended Fig. 2G), TEAD2, IRF8, and TFEC were uniquely episodically enriched, whereas BACH2 and TFEC were identified by static analysis, with TFEC as the sole overlap. These findings demonstrate that </w:t>
      </w:r>
      <w:proofErr w:type="spellStart"/>
      <w:r w:rsidRPr="6C4092E4">
        <w:rPr>
          <w:rFonts w:ascii="Calibri" w:hAnsi="Calibri" w:cs="Calibri"/>
          <w:color w:val="000000" w:themeColor="text1"/>
          <w:lang w:val="en-US"/>
        </w:rPr>
        <w:t>FIREFate’s</w:t>
      </w:r>
      <w:proofErr w:type="spellEnd"/>
      <w:r w:rsidRPr="6C4092E4">
        <w:rPr>
          <w:rFonts w:ascii="Calibri" w:hAnsi="Calibri" w:cs="Calibri"/>
          <w:color w:val="000000" w:themeColor="text1"/>
          <w:lang w:val="en-US"/>
        </w:rPr>
        <w:t xml:space="preserve"> TF-centric programs derived from dynamic framework with episodic enrichment uncovers regulatory episodes and TFs invisible to conventional analyses. By constraining inference to fate-defining programs and tracking their temporal wiring, </w:t>
      </w:r>
      <w:proofErr w:type="spellStart"/>
      <w:r w:rsidRPr="6C4092E4">
        <w:rPr>
          <w:rFonts w:ascii="Calibri" w:hAnsi="Calibri" w:cs="Calibri"/>
          <w:color w:val="000000" w:themeColor="text1"/>
          <w:lang w:val="en-US"/>
        </w:rPr>
        <w:t>FIREFate</w:t>
      </w:r>
      <w:proofErr w:type="spellEnd"/>
      <w:r w:rsidRPr="6C4092E4">
        <w:rPr>
          <w:rFonts w:ascii="Calibri" w:hAnsi="Calibri" w:cs="Calibri"/>
          <w:color w:val="000000" w:themeColor="text1"/>
          <w:lang w:val="en-US"/>
        </w:rPr>
        <w:t xml:space="preserve"> exposes the system-level logic and mechanistic regulators driving B-cell fate divergence, revealing dynamic temporal patterns that static approaches cannot resolve. </w:t>
      </w:r>
    </w:p>
    <w:p w:rsidR="008515C4" w:rsidP="008515C4" w:rsidRDefault="008515C4" w14:paraId="007E3A8A" w14:textId="77777777">
      <w:pPr>
        <w:jc w:val="both"/>
        <w:rPr>
          <w:rFonts w:ascii="Calibri" w:hAnsi="Calibri" w:cs="Calibri"/>
          <w:color w:val="000000" w:themeColor="text1"/>
          <w:lang w:val="en-US"/>
        </w:rPr>
      </w:pPr>
    </w:p>
    <w:p w:rsidRPr="00EA3582" w:rsidR="008515C4" w:rsidP="008515C4" w:rsidRDefault="008515C4" w14:paraId="05986E38" w14:textId="77777777">
      <w:pPr>
        <w:jc w:val="both"/>
        <w:rPr>
          <w:rFonts w:ascii="Calibri" w:hAnsi="Calibri" w:cs="Calibri"/>
          <w:color w:val="000000" w:themeColor="text1"/>
          <w:lang w:val="en-US"/>
        </w:rPr>
      </w:pPr>
      <w:r w:rsidRPr="677FDD44">
        <w:rPr>
          <w:rFonts w:ascii="Calibri" w:hAnsi="Calibri" w:cs="Calibri"/>
          <w:color w:val="000000" w:themeColor="text1"/>
          <w:lang w:val="en-US"/>
        </w:rPr>
        <w:t xml:space="preserve">In conclusion findings establish </w:t>
      </w:r>
      <w:proofErr w:type="spellStart"/>
      <w:r w:rsidRPr="677FDD44">
        <w:rPr>
          <w:rFonts w:ascii="Calibri" w:hAnsi="Calibri" w:cs="Calibri"/>
          <w:color w:val="000000" w:themeColor="text1"/>
          <w:lang w:val="en-US"/>
        </w:rPr>
        <w:t>FIREFate</w:t>
      </w:r>
      <w:proofErr w:type="spellEnd"/>
      <w:r w:rsidRPr="677FDD44">
        <w:rPr>
          <w:rFonts w:ascii="Calibri" w:hAnsi="Calibri" w:cs="Calibri"/>
          <w:color w:val="000000" w:themeColor="text1"/>
          <w:lang w:val="en-US"/>
        </w:rPr>
        <w:t xml:space="preserve"> as a conceptual framework that can move beyond static snapshots or single-gene analyses to capture the temporal wiring of entire cellular programs to identify transient, decisive regulatory events that occur in discrete windows across </w:t>
      </w:r>
      <w:proofErr w:type="spellStart"/>
      <w:r w:rsidRPr="677FDD44">
        <w:rPr>
          <w:rFonts w:ascii="Calibri" w:hAnsi="Calibri" w:cs="Calibri"/>
          <w:color w:val="000000" w:themeColor="text1"/>
          <w:lang w:val="en-US"/>
        </w:rPr>
        <w:t>pseudotime</w:t>
      </w:r>
      <w:proofErr w:type="spellEnd"/>
      <w:r w:rsidRPr="677FDD44">
        <w:rPr>
          <w:rFonts w:ascii="Calibri" w:hAnsi="Calibri" w:cs="Calibri"/>
          <w:color w:val="000000" w:themeColor="text1"/>
          <w:lang w:val="en-US"/>
        </w:rPr>
        <w:t xml:space="preserve">. Across PB and GC trajectories, this framework reveals distinct dynamic architectures: sequential activating and reinforcing waves drive PB commitment, whereas a repression-dominated cascade safeguards GC identity. By resolving when, how, and in what order transcription factors exert regulatory control, </w:t>
      </w:r>
      <w:proofErr w:type="spellStart"/>
      <w:r w:rsidRPr="677FDD44">
        <w:rPr>
          <w:rFonts w:ascii="Calibri" w:hAnsi="Calibri" w:cs="Calibri"/>
          <w:color w:val="000000" w:themeColor="text1"/>
          <w:lang w:val="en-US"/>
        </w:rPr>
        <w:t>FIREFate</w:t>
      </w:r>
      <w:proofErr w:type="spellEnd"/>
      <w:r w:rsidRPr="677FDD44">
        <w:rPr>
          <w:rFonts w:ascii="Calibri" w:hAnsi="Calibri" w:cs="Calibri"/>
          <w:color w:val="000000" w:themeColor="text1"/>
          <w:lang w:val="en-US"/>
        </w:rPr>
        <w:t xml:space="preserve"> uncovers the system-level logic of lineage specification, highlighting mechanistic regulators and temporal patterns previously invisible to static analyses. </w:t>
      </w:r>
      <w:r w:rsidRPr="677FDD44">
        <w:rPr>
          <w:rFonts w:ascii="Calibri" w:hAnsi="Calibri" w:cs="Calibri"/>
          <w:lang w:val="en-US"/>
        </w:rPr>
        <w:t>In short, our framework provides a quantitative, and program-centric blueprint for understanding cell fate decisions by extracting transient regulatory signals from any mechanistic representation of regulatory links—static or dynamic, and irrespective of the inference method—thereby revealing the episodic regulatory events that truly drive lineage divergence.</w:t>
      </w:r>
    </w:p>
    <w:p w:rsidR="008515C4" w:rsidP="008515C4" w:rsidRDefault="008515C4" w14:paraId="43C902A8" w14:textId="77777777">
      <w:pPr>
        <w:pStyle w:val="Heading3"/>
        <w:jc w:val="both"/>
        <w:rPr>
          <w:rFonts w:ascii="Calibri" w:hAnsi="Calibri" w:cs="Calibri"/>
          <w:b/>
          <w:bCs/>
          <w:color w:val="000000" w:themeColor="text1"/>
          <w:sz w:val="24"/>
          <w:szCs w:val="24"/>
          <w:lang w:val="en-US"/>
        </w:rPr>
      </w:pPr>
      <w:proofErr w:type="spellStart"/>
      <w:r>
        <w:rPr>
          <w:rFonts w:ascii="Calibri" w:hAnsi="Calibri" w:cs="Calibri"/>
          <w:b/>
          <w:bCs/>
          <w:color w:val="000000" w:themeColor="text1"/>
          <w:sz w:val="24"/>
          <w:szCs w:val="24"/>
          <w:lang w:val="en-US"/>
        </w:rPr>
        <w:t>FIREFate</w:t>
      </w:r>
      <w:proofErr w:type="spellEnd"/>
      <w:r>
        <w:rPr>
          <w:rFonts w:ascii="Calibri" w:hAnsi="Calibri" w:cs="Calibri"/>
          <w:b/>
          <w:bCs/>
          <w:color w:val="000000" w:themeColor="text1"/>
          <w:sz w:val="24"/>
          <w:szCs w:val="24"/>
          <w:lang w:val="en-US"/>
        </w:rPr>
        <w:t xml:space="preserve"> Uncovers TF Dynamic Activity and</w:t>
      </w:r>
      <w:r w:rsidRPr="00473B69">
        <w:rPr>
          <w:rFonts w:ascii="Calibri" w:hAnsi="Calibri" w:cs="Calibri"/>
          <w:b/>
          <w:bCs/>
          <w:color w:val="000000" w:themeColor="text1"/>
          <w:sz w:val="24"/>
          <w:szCs w:val="24"/>
          <w:lang w:val="en-US"/>
        </w:rPr>
        <w:t xml:space="preserve"> </w:t>
      </w:r>
      <w:r>
        <w:rPr>
          <w:rFonts w:ascii="Calibri" w:hAnsi="Calibri" w:cs="Calibri"/>
          <w:b/>
          <w:bCs/>
          <w:color w:val="000000" w:themeColor="text1"/>
          <w:sz w:val="24"/>
          <w:szCs w:val="24"/>
          <w:lang w:val="en-US"/>
        </w:rPr>
        <w:t>B C</w:t>
      </w:r>
      <w:r w:rsidRPr="00473B69">
        <w:rPr>
          <w:rFonts w:ascii="Calibri" w:hAnsi="Calibri" w:cs="Calibri"/>
          <w:b/>
          <w:bCs/>
          <w:color w:val="000000" w:themeColor="text1"/>
          <w:sz w:val="24"/>
          <w:szCs w:val="24"/>
          <w:lang w:val="en-US"/>
        </w:rPr>
        <w:t xml:space="preserve">ell </w:t>
      </w:r>
      <w:r>
        <w:rPr>
          <w:rFonts w:ascii="Calibri" w:hAnsi="Calibri" w:cs="Calibri"/>
          <w:b/>
          <w:bCs/>
          <w:color w:val="000000" w:themeColor="text1"/>
          <w:sz w:val="24"/>
          <w:szCs w:val="24"/>
          <w:lang w:val="en-US"/>
        </w:rPr>
        <w:t>F</w:t>
      </w:r>
      <w:r w:rsidRPr="00473B69">
        <w:rPr>
          <w:rFonts w:ascii="Calibri" w:hAnsi="Calibri" w:cs="Calibri"/>
          <w:b/>
          <w:bCs/>
          <w:color w:val="000000" w:themeColor="text1"/>
          <w:sz w:val="24"/>
          <w:szCs w:val="24"/>
          <w:lang w:val="en-US"/>
        </w:rPr>
        <w:t xml:space="preserve">ate </w:t>
      </w:r>
      <w:r>
        <w:rPr>
          <w:rFonts w:ascii="Calibri" w:hAnsi="Calibri" w:cs="Calibri"/>
          <w:b/>
          <w:bCs/>
          <w:color w:val="000000" w:themeColor="text1"/>
          <w:sz w:val="24"/>
          <w:szCs w:val="24"/>
          <w:lang w:val="en-US"/>
        </w:rPr>
        <w:t>B</w:t>
      </w:r>
      <w:r w:rsidRPr="00473B69">
        <w:rPr>
          <w:rFonts w:ascii="Calibri" w:hAnsi="Calibri" w:cs="Calibri"/>
          <w:b/>
          <w:bCs/>
          <w:color w:val="000000" w:themeColor="text1"/>
          <w:sz w:val="24"/>
          <w:szCs w:val="24"/>
          <w:lang w:val="en-US"/>
        </w:rPr>
        <w:t xml:space="preserve">ias </w:t>
      </w:r>
      <w:r>
        <w:rPr>
          <w:rFonts w:ascii="Calibri" w:hAnsi="Calibri" w:cs="Calibri"/>
          <w:b/>
          <w:bCs/>
          <w:color w:val="000000" w:themeColor="text1"/>
          <w:sz w:val="24"/>
          <w:szCs w:val="24"/>
          <w:lang w:val="en-US"/>
        </w:rPr>
        <w:t>B</w:t>
      </w:r>
      <w:r w:rsidRPr="00473B69">
        <w:rPr>
          <w:rFonts w:ascii="Calibri" w:hAnsi="Calibri" w:cs="Calibri"/>
          <w:b/>
          <w:bCs/>
          <w:color w:val="000000" w:themeColor="text1"/>
          <w:sz w:val="24"/>
          <w:szCs w:val="24"/>
          <w:lang w:val="en-US"/>
        </w:rPr>
        <w:t xml:space="preserve">efore </w:t>
      </w:r>
      <w:r>
        <w:rPr>
          <w:rFonts w:ascii="Calibri" w:hAnsi="Calibri" w:cs="Calibri"/>
          <w:b/>
          <w:bCs/>
          <w:color w:val="000000" w:themeColor="text1"/>
          <w:sz w:val="24"/>
          <w:szCs w:val="24"/>
          <w:lang w:val="en-US"/>
        </w:rPr>
        <w:t>P</w:t>
      </w:r>
      <w:r w:rsidRPr="00473B69">
        <w:rPr>
          <w:rFonts w:ascii="Calibri" w:hAnsi="Calibri" w:cs="Calibri"/>
          <w:b/>
          <w:bCs/>
          <w:color w:val="000000" w:themeColor="text1"/>
          <w:sz w:val="24"/>
          <w:szCs w:val="24"/>
          <w:lang w:val="en-US"/>
        </w:rPr>
        <w:t xml:space="preserve">henotypic </w:t>
      </w:r>
      <w:r>
        <w:rPr>
          <w:rFonts w:ascii="Calibri" w:hAnsi="Calibri" w:cs="Calibri"/>
          <w:b/>
          <w:bCs/>
          <w:color w:val="000000" w:themeColor="text1"/>
          <w:sz w:val="24"/>
          <w:szCs w:val="24"/>
          <w:lang w:val="en-US"/>
        </w:rPr>
        <w:t>C</w:t>
      </w:r>
      <w:r w:rsidRPr="00473B69">
        <w:rPr>
          <w:rFonts w:ascii="Calibri" w:hAnsi="Calibri" w:cs="Calibri"/>
          <w:b/>
          <w:bCs/>
          <w:color w:val="000000" w:themeColor="text1"/>
          <w:sz w:val="24"/>
          <w:szCs w:val="24"/>
          <w:lang w:val="en-US"/>
        </w:rPr>
        <w:t xml:space="preserve">ommitment </w:t>
      </w:r>
      <w:r>
        <w:rPr>
          <w:rFonts w:ascii="Calibri" w:hAnsi="Calibri" w:cs="Calibri"/>
          <w:b/>
          <w:bCs/>
          <w:color w:val="000000" w:themeColor="text1"/>
          <w:sz w:val="24"/>
          <w:szCs w:val="24"/>
          <w:lang w:val="en-US"/>
        </w:rPr>
        <w:t>T</w:t>
      </w:r>
      <w:r w:rsidRPr="00473B69">
        <w:rPr>
          <w:rFonts w:ascii="Calibri" w:hAnsi="Calibri" w:cs="Calibri"/>
          <w:b/>
          <w:bCs/>
          <w:color w:val="000000" w:themeColor="text1"/>
          <w:sz w:val="24"/>
          <w:szCs w:val="24"/>
          <w:lang w:val="en-US"/>
        </w:rPr>
        <w:t xml:space="preserve">hrough </w:t>
      </w:r>
      <w:r>
        <w:rPr>
          <w:rFonts w:ascii="Calibri" w:hAnsi="Calibri" w:cs="Calibri"/>
          <w:b/>
          <w:bCs/>
          <w:color w:val="000000" w:themeColor="text1"/>
          <w:sz w:val="24"/>
          <w:szCs w:val="24"/>
          <w:lang w:val="en-US"/>
        </w:rPr>
        <w:t>P</w:t>
      </w:r>
      <w:r w:rsidRPr="00473B69">
        <w:rPr>
          <w:rFonts w:ascii="Calibri" w:hAnsi="Calibri" w:cs="Calibri"/>
          <w:b/>
          <w:bCs/>
          <w:color w:val="000000" w:themeColor="text1"/>
          <w:sz w:val="24"/>
          <w:szCs w:val="24"/>
          <w:lang w:val="en-US"/>
        </w:rPr>
        <w:t xml:space="preserve">erturbation-guided </w:t>
      </w:r>
      <w:r>
        <w:rPr>
          <w:rFonts w:ascii="Calibri" w:hAnsi="Calibri" w:cs="Calibri"/>
          <w:b/>
          <w:bCs/>
          <w:color w:val="000000" w:themeColor="text1"/>
          <w:sz w:val="24"/>
          <w:szCs w:val="24"/>
          <w:lang w:val="en-US"/>
        </w:rPr>
        <w:t>T</w:t>
      </w:r>
      <w:r w:rsidRPr="00473B69">
        <w:rPr>
          <w:rFonts w:ascii="Calibri" w:hAnsi="Calibri" w:cs="Calibri"/>
          <w:b/>
          <w:bCs/>
          <w:color w:val="000000" w:themeColor="text1"/>
          <w:sz w:val="24"/>
          <w:szCs w:val="24"/>
          <w:lang w:val="en-US"/>
        </w:rPr>
        <w:t xml:space="preserve">ransfer </w:t>
      </w:r>
      <w:r>
        <w:rPr>
          <w:rFonts w:ascii="Calibri" w:hAnsi="Calibri" w:cs="Calibri"/>
          <w:b/>
          <w:bCs/>
          <w:color w:val="000000" w:themeColor="text1"/>
          <w:sz w:val="24"/>
          <w:szCs w:val="24"/>
          <w:lang w:val="en-US"/>
        </w:rPr>
        <w:t>L</w:t>
      </w:r>
      <w:r w:rsidRPr="00473B69">
        <w:rPr>
          <w:rFonts w:ascii="Calibri" w:hAnsi="Calibri" w:cs="Calibri"/>
          <w:b/>
          <w:bCs/>
          <w:color w:val="000000" w:themeColor="text1"/>
          <w:sz w:val="24"/>
          <w:szCs w:val="24"/>
          <w:lang w:val="en-US"/>
        </w:rPr>
        <w:t>earning</w:t>
      </w:r>
    </w:p>
    <w:p w:rsidRPr="00EE504C" w:rsidR="008515C4" w:rsidP="008515C4" w:rsidRDefault="002F4E02" w14:paraId="1177C1BB" w14:textId="1821B755">
      <w:pPr>
        <w:jc w:val="both"/>
        <w:rPr>
          <w:rFonts w:ascii="Calibri" w:hAnsi="Calibri" w:cs="Calibri"/>
          <w:lang w:val="en-US"/>
        </w:rPr>
      </w:pPr>
      <w:r>
        <w:rPr>
          <w:rFonts w:ascii="Calibri" w:hAnsi="Calibri" w:cs="Calibri"/>
          <w:lang w:val="en-US"/>
        </w:rPr>
        <w:t>Cell state transitions are multi-phase processes driven by temporally ordered, often transient regulatory programs [48]. These programs arise from dynamic TF activity and bias cellular commitment before it becomes phenotypically visible [49]. B cell bifurcation is a clear example. PB and GC fates emerge from activated B cells through transcriptional landscapes that diverge gradually [50]. The subnetworks from the previous section capture the regulatory scaffold of this bifurcation, but they do not explain why one cell, and not its neighbor, commits early. Resolving that would normally require dense temporal profiling and lineage tracing, which are costly and largely infeasible across immune contexts. Fate-predisposing regulatory programs therefore remain hidden, and existing computational methods fail to predict them.</w:t>
      </w:r>
    </w:p>
    <w:p w:rsidR="008515C4" w:rsidP="008515C4" w:rsidRDefault="008515C4" w14:paraId="3A4FDD3A" w14:textId="77777777">
      <w:pPr>
        <w:jc w:val="both"/>
        <w:rPr>
          <w:rFonts w:ascii="Calibri" w:hAnsi="Calibri" w:cs="Calibri"/>
          <w:color w:val="000000" w:themeColor="text1"/>
        </w:rPr>
      </w:pPr>
    </w:p>
    <w:p w:rsidRPr="007111EF" w:rsidR="008515C4" w:rsidP="008515C4" w:rsidRDefault="002F4E02" w14:paraId="24E6E00D" w14:textId="5887BD1B">
      <w:pPr>
        <w:jc w:val="both"/>
        <w:rPr>
          <w:rFonts w:ascii="Calibri" w:hAnsi="Calibri" w:cs="Calibri"/>
          <w:color w:val="000000" w:themeColor="text1"/>
          <w:lang w:val="en-US"/>
        </w:rPr>
      </w:pPr>
      <w:r>
        <w:rPr>
          <w:rFonts w:ascii="Calibri" w:hAnsi="Calibri" w:cs="Calibri"/>
          <w:color w:val="000000" w:themeColor="text1"/>
          <w:lang w:val="en-US"/>
        </w:rPr>
        <w:t>We first asked whether fate bias is pre-encoded within the late-stage regulatory programs already described. We projected the learned PB- and GC-state cellular programs onto ABCs at day 2 and day 4 to look for latent PB- or GC-like signatures. This failed to predict predisposition (Supplementary Fig. 3), because these programs are inferred after phenotypic bifurcation and reflect state-dependent regulons rather than TF dynamic activity. We instead turned to the final regulatory waves of the dynamic GRNs in bifurcated states, which had already flagged IRF4 and PRDM1 as dominant drivers. We tested their early regulatory activity directly, using TF perturb-seq at higher temporal resolution across the pre-bifurcation window from day 2 to day 4. We expected the resulting programs to be dominated by IRF4 and PRDM1 themselves. Instead, we found a distinct set of previously unappreciated regulons active at these early stages. Fate commitment, in other words, is encoded by dynamic TF activity well before it becomes transcriptionally apparent.</w:t>
      </w:r>
    </w:p>
    <w:p w:rsidR="008515C4" w:rsidP="008515C4" w:rsidRDefault="008515C4" w14:paraId="482E0E5E" w14:textId="77777777">
      <w:pPr>
        <w:jc w:val="both"/>
        <w:rPr>
          <w:rFonts w:ascii="Calibri" w:hAnsi="Calibri" w:cs="Calibri"/>
          <w:color w:val="000000" w:themeColor="text1"/>
        </w:rPr>
      </w:pPr>
    </w:p>
    <w:p w:rsidRPr="009658C3" w:rsidR="008515C4" w:rsidP="008515C4" w:rsidRDefault="002F4E02" w14:paraId="29E9F61B" w14:textId="1E19C78D">
      <w:pPr>
        <w:jc w:val="both"/>
        <w:rPr>
          <w:rFonts w:ascii="Calibri" w:hAnsi="Calibri" w:cs="Calibri"/>
          <w:color w:val="000000" w:themeColor="text1"/>
          <w:lang w:val="en-US"/>
        </w:rPr>
      </w:pPr>
      <w:r>
        <w:rPr>
          <w:rFonts w:ascii="Calibri" w:hAnsi="Calibri" w:cs="Calibri"/>
          <w:color w:val="000000" w:themeColor="text1"/>
          <w:lang w:val="en-US"/>
        </w:rPr>
        <w:t xml:space="preserve">To test this, we used </w:t>
      </w:r>
      <w:proofErr w:type="spellStart"/>
      <w:r>
        <w:rPr>
          <w:rFonts w:ascii="Calibri" w:hAnsi="Calibri" w:cs="Calibri"/>
          <w:color w:val="000000" w:themeColor="text1"/>
          <w:lang w:val="en-US"/>
        </w:rPr>
        <w:t>FIREFate</w:t>
      </w:r>
      <w:proofErr w:type="spellEnd"/>
      <w:r>
        <w:rPr>
          <w:rFonts w:ascii="Calibri" w:hAnsi="Calibri" w:cs="Calibri"/>
          <w:color w:val="000000" w:themeColor="text1"/>
          <w:lang w:val="en-US"/>
        </w:rPr>
        <w:t xml:space="preserve"> in three stages: learning, prediction, and validation (Fig. 5A). In the learning stage, we trained classifiers to discriminate TF-perturbed cells from wild-type controls, using PRDM1 and IRF4 knockouts that favor GC fate (Fig. 5A, left). In the prediction stage, these perturbation-derived signatures were transferred to independent, unperturbed ABCs at day 2 and day 4 to flag cells with latent GC-like or PB-like programs (Fig. 5A, middle). In the validation stage, we cross-compared predictions against bona fide terminal phenotypes. A correctly predicted GC-like ABC should be indistinguishable from terminal GC cells (AUC near 0.5) but separable from PB cells (high AUC) (Fig. 5A, right). Learning and prediction used entirely separate data throughout.</w:t>
      </w:r>
    </w:p>
    <w:p w:rsidRPr="009658C3" w:rsidR="008515C4" w:rsidP="008515C4" w:rsidRDefault="008515C4" w14:paraId="0F932801" w14:textId="77777777">
      <w:pPr>
        <w:jc w:val="both"/>
        <w:rPr>
          <w:rFonts w:ascii="Calibri" w:hAnsi="Calibri" w:cs="Calibri"/>
          <w:color w:val="000000" w:themeColor="text1"/>
        </w:rPr>
      </w:pPr>
    </w:p>
    <w:p w:rsidR="002F4E02" w:rsidP="008515C4" w:rsidRDefault="002F4E02" w14:paraId="63FBC3E6" w14:textId="77777777">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We first tested whether a conventional gene-based classifier could resolve this. A regularized Lasso model discriminated PRDM1- and IRF4-deficient cells from controls with near-perfect training accuracy (AUC ≈ 0.99). Projected onto unperturbed ABCs, it labeled </w:t>
      </w:r>
      <w:proofErr w:type="gramStart"/>
      <w:r>
        <w:rPr>
          <w:rFonts w:ascii="Calibri" w:hAnsi="Calibri" w:cs="Calibri"/>
          <w:color w:val="000000" w:themeColor="text1"/>
          <w:sz w:val="22"/>
          <w:szCs w:val="22"/>
        </w:rPr>
        <w:t>the large majority of</w:t>
      </w:r>
      <w:proofErr w:type="gramEnd"/>
      <w:r>
        <w:rPr>
          <w:rFonts w:ascii="Calibri" w:hAnsi="Calibri" w:cs="Calibri"/>
          <w:color w:val="000000" w:themeColor="text1"/>
          <w:sz w:val="22"/>
          <w:szCs w:val="22"/>
        </w:rPr>
        <w:t xml:space="preserve"> cells as GC-biased: 97.5% and 98.6% of PRDM1-KO-modeled cells at day 2 and day 4, and 93.9% and 92.7% of IRF4-KO-modeled cells (Fig. 5F). Validation showed this was not a real prediction. The Lasso-predicted GC-biased cells remained partially separable from both true GC and true PB populations (AUC 0.76–0.80 across both knockouts and both days) (Fig. 5G), unlike a correct call, which should be indistinguishable from GC specifically. Lasso, in short, over-calls GC bias and cannot validate its own predictions.</w:t>
      </w:r>
    </w:p>
    <w:p w:rsidRPr="002F4E02" w:rsidR="008515C4" w:rsidP="002F4E02" w:rsidRDefault="002F4E02" w14:paraId="1B7258B3" w14:textId="55DB954E">
      <w:pPr>
        <w:pStyle w:val="NormalWeb"/>
        <w:rPr>
          <w:rFonts w:ascii="Calibri" w:hAnsi="Calibri" w:cs="Calibri"/>
          <w:sz w:val="22"/>
        </w:rPr>
      </w:pPr>
      <w:r w:rsidRPr="002F4E02">
        <w:rPr>
          <w:rFonts w:ascii="Calibri" w:hAnsi="Calibri" w:cs="Calibri"/>
          <w:sz w:val="22"/>
        </w:rPr>
        <w:t xml:space="preserve">As a second baseline, we tested a model restricted to differentially expressed genes (DEGs). This also over-called GC bias, labeling 93.7–98.5% of ABCs as GC-like across both knockouts and both days (Extended Fig. 4D). Validation again </w:t>
      </w:r>
      <w:r w:rsidRPr="002F4E02">
        <w:rPr>
          <w:rFonts w:ascii="Calibri" w:hAnsi="Calibri" w:cs="Calibri"/>
          <w:sz w:val="22"/>
        </w:rPr>
        <w:t>failed, with AUC of 0.50–0.62 against true GC and PB populations (Extended Fig. 4D). Two independent gene-centric baselines therefore reach the same wrong conclusion.</w:t>
      </w:r>
    </w:p>
    <w:p w:rsidRPr="009658C3" w:rsidR="008515C4" w:rsidP="008515C4" w:rsidRDefault="008515C4" w14:paraId="0CC1968F" w14:textId="77777777">
      <w:pPr>
        <w:pStyle w:val="NormalWeb"/>
        <w:spacing w:before="0" w:beforeAutospacing="0" w:after="0" w:afterAutospacing="0" w:line="276" w:lineRule="auto"/>
        <w:jc w:val="both"/>
        <w:rPr>
          <w:rFonts w:ascii="Calibri" w:hAnsi="Calibri" w:cs="Calibri"/>
          <w:color w:val="000000" w:themeColor="text1"/>
          <w:sz w:val="22"/>
          <w:szCs w:val="22"/>
        </w:rPr>
      </w:pPr>
    </w:p>
    <w:p w:rsidR="008515C4" w:rsidP="008515C4" w:rsidRDefault="002F4E02" w14:paraId="79B9A305" w14:textId="0B09665A">
      <w:pPr>
        <w:pStyle w:val="NormalWeb"/>
        <w:spacing w:before="0" w:beforeAutospacing="0" w:after="0" w:afterAutospacing="0" w:line="276" w:lineRule="auto"/>
        <w:jc w:val="both"/>
        <w:rPr>
          <w:rFonts w:ascii="Calibri" w:hAnsi="Calibri" w:cs="Calibri"/>
          <w:color w:val="000000" w:themeColor="text1"/>
          <w:sz w:val="22"/>
          <w:szCs w:val="22"/>
        </w:rPr>
      </w:pPr>
      <w:proofErr w:type="spellStart"/>
      <w:r>
        <w:rPr>
          <w:rFonts w:ascii="Calibri" w:hAnsi="Calibri" w:cs="Calibri"/>
          <w:color w:val="000000" w:themeColor="text1"/>
          <w:sz w:val="22"/>
          <w:szCs w:val="22"/>
        </w:rPr>
        <w:t>FIREFate</w:t>
      </w:r>
      <w:proofErr w:type="spellEnd"/>
      <w:r>
        <w:rPr>
          <w:rFonts w:ascii="Calibri" w:hAnsi="Calibri" w:cs="Calibri"/>
          <w:color w:val="000000" w:themeColor="text1"/>
          <w:sz w:val="22"/>
          <w:szCs w:val="22"/>
        </w:rPr>
        <w:t xml:space="preserve"> took a different approach. We first inferred the transcriptional programs that best discriminate each knockout from controls, achieving near-perfect discrimination in both cases (AUC ≈ 0.99) (Fig. 5C). For each knockout, a single regulatory component carried the core signal. The PRDM1-KO component was enriched for B-cell activation signaling, including SPIB and MYBL2 [51,52] and the immune-modulatory factor TGFB1 [53] (Fig. 5B, top). The IRF4-KO component centered on BCR signaling and differentiation, including BLNK and NCK1 [54,55] (Fig. 5B, bottom). Mapped onto unseen day 2 and day 4 ABCs, these programs revealed clear early fate bifurcation. Subsets of early ABCs already carried coordinated transcriptional programs resembling their eventual GC or PB lineage (Fig. 5C). Validation confirmed this bifurcation was genuine. Models trained on the PRDM1- and IRF4-KO programs discriminated predisposed ABCs from the PB </w:t>
      </w:r>
      <w:proofErr w:type="gramStart"/>
      <w:r>
        <w:rPr>
          <w:rFonts w:ascii="Calibri" w:hAnsi="Calibri" w:cs="Calibri"/>
          <w:color w:val="000000" w:themeColor="text1"/>
          <w:sz w:val="22"/>
          <w:szCs w:val="22"/>
        </w:rPr>
        <w:t>lineage, but</w:t>
      </w:r>
      <w:proofErr w:type="gramEnd"/>
      <w:r>
        <w:rPr>
          <w:rFonts w:ascii="Calibri" w:hAnsi="Calibri" w:cs="Calibri"/>
          <w:color w:val="000000" w:themeColor="text1"/>
          <w:sz w:val="22"/>
          <w:szCs w:val="22"/>
        </w:rPr>
        <w:t xml:space="preserve"> could not separate them from bona fide GC cells (AUC ≈ 0.5) (Fig. 5D). This failure to discriminate is the correct outcome. It shows these early ABCs are already biased toward GC fate, well before the phenotype appears.</w:t>
      </w:r>
    </w:p>
    <w:p w:rsidRPr="009658C3" w:rsidR="008515C4" w:rsidP="008515C4" w:rsidRDefault="008515C4" w14:paraId="61AFE40F" w14:textId="77777777">
      <w:pPr>
        <w:pStyle w:val="NormalWeb"/>
        <w:spacing w:before="0" w:beforeAutospacing="0" w:after="0" w:afterAutospacing="0" w:line="276" w:lineRule="auto"/>
        <w:jc w:val="both"/>
        <w:rPr>
          <w:rFonts w:ascii="Calibri" w:hAnsi="Calibri" w:cs="Calibri"/>
          <w:color w:val="000000" w:themeColor="text1"/>
          <w:sz w:val="22"/>
          <w:szCs w:val="22"/>
        </w:rPr>
      </w:pPr>
    </w:p>
    <w:p w:rsidR="00F319A1" w:rsidP="008515C4" w:rsidRDefault="00F319A1" w14:paraId="33D328FC" w14:textId="77777777">
      <w:pPr>
        <w:pStyle w:val="NormalWeb"/>
        <w:spacing w:before="0" w:beforeAutospacing="0" w:after="0" w:afterAutospacing="0" w:line="276" w:lineRule="auto"/>
        <w:jc w:val="both"/>
        <w:rPr>
          <w:rFonts w:ascii="Calibri" w:hAnsi="Calibri" w:cs="Calibri"/>
          <w:color w:val="000000" w:themeColor="text1"/>
          <w:sz w:val="22"/>
          <w:szCs w:val="22"/>
        </w:rPr>
      </w:pPr>
    </w:p>
    <w:p w:rsidR="00F319A1" w:rsidP="008515C4" w:rsidRDefault="00F319A1" w14:paraId="0BC6004A" w14:textId="77777777">
      <w:pPr>
        <w:pStyle w:val="NormalWeb"/>
        <w:spacing w:before="0" w:beforeAutospacing="0" w:after="0" w:afterAutospacing="0" w:line="276" w:lineRule="auto"/>
        <w:jc w:val="both"/>
        <w:rPr>
          <w:rFonts w:ascii="Calibri" w:hAnsi="Calibri" w:cs="Calibri"/>
          <w:color w:val="000000" w:themeColor="text1"/>
          <w:sz w:val="22"/>
          <w:szCs w:val="22"/>
        </w:rPr>
      </w:pPr>
    </w:p>
    <w:p w:rsidR="008515C4" w:rsidP="008515C4" w:rsidRDefault="002F4E02" w14:paraId="33CD0D5C" w14:textId="62939735">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As an orthogonal check, we measured the overlap between biased ABC populations using the Jaccard index. Programs derived from PRDM1- and IRF4-deficient states showed high overlap (0.34 at day 2, 0.17 at day 4), well above other perturbations (Fig. 5E). Loss of either factor therefore pushes early ABCs toward a convergent, GC-biased regulatory program. Together, these results show that </w:t>
      </w:r>
      <w:proofErr w:type="spellStart"/>
      <w:r>
        <w:rPr>
          <w:rFonts w:ascii="Calibri" w:hAnsi="Calibri" w:cs="Calibri"/>
          <w:color w:val="000000" w:themeColor="text1"/>
          <w:sz w:val="22"/>
          <w:szCs w:val="22"/>
        </w:rPr>
        <w:t>FIREFate</w:t>
      </w:r>
      <w:proofErr w:type="spellEnd"/>
      <w:r>
        <w:rPr>
          <w:rFonts w:ascii="Calibri" w:hAnsi="Calibri" w:cs="Calibri"/>
          <w:color w:val="000000" w:themeColor="text1"/>
          <w:sz w:val="22"/>
          <w:szCs w:val="22"/>
        </w:rPr>
        <w:t xml:space="preserve"> unmasks hidden TF dynamic activity in activated B cells, identifying lineage commitment well before any phenotypic marker appears.</w:t>
      </w:r>
    </w:p>
    <w:p w:rsidR="008515C4" w:rsidP="008515C4" w:rsidRDefault="008515C4" w14:paraId="5C864A34" w14:textId="77777777">
      <w:pPr>
        <w:pStyle w:val="NormalWeb"/>
        <w:spacing w:before="0" w:beforeAutospacing="0" w:after="0" w:afterAutospacing="0" w:line="276" w:lineRule="auto"/>
        <w:jc w:val="both"/>
        <w:rPr>
          <w:rFonts w:ascii="Calibri" w:hAnsi="Calibri" w:cs="Calibri"/>
          <w:color w:val="000000" w:themeColor="text1"/>
          <w:sz w:val="22"/>
          <w:szCs w:val="22"/>
        </w:rPr>
      </w:pPr>
    </w:p>
    <w:p w:rsidR="008515C4" w:rsidP="008515C4" w:rsidRDefault="002F4E02" w14:paraId="26D9872E" w14:textId="63074383">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We next integrated these predisposing programs with static and dynamic GRNs, to move from a TF list to explicit regulatory architecture. Embedding the programs within static GRNs identified NFATC2 and TFEC as upstream anchors of lineage commitment (Fig. 5K, L). NFATC2 was the dominant enriched factor in both the PRDM1-KO and IRF4-KO data, consistent with a known cooperation between IRF4 and NFATC2 during lymphocyte activation that may help rewire the B-cell bifurcation landscape. Dynamic GRNs, by contrast, exposed transient regulatory circuits active only within discrete windows of the activation continuum (Fig. 5H, I). This identified IKZF2 and RBPJ as episodically active regulators of early lineage polarization. IKZF2, an Ikaros family member linked to humoral autoimmunity [56], and RBPJ, a Notch mediator essential for B-cell subset decisions [57], are candidate under-appreciated drivers of the GC-PB choice.</w:t>
      </w:r>
    </w:p>
    <w:p w:rsidR="008515C4" w:rsidP="008515C4" w:rsidRDefault="008515C4" w14:paraId="0223C4D5" w14:textId="77777777">
      <w:pPr>
        <w:pStyle w:val="NormalWeb"/>
        <w:spacing w:before="0" w:beforeAutospacing="0" w:after="0" w:afterAutospacing="0" w:line="276" w:lineRule="auto"/>
        <w:jc w:val="both"/>
        <w:rPr>
          <w:rFonts w:ascii="Calibri" w:hAnsi="Calibri" w:cs="Calibri"/>
          <w:color w:val="000000" w:themeColor="text1"/>
          <w:sz w:val="22"/>
          <w:szCs w:val="22"/>
        </w:rPr>
      </w:pPr>
    </w:p>
    <w:p w:rsidR="008515C4" w:rsidP="008515C4" w:rsidRDefault="002F4E02" w14:paraId="3142E00B" w14:textId="6225AC1F">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despite otherwise unremarkable expression and chromatin signals (Extended Fig. 4E, F).</w:t>
      </w:r>
    </w:p>
    <w:p w:rsidRPr="009C4A04" w:rsidR="008515C4" w:rsidP="008515C4" w:rsidRDefault="008515C4" w14:paraId="6D99D678" w14:textId="77777777">
      <w:pPr>
        <w:pStyle w:val="NormalWeb"/>
        <w:spacing w:before="0" w:beforeAutospacing="0" w:after="0" w:afterAutospacing="0" w:line="276" w:lineRule="auto"/>
        <w:jc w:val="both"/>
        <w:rPr>
          <w:rFonts w:ascii="Calibri" w:hAnsi="Calibri" w:cs="Calibri"/>
          <w:color w:val="000000" w:themeColor="text1"/>
          <w:sz w:val="22"/>
          <w:szCs w:val="22"/>
        </w:rPr>
      </w:pPr>
    </w:p>
    <w:p w:rsidRPr="0094705D" w:rsidR="008515C4" w:rsidP="008515C4" w:rsidRDefault="002F4E02" w14:paraId="41C5AD95" w14:textId="1847BB36">
      <w:pPr>
        <w:pStyle w:val="NormalWeb"/>
        <w:spacing w:before="0" w:beforeAutospacing="0" w:after="0" w:afterAutospacing="0"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Together, these results establish </w:t>
      </w:r>
      <w:proofErr w:type="spellStart"/>
      <w:r>
        <w:rPr>
          <w:rFonts w:ascii="Calibri" w:hAnsi="Calibri" w:cs="Calibri"/>
          <w:color w:val="000000" w:themeColor="text1"/>
          <w:sz w:val="22"/>
          <w:szCs w:val="22"/>
        </w:rPr>
        <w:t>FIREFate</w:t>
      </w:r>
      <w:proofErr w:type="spellEnd"/>
      <w:r>
        <w:rPr>
          <w:rFonts w:ascii="Calibri" w:hAnsi="Calibri" w:cs="Calibri"/>
          <w:color w:val="000000" w:themeColor="text1"/>
          <w:sz w:val="22"/>
          <w:szCs w:val="22"/>
        </w:rPr>
        <w:t xml:space="preserve"> as a predictive framework for TF dynamic activity, revealing lineage bias encoded within transcriptional programs before it is phenotypically visible. By integrating perturbation-resolved programs with static and dynamic GRNs, it exposes the regulatory architecture, including transient and episodically active TFs, that governs early fate decisions. Gene-centric methods fail at this task. </w:t>
      </w:r>
      <w:proofErr w:type="spellStart"/>
      <w:r>
        <w:rPr>
          <w:rFonts w:ascii="Calibri" w:hAnsi="Calibri" w:cs="Calibri"/>
          <w:color w:val="000000" w:themeColor="text1"/>
          <w:sz w:val="22"/>
          <w:szCs w:val="22"/>
        </w:rPr>
        <w:t>FIREFate</w:t>
      </w:r>
      <w:proofErr w:type="spellEnd"/>
      <w:r>
        <w:rPr>
          <w:rFonts w:ascii="Calibri" w:hAnsi="Calibri" w:cs="Calibri"/>
          <w:color w:val="000000" w:themeColor="text1"/>
          <w:sz w:val="22"/>
          <w:szCs w:val="22"/>
        </w:rPr>
        <w:t xml:space="preserve"> instead resolves coordinated regulatory programs in heterogeneous, uncommitted populations, identifying both canonical regulators (NFATC2, PAX5, BACH2) and previously unappreciated drivers (IKZF2, RBPJ) whose influence is detectable only through dynamic modeling. Lineage decisions, this shows, are encoded by short-lived regulatory signals operating well before the bifurcation itself.</w:t>
      </w:r>
    </w:p>
    <w:p w:rsidRPr="0094705D" w:rsidR="008515C4" w:rsidP="008515C4" w:rsidRDefault="008515C4" w14:paraId="57A10DDC" w14:textId="77777777">
      <w:pPr>
        <w:pStyle w:val="Heading3"/>
        <w:rPr>
          <w:rFonts w:asciiTheme="majorHAnsi" w:hAnsiTheme="majorHAnsi" w:cstheme="majorHAnsi"/>
          <w:b/>
          <w:bCs/>
          <w:color w:val="000000" w:themeColor="text1"/>
          <w:sz w:val="24"/>
          <w:szCs w:val="24"/>
          <w:lang w:val="en-US"/>
        </w:rPr>
      </w:pPr>
      <w:proofErr w:type="spellStart"/>
      <w:r>
        <w:rPr>
          <w:rFonts w:ascii="Calibri" w:hAnsi="Calibri" w:cs="Calibri"/>
          <w:b/>
          <w:bCs/>
          <w:color w:val="000000" w:themeColor="text1"/>
          <w:sz w:val="24"/>
          <w:szCs w:val="24"/>
          <w:lang w:val="en-US"/>
        </w:rPr>
        <w:t>FIREFate</w:t>
      </w:r>
      <w:proofErr w:type="spellEnd"/>
      <w:r>
        <w:rPr>
          <w:rFonts w:ascii="Calibri" w:hAnsi="Calibri" w:cs="Calibri"/>
          <w:b/>
          <w:bCs/>
          <w:color w:val="000000" w:themeColor="text1"/>
          <w:sz w:val="24"/>
          <w:szCs w:val="24"/>
          <w:lang w:val="en-US"/>
        </w:rPr>
        <w:t xml:space="preserve"> </w:t>
      </w:r>
      <w:r w:rsidRPr="0094705D">
        <w:rPr>
          <w:rFonts w:asciiTheme="majorHAnsi" w:hAnsiTheme="majorHAnsi" w:cstheme="majorHAnsi"/>
          <w:b/>
          <w:bCs/>
          <w:color w:val="000000" w:themeColor="text1"/>
          <w:sz w:val="24"/>
          <w:szCs w:val="24"/>
          <w:lang w:val="en-US"/>
        </w:rPr>
        <w:t>Predicts T Cell Exhaustion Fate Before Phenotypic Commitment</w:t>
      </w:r>
    </w:p>
    <w:p w:rsidRPr="0094705D" w:rsidR="008515C4" w:rsidP="008515C4" w:rsidRDefault="008515C4" w14:paraId="589D9DDE" w14:textId="4440BBF0">
      <w:pPr>
        <w:jc w:val="both"/>
        <w:rPr>
          <w:rFonts w:ascii="Calibri" w:hAnsi="Calibri" w:eastAsia="Times New Roman" w:cs="Calibri"/>
          <w:color w:val="000000" w:themeColor="text1"/>
          <w:lang w:val="en-US"/>
        </w:rPr>
      </w:pPr>
      <w:r w:rsidRPr="00A472D1">
        <w:rPr>
          <w:rFonts w:ascii="Calibri" w:hAnsi="Calibri" w:eastAsia="Times New Roman" w:cs="Calibri"/>
          <w:color w:val="000000" w:themeColor="text1"/>
          <w:lang w:val="en-US"/>
        </w:rPr>
        <w:t xml:space="preserve">Then, we tested </w:t>
      </w:r>
      <w:proofErr w:type="spellStart"/>
      <w:r w:rsidRPr="00A472D1">
        <w:rPr>
          <w:rFonts w:ascii="Calibri" w:hAnsi="Calibri" w:eastAsia="Times New Roman" w:cs="Calibri"/>
          <w:color w:val="000000" w:themeColor="text1"/>
          <w:lang w:val="en-US"/>
        </w:rPr>
        <w:t>FIREFate</w:t>
      </w:r>
      <w:proofErr w:type="spellEnd"/>
      <w:r w:rsidRPr="00A472D1">
        <w:rPr>
          <w:rFonts w:ascii="Calibri" w:hAnsi="Calibri" w:eastAsia="Times New Roman" w:cs="Calibri"/>
          <w:color w:val="000000" w:themeColor="text1"/>
          <w:lang w:val="en-US"/>
        </w:rPr>
        <w:t xml:space="preserve"> </w:t>
      </w:r>
      <w:r w:rsidRPr="005D505E">
        <w:rPr>
          <w:rFonts w:ascii="Calibri" w:hAnsi="Calibri" w:cs="Calibri"/>
        </w:rPr>
        <w:t>on the T-cell exhaustion system—a fundamentally distinct and clinically consequential setting that represents an even more complex regulatory progression.</w:t>
      </w:r>
      <w:r w:rsidRPr="00A472D1">
        <w:rPr>
          <w:rFonts w:ascii="Calibri" w:hAnsi="Calibri" w:eastAsia="Times New Roman" w:cs="Calibri"/>
          <w:color w:val="000000" w:themeColor="text1"/>
          <w:lang w:val="en-US"/>
        </w:rPr>
        <w:t xml:space="preserve"> Unlike the discrete PB-GC bifurcation, </w:t>
      </w:r>
      <w:r>
        <w:rPr>
          <w:rFonts w:ascii="Calibri" w:hAnsi="Calibri" w:eastAsia="Times New Roman" w:cs="Calibri"/>
          <w:color w:val="000000" w:themeColor="text1"/>
          <w:lang w:val="en-US"/>
        </w:rPr>
        <w:t xml:space="preserve">T cell </w:t>
      </w:r>
      <w:r w:rsidRPr="00A472D1">
        <w:rPr>
          <w:rFonts w:ascii="Calibri" w:hAnsi="Calibri" w:eastAsia="Times New Roman" w:cs="Calibri"/>
          <w:color w:val="000000" w:themeColor="text1"/>
          <w:lang w:val="en-US"/>
        </w:rPr>
        <w:t xml:space="preserve">exhaustion </w:t>
      </w:r>
      <w:r w:rsidRPr="0058732E">
        <w:rPr>
          <w:rFonts w:ascii="Calibri" w:hAnsi="Calibri" w:cs="Calibri"/>
        </w:rPr>
        <w:t>involves</w:t>
      </w:r>
      <w:r>
        <w:rPr>
          <w:rFonts w:ascii="Calibri" w:hAnsi="Calibri" w:cs="Calibri"/>
        </w:rPr>
        <w:t xml:space="preserve"> </w:t>
      </w:r>
      <w:r w:rsidRPr="00A472D1">
        <w:rPr>
          <w:rFonts w:ascii="Calibri" w:hAnsi="Calibri" w:eastAsia="Times New Roman" w:cs="Calibri"/>
          <w:color w:val="000000" w:themeColor="text1"/>
          <w:lang w:val="en-US"/>
        </w:rPr>
        <w:t xml:space="preserve">a continuous </w:t>
      </w:r>
      <w:r w:rsidRPr="0058732E">
        <w:rPr>
          <w:rFonts w:ascii="Calibri" w:hAnsi="Calibri" w:cs="Calibri"/>
        </w:rPr>
        <w:t>transition</w:t>
      </w:r>
      <w:r w:rsidRPr="00A472D1">
        <w:rPr>
          <w:rFonts w:ascii="Calibri" w:hAnsi="Calibri" w:eastAsia="Times New Roman" w:cs="Calibri"/>
          <w:color w:val="000000" w:themeColor="text1"/>
          <w:lang w:val="en-US"/>
        </w:rPr>
        <w:t>from precursor exhausted (</w:t>
      </w:r>
      <w:proofErr w:type="spellStart"/>
      <w:r w:rsidRPr="00A472D1">
        <w:rPr>
          <w:rFonts w:ascii="Calibri" w:hAnsi="Calibri" w:eastAsia="Times New Roman" w:cs="Calibri"/>
          <w:color w:val="000000" w:themeColor="text1"/>
          <w:lang w:val="en-US"/>
        </w:rPr>
        <w:t>Tpex</w:t>
      </w:r>
      <w:proofErr w:type="spellEnd"/>
      <w:r w:rsidRPr="00A472D1">
        <w:rPr>
          <w:rFonts w:ascii="Calibri" w:hAnsi="Calibri" w:eastAsia="Times New Roman" w:cs="Calibri"/>
          <w:color w:val="000000" w:themeColor="text1"/>
          <w:lang w:val="en-US"/>
        </w:rPr>
        <w:t>) to terminally exhausted (Tex) states</w:t>
      </w:r>
      <w:r w:rsidRPr="005D505E">
        <w:rPr>
          <w:rFonts w:ascii="Calibri" w:hAnsi="Calibri" w:cs="Calibri"/>
        </w:rPr>
        <w:t>, without clear-cut switching points or sharply differentiated endpoints</w:t>
      </w:r>
      <w:r w:rsidRPr="00BD6670" w:rsidR="00BD6670">
        <w:rPr>
          <w:rFonts w:ascii="Calibri" w:hAnsi="Calibri" w:cs="Calibri" w:eastAsiaTheme="minorHAnsi"/>
          <w:szCs w:val="24"/>
          <w:vertAlign w:val="superscript"/>
          <w:lang w:val="en-US"/>
          <w14:ligatures w14:val="standardContextual"/>
        </w:rPr>
        <w:t>59</w:t>
      </w:r>
      <w:r>
        <w:rPr>
          <w:rFonts w:ascii="Calibri" w:hAnsi="Calibri" w:cs="Calibri"/>
          <w:vertAlign w:val="superscript"/>
        </w:rPr>
        <w:t>,</w:t>
      </w:r>
      <w:r w:rsidRPr="00BD6670" w:rsidR="00BD6670">
        <w:rPr>
          <w:rFonts w:ascii="Calibri" w:hAnsi="Calibri" w:cs="Calibri" w:eastAsiaTheme="minorHAnsi"/>
          <w:szCs w:val="24"/>
          <w:vertAlign w:val="superscript"/>
          <w:lang w:val="en-US"/>
          <w14:ligatures w14:val="standardContextual"/>
        </w:rPr>
        <w:t>60</w:t>
      </w:r>
      <w:r w:rsidRPr="00A472D1">
        <w:rPr>
          <w:rFonts w:ascii="Calibri" w:hAnsi="Calibri" w:eastAsia="Times New Roman" w:cs="Calibri"/>
          <w:color w:val="000000" w:themeColor="text1"/>
          <w:lang w:val="en-US"/>
        </w:rPr>
        <w:t xml:space="preserve">. This </w:t>
      </w:r>
      <w:r w:rsidRPr="00292662">
        <w:rPr>
          <w:rFonts w:ascii="Calibri" w:hAnsi="Calibri" w:cs="Calibri"/>
        </w:rPr>
        <w:t>gradual progression</w:t>
      </w:r>
      <w:r w:rsidRPr="00A472D1">
        <w:rPr>
          <w:rFonts w:ascii="Calibri" w:hAnsi="Calibri" w:eastAsia="Times New Roman" w:cs="Calibri"/>
          <w:color w:val="000000" w:themeColor="text1"/>
          <w:lang w:val="en-US"/>
        </w:rPr>
        <w:t xml:space="preserve"> determines whether immune responses remain durable or become irreversibly dysfunctional, with direct implications for chronic infection, tumor progression, and immunotherapy efficacy.</w:t>
      </w:r>
      <w:r w:rsidRPr="0094705D">
        <w:rPr>
          <w:rFonts w:ascii="Calibri" w:hAnsi="Calibri" w:eastAsia="Times New Roman" w:cs="Calibri"/>
          <w:color w:val="000000" w:themeColor="text1"/>
          <w:lang w:val="en-US"/>
        </w:rPr>
        <w:t xml:space="preserve"> We leveraged single-cell TF-perturb-seq datasets targeting Ikzf1 and Ets1, where Ets1 knockout accelerates Tex progression while Ikzf1 deletion expands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 populations</w:t>
      </w:r>
      <w:r w:rsidRPr="00BD6670" w:rsidR="00BD6670">
        <w:rPr>
          <w:rFonts w:ascii="Calibri" w:hAnsi="Calibri" w:cs="Calibri" w:eastAsiaTheme="minorHAnsi"/>
          <w:color w:val="000000"/>
          <w:szCs w:val="24"/>
          <w:vertAlign w:val="superscript"/>
          <w:lang w:val="en-US"/>
          <w14:ligatures w14:val="standardContextual"/>
        </w:rPr>
        <w:t>60</w:t>
      </w:r>
      <w:r>
        <w:rPr>
          <w:rFonts w:ascii="Calibri" w:hAnsi="Calibri" w:eastAsia="Times New Roman" w:cs="Calibri"/>
          <w:color w:val="000000" w:themeColor="text1"/>
          <w:lang w:val="en-US"/>
        </w:rPr>
        <w:t xml:space="preserve"> </w:t>
      </w:r>
      <w:r w:rsidRPr="0094705D">
        <w:rPr>
          <w:rFonts w:ascii="Calibri" w:hAnsi="Calibri" w:eastAsia="Times New Roman" w:cs="Calibri"/>
          <w:color w:val="000000" w:themeColor="text1"/>
          <w:lang w:val="en-US"/>
        </w:rPr>
        <w:t xml:space="preserve">to test whether </w:t>
      </w:r>
      <w:proofErr w:type="spellStart"/>
      <w:r>
        <w:rPr>
          <w:rFonts w:ascii="Calibri" w:hAnsi="Calibri" w:eastAsia="Times New Roman" w:cs="Calibri"/>
          <w:color w:val="000000" w:themeColor="text1"/>
          <w:lang w:val="en-US"/>
        </w:rPr>
        <w:t>FIREFate</w:t>
      </w:r>
      <w:proofErr w:type="spellEnd"/>
      <w:r w:rsidRPr="0094705D">
        <w:rPr>
          <w:rFonts w:ascii="Calibri" w:hAnsi="Calibri" w:eastAsia="Times New Roman" w:cs="Calibri"/>
          <w:color w:val="000000" w:themeColor="text1"/>
          <w:lang w:val="en-US"/>
        </w:rPr>
        <w:t xml:space="preserve"> resolves </w:t>
      </w:r>
      <w:r>
        <w:rPr>
          <w:rFonts w:ascii="Calibri" w:hAnsi="Calibri" w:eastAsia="Times New Roman" w:cs="Calibri"/>
          <w:color w:val="000000" w:themeColor="text1"/>
          <w:lang w:val="en-US"/>
        </w:rPr>
        <w:t xml:space="preserve">the dynamic regulatory and </w:t>
      </w:r>
      <w:r w:rsidRPr="0094705D">
        <w:rPr>
          <w:rFonts w:ascii="Calibri" w:hAnsi="Calibri" w:eastAsia="Times New Roman" w:cs="Calibri"/>
          <w:color w:val="000000" w:themeColor="text1"/>
          <w:lang w:val="en-US"/>
        </w:rPr>
        <w:t>fate-predisposing programs in this non-branching context (</w:t>
      </w:r>
      <w:r w:rsidR="00A37C24">
        <w:rPr>
          <w:rFonts w:ascii="Calibri" w:hAnsi="Calibri" w:eastAsia="Times New Roman" w:cs="Calibri"/>
          <w:color w:val="000000" w:themeColor="text1"/>
          <w:lang w:val="en-US"/>
        </w:rPr>
        <w:t xml:space="preserve">Extended </w:t>
      </w:r>
      <w:r w:rsidRPr="0094705D">
        <w:rPr>
          <w:rFonts w:ascii="Calibri" w:hAnsi="Calibri" w:eastAsia="Times New Roman" w:cs="Calibri"/>
          <w:color w:val="000000" w:themeColor="text1"/>
          <w:lang w:val="en-US"/>
        </w:rPr>
        <w:t xml:space="preserve">Fig. </w:t>
      </w:r>
      <w:r w:rsidR="00A37C24">
        <w:rPr>
          <w:rFonts w:ascii="Calibri" w:hAnsi="Calibri" w:eastAsia="Times New Roman" w:cs="Calibri"/>
          <w:color w:val="000000" w:themeColor="text1"/>
          <w:lang w:val="en-US"/>
        </w:rPr>
        <w:t>5</w:t>
      </w:r>
      <w:r w:rsidRPr="0094705D">
        <w:rPr>
          <w:rFonts w:ascii="Calibri" w:hAnsi="Calibri" w:eastAsia="Times New Roman" w:cs="Calibri"/>
          <w:color w:val="000000" w:themeColor="text1"/>
          <w:lang w:val="en-US"/>
        </w:rPr>
        <w:t>A).</w:t>
      </w:r>
    </w:p>
    <w:p w:rsidRPr="0094705D" w:rsidR="008515C4" w:rsidP="008515C4" w:rsidRDefault="008515C4" w14:paraId="31BE2B89" w14:textId="77777777">
      <w:pPr>
        <w:jc w:val="both"/>
        <w:rPr>
          <w:rFonts w:ascii="Calibri" w:hAnsi="Calibri" w:eastAsia="Times New Roman" w:cs="Calibri"/>
          <w:color w:val="000000" w:themeColor="text1"/>
          <w:lang w:val="en-US"/>
        </w:rPr>
      </w:pPr>
    </w:p>
    <w:p w:rsidRPr="0094705D" w:rsidR="008515C4" w:rsidP="008515C4" w:rsidRDefault="008515C4" w14:paraId="6798F119" w14:textId="77777777">
      <w:pPr>
        <w:jc w:val="both"/>
        <w:rPr>
          <w:rFonts w:ascii="Calibri" w:hAnsi="Calibri" w:eastAsia="Times New Roman" w:cs="Calibri"/>
          <w:color w:val="000000" w:themeColor="text1"/>
          <w:lang w:val="en-US"/>
        </w:rPr>
      </w:pPr>
      <w:r>
        <w:rPr>
          <w:rFonts w:ascii="Calibri" w:hAnsi="Calibri" w:eastAsia="Times New Roman" w:cs="Calibri"/>
          <w:color w:val="000000" w:themeColor="text1"/>
          <w:lang w:val="en-US"/>
        </w:rPr>
        <w:t xml:space="preserve">We first trained </w:t>
      </w:r>
      <w:r w:rsidRPr="0094705D">
        <w:rPr>
          <w:rFonts w:ascii="Calibri" w:hAnsi="Calibri" w:eastAsia="Times New Roman" w:cs="Calibri"/>
          <w:color w:val="000000" w:themeColor="text1"/>
          <w:lang w:val="en-US"/>
        </w:rPr>
        <w:t xml:space="preserve">conventional Lasso- and DEG-based </w:t>
      </w:r>
      <w:r>
        <w:rPr>
          <w:rFonts w:ascii="Calibri" w:hAnsi="Calibri" w:eastAsia="Times New Roman" w:cs="Calibri"/>
          <w:color w:val="000000" w:themeColor="text1"/>
          <w:lang w:val="en-US"/>
        </w:rPr>
        <w:t xml:space="preserve">models on </w:t>
      </w:r>
      <w:r w:rsidRPr="0094705D">
        <w:rPr>
          <w:rFonts w:ascii="Calibri" w:hAnsi="Calibri" w:eastAsia="Times New Roman" w:cs="Calibri"/>
          <w:color w:val="000000" w:themeColor="text1"/>
          <w:lang w:val="en-US"/>
        </w:rPr>
        <w:t xml:space="preserve">perturbed cells </w:t>
      </w:r>
      <w:r>
        <w:rPr>
          <w:rFonts w:ascii="Calibri" w:hAnsi="Calibri" w:eastAsia="Times New Roman" w:cs="Calibri"/>
          <w:color w:val="000000" w:themeColor="text1"/>
          <w:lang w:val="en-US"/>
        </w:rPr>
        <w:t xml:space="preserve">vs. unperturbed control cells </w:t>
      </w:r>
      <w:r w:rsidRPr="0094705D">
        <w:rPr>
          <w:rFonts w:ascii="Calibri" w:hAnsi="Calibri" w:eastAsia="Times New Roman" w:cs="Calibri"/>
          <w:color w:val="000000" w:themeColor="text1"/>
          <w:lang w:val="en-US"/>
        </w:rPr>
        <w:t>(I</w:t>
      </w:r>
      <w:r>
        <w:rPr>
          <w:rFonts w:ascii="Calibri" w:hAnsi="Calibri" w:eastAsia="Times New Roman" w:cs="Calibri"/>
          <w:color w:val="000000" w:themeColor="text1"/>
          <w:lang w:val="en-US"/>
        </w:rPr>
        <w:t>kzf1</w:t>
      </w:r>
      <w:r w:rsidRPr="0094705D">
        <w:rPr>
          <w:rFonts w:ascii="Calibri" w:hAnsi="Calibri" w:eastAsia="Times New Roman" w:cs="Calibri"/>
          <w:color w:val="000000" w:themeColor="text1"/>
          <w:lang w:val="en-US"/>
        </w:rPr>
        <w:t>-KO; Fig. 6A, left)</w:t>
      </w:r>
      <w:r>
        <w:rPr>
          <w:rFonts w:ascii="Calibri" w:hAnsi="Calibri" w:eastAsia="Times New Roman" w:cs="Calibri"/>
          <w:color w:val="000000" w:themeColor="text1"/>
          <w:lang w:val="en-US"/>
        </w:rPr>
        <w:t>. Then the mo</w:t>
      </w:r>
      <w:r w:rsidRPr="0094705D">
        <w:rPr>
          <w:rFonts w:ascii="Calibri" w:hAnsi="Calibri" w:eastAsia="Times New Roman" w:cs="Calibri"/>
          <w:color w:val="000000" w:themeColor="text1"/>
          <w:lang w:val="en-US"/>
        </w:rPr>
        <w:t>dels are</w:t>
      </w:r>
      <w:r>
        <w:rPr>
          <w:rFonts w:ascii="Calibri" w:hAnsi="Calibri" w:eastAsia="Times New Roman" w:cs="Calibri"/>
          <w:color w:val="000000" w:themeColor="text1"/>
          <w:lang w:val="en-US"/>
        </w:rPr>
        <w:t xml:space="preserve"> transferr</w:t>
      </w:r>
      <w:r w:rsidRPr="0094705D">
        <w:rPr>
          <w:rFonts w:ascii="Calibri" w:hAnsi="Calibri" w:eastAsia="Times New Roman" w:cs="Calibri"/>
          <w:color w:val="000000" w:themeColor="text1"/>
          <w:lang w:val="en-US"/>
        </w:rPr>
        <w:t xml:space="preserve">ed </w:t>
      </w:r>
      <w:r>
        <w:rPr>
          <w:rFonts w:ascii="Calibri" w:hAnsi="Calibri" w:eastAsia="Times New Roman" w:cs="Calibri"/>
          <w:color w:val="000000" w:themeColor="text1"/>
          <w:lang w:val="en-US"/>
        </w:rPr>
        <w:t>in</w:t>
      </w:r>
      <w:r w:rsidRPr="0094705D">
        <w:rPr>
          <w:rFonts w:ascii="Calibri" w:hAnsi="Calibri" w:eastAsia="Times New Roman" w:cs="Calibri"/>
          <w:color w:val="000000" w:themeColor="text1"/>
          <w:lang w:val="en-US"/>
        </w:rPr>
        <w:t xml:space="preserve">to </w:t>
      </w:r>
      <w:r>
        <w:rPr>
          <w:rFonts w:ascii="Calibri" w:hAnsi="Calibri" w:eastAsia="Times New Roman" w:cs="Calibri"/>
          <w:color w:val="000000" w:themeColor="text1"/>
          <w:lang w:val="en-US"/>
        </w:rPr>
        <w:t xml:space="preserve">unseen </w:t>
      </w:r>
      <w:r w:rsidRPr="0094705D">
        <w:rPr>
          <w:rFonts w:ascii="Calibri" w:hAnsi="Calibri" w:eastAsia="Times New Roman" w:cs="Calibri"/>
          <w:color w:val="000000" w:themeColor="text1"/>
          <w:lang w:val="en-US"/>
        </w:rPr>
        <w:t xml:space="preserve">unperturbed wild-type cells to predict latent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or Tex-biased states</w:t>
      </w:r>
      <w:r>
        <w:rPr>
          <w:rFonts w:ascii="Calibri" w:hAnsi="Calibri" w:eastAsia="Times New Roman" w:cs="Calibri"/>
          <w:color w:val="000000" w:themeColor="text1"/>
          <w:lang w:val="en-US"/>
        </w:rPr>
        <w:t xml:space="preserve"> </w:t>
      </w:r>
      <w:r w:rsidRPr="0094705D">
        <w:rPr>
          <w:rFonts w:ascii="Calibri" w:hAnsi="Calibri" w:eastAsia="Times New Roman" w:cs="Calibri"/>
          <w:color w:val="000000" w:themeColor="text1"/>
          <w:lang w:val="en-US"/>
        </w:rPr>
        <w:t xml:space="preserve">(Fig. 6A, middle). Predictions are validated using </w:t>
      </w:r>
      <w:r>
        <w:rPr>
          <w:rFonts w:ascii="Calibri" w:hAnsi="Calibri" w:eastAsia="Times New Roman" w:cs="Calibri"/>
          <w:color w:val="000000" w:themeColor="text1"/>
          <w:lang w:val="en-US"/>
        </w:rPr>
        <w:t>Cliff’s delta (</w:t>
      </w:r>
      <w:r w:rsidRPr="0094705D">
        <w:rPr>
          <w:rFonts w:ascii="Calibri" w:hAnsi="Calibri" w:eastAsia="Times New Roman" w:cs="Calibri"/>
          <w:color w:val="000000" w:themeColor="text1"/>
          <w:lang w:val="en-US"/>
        </w:rPr>
        <w:t>CD</w:t>
      </w:r>
      <w:r>
        <w:rPr>
          <w:rFonts w:ascii="Calibri" w:hAnsi="Calibri" w:eastAsia="Times New Roman" w:cs="Calibri"/>
          <w:color w:val="000000" w:themeColor="text1"/>
          <w:lang w:val="en-US"/>
        </w:rPr>
        <w:t>)</w:t>
      </w:r>
      <w:r w:rsidRPr="0094705D">
        <w:rPr>
          <w:rFonts w:ascii="Calibri" w:hAnsi="Calibri" w:eastAsia="Times New Roman" w:cs="Calibri"/>
          <w:color w:val="000000" w:themeColor="text1"/>
          <w:lang w:val="en-US"/>
        </w:rPr>
        <w:t xml:space="preserve">, defined as the single-cell difference between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 and Tex gene set enrichment scores (Fig. 6A, right). Cells predicted as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-predisposed should exhibit significantly positive CD values, reflecting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 program enrichment, whereas E</w:t>
      </w:r>
      <w:r>
        <w:rPr>
          <w:rFonts w:ascii="Calibri" w:hAnsi="Calibri" w:eastAsia="Times New Roman" w:cs="Calibri"/>
          <w:color w:val="000000" w:themeColor="text1"/>
          <w:lang w:val="en-US"/>
        </w:rPr>
        <w:t>ts</w:t>
      </w:r>
      <w:r w:rsidRPr="0094705D">
        <w:rPr>
          <w:rFonts w:ascii="Calibri" w:hAnsi="Calibri" w:eastAsia="Times New Roman" w:cs="Calibri"/>
          <w:color w:val="000000" w:themeColor="text1"/>
          <w:lang w:val="en-US"/>
        </w:rPr>
        <w:t>1-KO-derived predictions should yield strongly negative CD values consistent with terminal exhaustion</w:t>
      </w:r>
      <w:r>
        <w:rPr>
          <w:rFonts w:ascii="Calibri" w:hAnsi="Calibri" w:eastAsia="Times New Roman" w:cs="Calibri"/>
          <w:color w:val="000000" w:themeColor="text1"/>
          <w:lang w:val="en-US"/>
        </w:rPr>
        <w:t xml:space="preserve">. </w:t>
      </w:r>
      <w:r w:rsidRPr="0094705D">
        <w:rPr>
          <w:rFonts w:ascii="Calibri" w:hAnsi="Calibri" w:eastAsia="Times New Roman" w:cs="Calibri"/>
          <w:color w:val="000000" w:themeColor="text1"/>
          <w:lang w:val="en-US"/>
        </w:rPr>
        <w:t>Cells classified as non-predisposed should show intermediate yet directionally consistent CD values, reflecting incomplete commitment. By anchoring predictions to an independent, quantitative readout of lineage bias, CD enables direct comparison of how effectively each method exposes latent fate potential before phenotypic fixation.</w:t>
      </w:r>
    </w:p>
    <w:p w:rsidRPr="0094705D" w:rsidR="008515C4" w:rsidP="008515C4" w:rsidRDefault="008515C4" w14:paraId="71662D1D" w14:textId="77777777">
      <w:pPr>
        <w:jc w:val="both"/>
        <w:rPr>
          <w:rFonts w:ascii="Calibri" w:hAnsi="Calibri" w:eastAsia="Times New Roman" w:cs="Calibri"/>
          <w:color w:val="000000" w:themeColor="text1"/>
          <w:lang w:val="en-US"/>
        </w:rPr>
      </w:pPr>
    </w:p>
    <w:p w:rsidRPr="0094705D" w:rsidR="008515C4" w:rsidP="008515C4" w:rsidRDefault="008515C4" w14:paraId="77DD93FD" w14:textId="38ABCBB0">
      <w:pPr>
        <w:jc w:val="both"/>
        <w:rPr>
          <w:rFonts w:ascii="Calibri" w:hAnsi="Calibri" w:eastAsia="Times New Roman" w:cs="Calibri"/>
          <w:color w:val="000000" w:themeColor="text1"/>
          <w:lang w:val="en-US"/>
        </w:rPr>
      </w:pPr>
      <w:r w:rsidRPr="0094705D">
        <w:rPr>
          <w:rFonts w:ascii="Calibri" w:hAnsi="Calibri" w:eastAsia="Times New Roman" w:cs="Calibri"/>
          <w:color w:val="000000" w:themeColor="text1"/>
          <w:lang w:val="en-US"/>
        </w:rPr>
        <w:t xml:space="preserve">Baseline gene-centric methods failed to resolve latent fate predisposition despite strong performance on perturbation classification. Lasso logistic regression models trained on either all features or DEGs robustly discriminated knockout from control cells (AUC ≈ 0.93 and 0.85–0.88, respectively). However, when projected onto unseen unperturbed wild-type cells, predicted "knockout-like" subsets showed only </w:t>
      </w:r>
      <w:r>
        <w:rPr>
          <w:rFonts w:ascii="Calibri" w:hAnsi="Calibri" w:eastAsia="Times New Roman" w:cs="Calibri"/>
          <w:color w:val="000000" w:themeColor="text1"/>
          <w:lang w:val="en-US"/>
        </w:rPr>
        <w:t>limited</w:t>
      </w:r>
      <w:r w:rsidRPr="0094705D">
        <w:rPr>
          <w:rFonts w:ascii="Calibri" w:hAnsi="Calibri" w:eastAsia="Times New Roman" w:cs="Calibri"/>
          <w:color w:val="000000" w:themeColor="text1"/>
          <w:lang w:val="en-US"/>
        </w:rPr>
        <w:t xml:space="preserve"> enrichment for canonical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 (Tcf7, Slamf6, </w:t>
      </w:r>
      <w:proofErr w:type="spellStart"/>
      <w:r w:rsidRPr="0094705D">
        <w:rPr>
          <w:rFonts w:ascii="Calibri" w:hAnsi="Calibri" w:eastAsia="Times New Roman" w:cs="Calibri"/>
          <w:color w:val="000000" w:themeColor="text1"/>
          <w:lang w:val="en-US"/>
        </w:rPr>
        <w:t>Myb</w:t>
      </w:r>
      <w:proofErr w:type="spellEnd"/>
      <w:r w:rsidRPr="0094705D">
        <w:rPr>
          <w:rFonts w:ascii="Calibri" w:hAnsi="Calibri" w:eastAsia="Times New Roman" w:cs="Calibri"/>
          <w:color w:val="000000" w:themeColor="text1"/>
          <w:lang w:val="en-US"/>
        </w:rPr>
        <w:t xml:space="preserve">, Sell, Bach2) or Tex (Havcr2, Pdcd1, Entpd1, Cd38, Cd244a, Cxcr6, </w:t>
      </w:r>
      <w:proofErr w:type="spellStart"/>
      <w:r w:rsidRPr="0094705D">
        <w:rPr>
          <w:rFonts w:ascii="Calibri" w:hAnsi="Calibri" w:eastAsia="Times New Roman" w:cs="Calibri"/>
          <w:color w:val="000000" w:themeColor="text1"/>
          <w:lang w:val="en-US"/>
        </w:rPr>
        <w:t>Ifng</w:t>
      </w:r>
      <w:proofErr w:type="spellEnd"/>
      <w:r w:rsidRPr="0094705D">
        <w:rPr>
          <w:rFonts w:ascii="Calibri" w:hAnsi="Calibri" w:eastAsia="Times New Roman" w:cs="Calibri"/>
          <w:color w:val="000000" w:themeColor="text1"/>
          <w:lang w:val="en-US"/>
        </w:rPr>
        <w:t>)</w:t>
      </w:r>
      <w:r w:rsidRPr="00BD6670" w:rsidR="00BD6670">
        <w:rPr>
          <w:rFonts w:ascii="Calibri" w:hAnsi="Calibri" w:cs="Calibri" w:eastAsiaTheme="minorHAnsi"/>
          <w:color w:val="000000"/>
          <w:szCs w:val="24"/>
          <w:vertAlign w:val="superscript"/>
          <w:lang w:val="en-US"/>
          <w14:ligatures w14:val="standardContextual"/>
        </w:rPr>
        <w:t>59</w:t>
      </w:r>
      <w:r w:rsidRPr="0094705D">
        <w:rPr>
          <w:rFonts w:ascii="Calibri" w:hAnsi="Calibri" w:eastAsia="Times New Roman" w:cs="Calibri"/>
          <w:color w:val="000000" w:themeColor="text1"/>
          <w:lang w:val="en-US"/>
        </w:rPr>
        <w:t xml:space="preserve"> programs relative to undefined cells (Fig. 6B–C, Extended Fig. 5A–B). This failure was most pronounced for Ets1-KO, where Lasso- and DEG-based approaches systematically misclassified Tex-biased cells as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-biased, despite ETS1 loss being known to accelerate terminal exhaustion. In contrast, </w:t>
      </w:r>
      <w:proofErr w:type="spellStart"/>
      <w:r>
        <w:rPr>
          <w:rFonts w:ascii="Calibri" w:hAnsi="Calibri" w:eastAsia="Times New Roman" w:cs="Calibri"/>
          <w:color w:val="000000" w:themeColor="text1"/>
          <w:lang w:val="en-US"/>
        </w:rPr>
        <w:t>FIREFate</w:t>
      </w:r>
      <w:proofErr w:type="spellEnd"/>
      <w:r w:rsidRPr="0094705D">
        <w:rPr>
          <w:rFonts w:ascii="Calibri" w:hAnsi="Calibri" w:eastAsia="Times New Roman" w:cs="Calibri"/>
          <w:color w:val="000000" w:themeColor="text1"/>
          <w:lang w:val="en-US"/>
        </w:rPr>
        <w:t xml:space="preserve"> avoided such biologically inconsistent mis</w:t>
      </w:r>
      <w:r>
        <w:rPr>
          <w:rFonts w:ascii="Calibri" w:hAnsi="Calibri" w:eastAsia="Times New Roman" w:cs="Calibri"/>
          <w:color w:val="000000" w:themeColor="text1"/>
          <w:lang w:val="en-US"/>
        </w:rPr>
        <w:t>-</w:t>
      </w:r>
      <w:r w:rsidRPr="0094705D">
        <w:rPr>
          <w:rFonts w:ascii="Calibri" w:hAnsi="Calibri" w:eastAsia="Times New Roman" w:cs="Calibri"/>
          <w:color w:val="000000" w:themeColor="text1"/>
          <w:lang w:val="en-US"/>
        </w:rPr>
        <w:t>annotation: even when predictions were ambiguous, regulatory programs did not invert lineage directionality, underscoring that expression-level signals alone are insufficient to capture early exhaustion bias, whereas regulatory dynamics retain discriminative information even under limited training data.</w:t>
      </w:r>
    </w:p>
    <w:p w:rsidRPr="0094705D" w:rsidR="008515C4" w:rsidP="008515C4" w:rsidRDefault="008515C4" w14:paraId="0A8344D4" w14:textId="77777777">
      <w:pPr>
        <w:jc w:val="both"/>
        <w:rPr>
          <w:rFonts w:ascii="Calibri" w:hAnsi="Calibri" w:eastAsia="Times New Roman" w:cs="Calibri"/>
          <w:color w:val="000000" w:themeColor="text1"/>
          <w:lang w:val="en-US"/>
        </w:rPr>
      </w:pPr>
    </w:p>
    <w:p w:rsidRPr="0094705D" w:rsidR="008515C4" w:rsidP="008515C4" w:rsidRDefault="008515C4" w14:paraId="68F42C7D" w14:textId="4902250B">
      <w:pPr>
        <w:jc w:val="both"/>
        <w:rPr>
          <w:rFonts w:ascii="Calibri" w:hAnsi="Calibri" w:eastAsia="Times New Roman" w:cs="Calibri"/>
          <w:color w:val="000000" w:themeColor="text1"/>
          <w:lang w:val="en-US"/>
        </w:rPr>
      </w:pPr>
      <w:r>
        <w:rPr>
          <w:rFonts w:ascii="Calibri" w:hAnsi="Calibri" w:eastAsia="Times New Roman" w:cs="Calibri"/>
          <w:color w:val="000000" w:themeColor="text1"/>
          <w:lang w:val="en-US"/>
        </w:rPr>
        <w:t>We first</w:t>
      </w:r>
      <w:r w:rsidRPr="0094705D">
        <w:rPr>
          <w:rFonts w:ascii="Calibri" w:hAnsi="Calibri" w:eastAsia="Times New Roman" w:cs="Calibri"/>
          <w:color w:val="000000" w:themeColor="text1"/>
          <w:lang w:val="en-US"/>
        </w:rPr>
        <w:t xml:space="preserve"> extracted coherent, fate-informative regulatory modules that significantly distinguished knockout from control cells (AUC = 0.82 for Ikzf1-KO and 0.74 for Ets1-KO; Extended Fig. 5C). These modules mapped to biologically interpretable programs, including T-cell activation, cytotoxic regulation, and survival control in Ikzf1-</w:t>
      </w:r>
      <w:proofErr w:type="gramStart"/>
      <w:r w:rsidRPr="0094705D">
        <w:rPr>
          <w:rFonts w:ascii="Calibri" w:hAnsi="Calibri" w:eastAsia="Times New Roman" w:cs="Calibri"/>
          <w:color w:val="000000" w:themeColor="text1"/>
          <w:lang w:val="en-US"/>
        </w:rPr>
        <w:t>KO</w:t>
      </w:r>
      <w:r w:rsidR="00EA0964">
        <w:rPr>
          <w:rFonts w:ascii="Calibri" w:hAnsi="Calibri" w:eastAsia="Times New Roman" w:cs="Calibri"/>
          <w:color w:val="000000" w:themeColor="text1"/>
          <w:lang w:val="en-US"/>
        </w:rPr>
        <w:t>(</w:t>
      </w:r>
      <w:proofErr w:type="gramEnd"/>
      <w:r w:rsidR="00EA0964">
        <w:rPr>
          <w:rFonts w:ascii="Calibri" w:hAnsi="Calibri" w:eastAsia="Times New Roman" w:cs="Calibri"/>
          <w:color w:val="000000" w:themeColor="text1"/>
          <w:lang w:val="en-US"/>
        </w:rPr>
        <w:t xml:space="preserve">Extended </w:t>
      </w:r>
      <w:r w:rsidRPr="0094705D" w:rsidR="00EA0964">
        <w:rPr>
          <w:rFonts w:ascii="Calibri" w:hAnsi="Calibri" w:eastAsia="Times New Roman" w:cs="Calibri"/>
          <w:color w:val="000000" w:themeColor="text1"/>
          <w:lang w:val="en-US"/>
        </w:rPr>
        <w:t xml:space="preserve">Fig. </w:t>
      </w:r>
      <w:r w:rsidR="00EA0964">
        <w:rPr>
          <w:rFonts w:ascii="Calibri" w:hAnsi="Calibri" w:eastAsia="Times New Roman" w:cs="Calibri"/>
          <w:color w:val="000000" w:themeColor="text1"/>
          <w:lang w:val="en-US"/>
        </w:rPr>
        <w:t>5</w:t>
      </w:r>
      <w:r w:rsidR="00EA0964">
        <w:rPr>
          <w:rFonts w:ascii="Calibri" w:hAnsi="Calibri" w:eastAsia="Times New Roman" w:cs="Calibri"/>
          <w:color w:val="000000" w:themeColor="text1"/>
          <w:lang w:val="en-US"/>
        </w:rPr>
        <w:t>B)</w:t>
      </w:r>
      <w:r w:rsidRPr="0094705D">
        <w:rPr>
          <w:rFonts w:ascii="Calibri" w:hAnsi="Calibri" w:eastAsia="Times New Roman" w:cs="Calibri"/>
          <w:color w:val="000000" w:themeColor="text1"/>
          <w:lang w:val="en-US"/>
        </w:rPr>
        <w:t>, and metabolic regulation coupled with immune checkpoint signaling in Ets1-KO (Extended Fig. 5</w:t>
      </w:r>
      <w:r w:rsidR="00AC0967">
        <w:rPr>
          <w:rFonts w:ascii="Calibri" w:hAnsi="Calibri" w:eastAsia="Times New Roman" w:cs="Calibri"/>
          <w:color w:val="000000" w:themeColor="text1"/>
          <w:lang w:val="en-US"/>
        </w:rPr>
        <w:t>A</w:t>
      </w:r>
      <w:r w:rsidRPr="0094705D">
        <w:rPr>
          <w:rFonts w:ascii="Calibri" w:hAnsi="Calibri" w:eastAsia="Times New Roman" w:cs="Calibri"/>
          <w:color w:val="000000" w:themeColor="text1"/>
          <w:lang w:val="en-US"/>
        </w:rPr>
        <w:t>). The inferred programs encompassed coordinated sets of NK receptor family genes (Klrc2, Klrc1, Klrk1, Klre1, Klrd1)</w:t>
      </w:r>
      <w:r w:rsidRPr="00BD6670" w:rsidR="00BD6670">
        <w:rPr>
          <w:rFonts w:ascii="Calibri" w:hAnsi="Calibri" w:cs="Calibri" w:eastAsiaTheme="minorHAnsi"/>
          <w:color w:val="000000"/>
          <w:szCs w:val="24"/>
          <w:vertAlign w:val="superscript"/>
          <w:lang w:val="en-US"/>
          <w14:ligatures w14:val="standardContextual"/>
        </w:rPr>
        <w:t>61</w:t>
      </w:r>
      <w:r w:rsidRPr="0094705D">
        <w:rPr>
          <w:rFonts w:ascii="Calibri" w:hAnsi="Calibri" w:eastAsia="Times New Roman" w:cs="Calibri"/>
          <w:color w:val="000000" w:themeColor="text1"/>
          <w:lang w:val="en-US"/>
        </w:rPr>
        <w:t>, transcriptional regulators of effector and exhaustion fate (Bhlhe40</w:t>
      </w:r>
      <w:r w:rsidRPr="00BD6670" w:rsidR="00BD6670">
        <w:rPr>
          <w:rFonts w:ascii="Calibri" w:hAnsi="Calibri" w:cs="Calibri" w:eastAsiaTheme="minorHAnsi"/>
          <w:color w:val="000000"/>
          <w:szCs w:val="24"/>
          <w:vertAlign w:val="superscript"/>
          <w:lang w:val="en-US"/>
          <w14:ligatures w14:val="standardContextual"/>
        </w:rPr>
        <w:t>62</w:t>
      </w:r>
      <w:r w:rsidRPr="0094705D">
        <w:rPr>
          <w:rFonts w:ascii="Calibri" w:hAnsi="Calibri" w:eastAsia="Times New Roman" w:cs="Calibri"/>
          <w:color w:val="000000" w:themeColor="text1"/>
          <w:lang w:val="en-US"/>
        </w:rPr>
        <w:t>, Nfil3</w:t>
      </w:r>
      <w:r w:rsidRPr="00BD6670" w:rsidR="00BD6670">
        <w:rPr>
          <w:rFonts w:ascii="Calibri" w:hAnsi="Calibri" w:cs="Calibri" w:eastAsiaTheme="minorHAnsi"/>
          <w:color w:val="000000"/>
          <w:szCs w:val="24"/>
          <w:vertAlign w:val="superscript"/>
          <w:lang w:val="en-US"/>
          <w14:ligatures w14:val="standardContextual"/>
        </w:rPr>
        <w:t>63</w:t>
      </w:r>
      <w:r w:rsidRPr="0094705D">
        <w:rPr>
          <w:rFonts w:ascii="Calibri" w:hAnsi="Calibri" w:eastAsia="Times New Roman" w:cs="Calibri"/>
          <w:color w:val="000000" w:themeColor="text1"/>
          <w:lang w:val="en-US"/>
        </w:rPr>
        <w:t>, Ikzf2</w:t>
      </w:r>
      <w:r w:rsidRPr="00BD6670" w:rsidR="00BD6670">
        <w:rPr>
          <w:rFonts w:ascii="Calibri" w:hAnsi="Calibri" w:cs="Calibri" w:eastAsiaTheme="minorHAnsi"/>
          <w:color w:val="000000"/>
          <w:szCs w:val="24"/>
          <w:vertAlign w:val="superscript"/>
          <w:lang w:val="en-US"/>
          <w14:ligatures w14:val="standardContextual"/>
        </w:rPr>
        <w:t>64</w:t>
      </w:r>
      <w:r w:rsidRPr="0094705D">
        <w:rPr>
          <w:rFonts w:ascii="Calibri" w:hAnsi="Calibri" w:eastAsia="Times New Roman" w:cs="Calibri"/>
          <w:color w:val="000000" w:themeColor="text1"/>
          <w:lang w:val="en-US"/>
        </w:rPr>
        <w:t>), and immune checkpoint components (Pdcd1</w:t>
      </w:r>
      <w:r w:rsidRPr="00BD6670" w:rsidR="00BD6670">
        <w:rPr>
          <w:rFonts w:ascii="Calibri" w:hAnsi="Calibri" w:cs="Calibri" w:eastAsiaTheme="minorHAnsi"/>
          <w:color w:val="000000"/>
          <w:szCs w:val="24"/>
          <w:vertAlign w:val="superscript"/>
          <w:lang w:val="en-US"/>
          <w14:ligatures w14:val="standardContextual"/>
        </w:rPr>
        <w:t>65</w:t>
      </w:r>
      <w:r w:rsidRPr="0094705D">
        <w:rPr>
          <w:rFonts w:ascii="Calibri" w:hAnsi="Calibri" w:eastAsia="Times New Roman" w:cs="Calibri"/>
          <w:color w:val="000000" w:themeColor="text1"/>
          <w:lang w:val="en-US"/>
        </w:rPr>
        <w:t>, Havcr2</w:t>
      </w:r>
      <w:r w:rsidRPr="00BD6670" w:rsidR="00BD6670">
        <w:rPr>
          <w:rFonts w:ascii="Calibri" w:hAnsi="Calibri" w:cs="Calibri" w:eastAsiaTheme="minorHAnsi"/>
          <w:color w:val="000000"/>
          <w:szCs w:val="24"/>
          <w:vertAlign w:val="superscript"/>
          <w:lang w:val="en-US"/>
          <w14:ligatures w14:val="standardContextual"/>
        </w:rPr>
        <w:t>66</w:t>
      </w:r>
      <w:r w:rsidRPr="0094705D">
        <w:rPr>
          <w:rFonts w:ascii="Calibri" w:hAnsi="Calibri" w:eastAsia="Times New Roman" w:cs="Calibri"/>
          <w:color w:val="000000" w:themeColor="text1"/>
          <w:lang w:val="en-US"/>
        </w:rPr>
        <w:t>), capturing structured, modular regulatory logic underlying T-cell exhaustion that is systematically missed by DEG- and classifier-based approaches.</w:t>
      </w:r>
    </w:p>
    <w:p w:rsidRPr="0094705D" w:rsidR="008515C4" w:rsidP="008515C4" w:rsidRDefault="008515C4" w14:paraId="7A5BAF71" w14:textId="77777777">
      <w:pPr>
        <w:jc w:val="both"/>
        <w:rPr>
          <w:rFonts w:ascii="Calibri" w:hAnsi="Calibri" w:eastAsia="Times New Roman" w:cs="Calibri"/>
          <w:color w:val="000000" w:themeColor="text1"/>
          <w:lang w:val="en-US"/>
        </w:rPr>
      </w:pPr>
    </w:p>
    <w:p w:rsidRPr="0094705D" w:rsidR="008515C4" w:rsidP="008515C4" w:rsidRDefault="008515C4" w14:paraId="2A6681CE" w14:textId="6DCFA806">
      <w:pPr>
        <w:jc w:val="both"/>
        <w:rPr>
          <w:rFonts w:ascii="Calibri" w:hAnsi="Calibri" w:eastAsia="Times New Roman" w:cs="Calibri"/>
          <w:color w:val="000000" w:themeColor="text1"/>
          <w:lang w:val="en-US"/>
        </w:rPr>
      </w:pPr>
      <w:r w:rsidRPr="0094705D">
        <w:rPr>
          <w:rFonts w:ascii="Calibri" w:hAnsi="Calibri" w:eastAsia="Times New Roman" w:cs="Calibri"/>
          <w:color w:val="000000" w:themeColor="text1"/>
          <w:lang w:val="en-US"/>
        </w:rPr>
        <w:t>Projecting derived regulatory programs onto unseen unperturbed cells identified distinct subsets whose transcriptional states closely resembled perturbed cells, revealing latent lineage predisposition (</w:t>
      </w:r>
      <w:r w:rsidR="00D41CA5">
        <w:rPr>
          <w:rFonts w:ascii="Calibri" w:hAnsi="Calibri" w:eastAsia="Times New Roman" w:cs="Calibri"/>
          <w:color w:val="000000" w:themeColor="text1"/>
          <w:lang w:val="en-US"/>
        </w:rPr>
        <w:t xml:space="preserve">Extended </w:t>
      </w:r>
      <w:r w:rsidRPr="0094705D" w:rsidR="00D41CA5">
        <w:rPr>
          <w:rFonts w:ascii="Calibri" w:hAnsi="Calibri" w:eastAsia="Times New Roman" w:cs="Calibri"/>
          <w:color w:val="000000" w:themeColor="text1"/>
          <w:lang w:val="en-US"/>
        </w:rPr>
        <w:t xml:space="preserve">Fig. </w:t>
      </w:r>
      <w:r w:rsidR="00D41CA5">
        <w:rPr>
          <w:rFonts w:ascii="Calibri" w:hAnsi="Calibri" w:eastAsia="Times New Roman" w:cs="Calibri"/>
          <w:color w:val="000000" w:themeColor="text1"/>
          <w:lang w:val="en-US"/>
        </w:rPr>
        <w:t>5</w:t>
      </w:r>
      <w:r w:rsidR="00D41CA5">
        <w:rPr>
          <w:rFonts w:ascii="Calibri" w:hAnsi="Calibri" w:eastAsia="Times New Roman" w:cs="Calibri"/>
          <w:color w:val="000000" w:themeColor="text1"/>
          <w:lang w:val="en-US"/>
        </w:rPr>
        <w:t>D</w:t>
      </w:r>
      <w:r w:rsidRPr="0094705D">
        <w:rPr>
          <w:rFonts w:ascii="Calibri" w:hAnsi="Calibri" w:eastAsia="Times New Roman" w:cs="Calibri"/>
          <w:color w:val="000000" w:themeColor="text1"/>
          <w:lang w:val="en-US"/>
        </w:rPr>
        <w:t xml:space="preserve">, top; Extended Fig. 5E, top). In the Ikzf1-KO context, predisposed cells displayed robust enrichment of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-associated markers relative to undefined cells (Fig. 6F, left; CD = 0.99). The more modest shift in the Ets1-KO setting was consistent with limited Tex abundance in unperturbed controls (Extended Fig. 5F, left; CD = 0.05). Despite population imbalance, </w:t>
      </w:r>
      <w:proofErr w:type="spellStart"/>
      <w:r>
        <w:rPr>
          <w:rFonts w:ascii="Calibri" w:hAnsi="Calibri" w:eastAsia="Times New Roman" w:cs="Calibri"/>
          <w:color w:val="000000" w:themeColor="text1"/>
          <w:lang w:val="en-US"/>
        </w:rPr>
        <w:t>FIREFate</w:t>
      </w:r>
      <w:proofErr w:type="spellEnd"/>
      <w:r w:rsidRPr="0094705D">
        <w:rPr>
          <w:rFonts w:ascii="Calibri" w:hAnsi="Calibri" w:eastAsia="Times New Roman" w:cs="Calibri"/>
          <w:color w:val="000000" w:themeColor="text1"/>
          <w:lang w:val="en-US"/>
        </w:rPr>
        <w:t xml:space="preserve"> consistently uncovered cryptic transcriptional biases toward either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 or Tex lineages, yielding substantial overall Cliff's Delta values (Fig. 6F overall CD = 0.31; Extended Fig. 5G overall CD = 0.97). </w:t>
      </w:r>
      <w:proofErr w:type="spellStart"/>
      <w:r>
        <w:rPr>
          <w:rFonts w:ascii="Calibri" w:hAnsi="Calibri" w:eastAsia="Times New Roman" w:cs="Calibri"/>
          <w:color w:val="000000" w:themeColor="text1"/>
          <w:lang w:val="en-US"/>
        </w:rPr>
        <w:t>FIREFate</w:t>
      </w:r>
      <w:proofErr w:type="spellEnd"/>
      <w:r w:rsidRPr="0094705D">
        <w:rPr>
          <w:rFonts w:ascii="Calibri" w:hAnsi="Calibri" w:eastAsia="Times New Roman" w:cs="Calibri"/>
          <w:color w:val="000000" w:themeColor="text1"/>
          <w:lang w:val="en-US"/>
        </w:rPr>
        <w:t xml:space="preserve"> outperformed both Lasso- and DEG-based </w:t>
      </w:r>
      <w:r w:rsidRPr="0094705D">
        <w:rPr>
          <w:rFonts w:ascii="Calibri" w:hAnsi="Calibri" w:eastAsia="Times New Roman" w:cs="Calibri"/>
          <w:color w:val="000000" w:themeColor="text1"/>
          <w:lang w:val="en-US"/>
        </w:rPr>
        <w:t xml:space="preserve">approaches by </w:t>
      </w:r>
      <w:r>
        <w:rPr>
          <w:rFonts w:ascii="Calibri" w:hAnsi="Calibri" w:eastAsia="Times New Roman" w:cs="Calibri"/>
          <w:color w:val="000000" w:themeColor="text1"/>
          <w:lang w:val="en-US"/>
        </w:rPr>
        <w:t>CD</w:t>
      </w:r>
      <w:r w:rsidRPr="0094705D">
        <w:rPr>
          <w:rFonts w:ascii="Calibri" w:hAnsi="Calibri" w:eastAsia="Times New Roman" w:cs="Calibri"/>
          <w:color w:val="000000" w:themeColor="text1"/>
          <w:lang w:val="en-US"/>
        </w:rPr>
        <w:t xml:space="preserve"> across both Ikzf1-KO and Ets1-KO datasets, establishing superior sensitivity for detecting early exhaustion bias.</w:t>
      </w:r>
    </w:p>
    <w:p w:rsidRPr="0094705D" w:rsidR="008515C4" w:rsidP="008515C4" w:rsidRDefault="008515C4" w14:paraId="398E8A23" w14:textId="77777777">
      <w:pPr>
        <w:jc w:val="both"/>
        <w:rPr>
          <w:rFonts w:ascii="Calibri" w:hAnsi="Calibri" w:eastAsia="Times New Roman" w:cs="Calibri"/>
          <w:color w:val="000000" w:themeColor="text1"/>
          <w:lang w:val="en-US"/>
        </w:rPr>
      </w:pPr>
    </w:p>
    <w:p w:rsidRPr="0094705D" w:rsidR="008515C4" w:rsidP="008515C4" w:rsidRDefault="008515C4" w14:paraId="2C563370" w14:textId="2EEE7D99">
      <w:pPr>
        <w:jc w:val="both"/>
        <w:rPr>
          <w:rFonts w:ascii="Calibri" w:hAnsi="Calibri" w:eastAsia="Times New Roman" w:cs="Calibri"/>
          <w:color w:val="000000" w:themeColor="text1"/>
          <w:lang w:val="en-US"/>
        </w:rPr>
      </w:pPr>
      <w:r w:rsidRPr="0094705D">
        <w:rPr>
          <w:rFonts w:ascii="Calibri" w:hAnsi="Calibri" w:eastAsia="Times New Roman" w:cs="Calibri"/>
          <w:color w:val="000000" w:themeColor="text1"/>
          <w:lang w:val="en-US"/>
        </w:rPr>
        <w:t xml:space="preserve">Embedding these state-switching programs within static and dynamic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–Tex GRNs clarified how early regulatory activity constrains downstream cell-state potential. This analysis recovered well-established static regulators, including Irf2</w:t>
      </w:r>
      <w:r w:rsidRPr="00BD6670" w:rsidR="00BD6670">
        <w:rPr>
          <w:rFonts w:ascii="Calibri" w:hAnsi="Calibri" w:cs="Calibri" w:eastAsiaTheme="minorHAnsi"/>
          <w:color w:val="000000"/>
          <w:szCs w:val="24"/>
          <w:vertAlign w:val="superscript"/>
          <w:lang w:val="en-US"/>
          <w14:ligatures w14:val="standardContextual"/>
        </w:rPr>
        <w:t>67</w:t>
      </w:r>
      <w:r w:rsidRPr="0094705D">
        <w:rPr>
          <w:rFonts w:ascii="Calibri" w:hAnsi="Calibri" w:eastAsia="Times New Roman" w:cs="Calibri"/>
          <w:color w:val="000000" w:themeColor="text1"/>
          <w:lang w:val="en-US"/>
        </w:rPr>
        <w:t>, Nfkb1</w:t>
      </w:r>
      <w:r w:rsidRPr="00BD6670" w:rsidR="00BD6670">
        <w:rPr>
          <w:rFonts w:ascii="Calibri" w:hAnsi="Calibri" w:cs="Calibri" w:eastAsiaTheme="minorHAnsi"/>
          <w:color w:val="000000"/>
          <w:szCs w:val="24"/>
          <w:vertAlign w:val="superscript"/>
          <w:lang w:val="en-US"/>
          <w14:ligatures w14:val="standardContextual"/>
        </w:rPr>
        <w:t>68</w:t>
      </w:r>
      <w:r w:rsidRPr="0094705D">
        <w:rPr>
          <w:rFonts w:ascii="Calibri" w:hAnsi="Calibri" w:eastAsia="Times New Roman" w:cs="Calibri"/>
          <w:color w:val="000000" w:themeColor="text1"/>
          <w:lang w:val="en-US"/>
        </w:rPr>
        <w:t>, Mxi1</w:t>
      </w:r>
      <w:r w:rsidRPr="00BD6670" w:rsidR="00BD6670">
        <w:rPr>
          <w:rFonts w:ascii="Calibri" w:hAnsi="Calibri" w:cs="Calibri" w:eastAsiaTheme="minorHAnsi"/>
          <w:color w:val="000000"/>
          <w:szCs w:val="24"/>
          <w:vertAlign w:val="superscript"/>
          <w:lang w:val="en-US"/>
          <w14:ligatures w14:val="standardContextual"/>
        </w:rPr>
        <w:t>69</w:t>
      </w:r>
      <w:r w:rsidRPr="0094705D">
        <w:rPr>
          <w:rFonts w:ascii="Calibri" w:hAnsi="Calibri" w:eastAsia="Times New Roman" w:cs="Calibri"/>
          <w:color w:val="000000" w:themeColor="text1"/>
          <w:lang w:val="en-US"/>
        </w:rPr>
        <w:t>, Klf2</w:t>
      </w:r>
      <w:r w:rsidRPr="00BD6670" w:rsidR="00BD6670">
        <w:rPr>
          <w:rFonts w:ascii="Calibri" w:hAnsi="Calibri" w:cs="Calibri" w:eastAsiaTheme="minorHAnsi"/>
          <w:color w:val="000000"/>
          <w:szCs w:val="24"/>
          <w:vertAlign w:val="superscript"/>
          <w:lang w:val="en-US"/>
          <w14:ligatures w14:val="standardContextual"/>
        </w:rPr>
        <w:t>70</w:t>
      </w:r>
      <w:r w:rsidRPr="0094705D">
        <w:rPr>
          <w:rFonts w:ascii="Calibri" w:hAnsi="Calibri" w:eastAsia="Times New Roman" w:cs="Calibri"/>
          <w:color w:val="000000" w:themeColor="text1"/>
          <w:lang w:val="en-US"/>
        </w:rPr>
        <w:t>, Prdm1</w:t>
      </w:r>
      <w:r w:rsidRPr="00BD6670" w:rsidR="00BD6670">
        <w:rPr>
          <w:rFonts w:ascii="Calibri" w:hAnsi="Calibri" w:cs="Calibri" w:eastAsiaTheme="minorHAnsi"/>
          <w:color w:val="000000"/>
          <w:szCs w:val="24"/>
          <w:vertAlign w:val="superscript"/>
          <w:lang w:val="en-US"/>
          <w14:ligatures w14:val="standardContextual"/>
        </w:rPr>
        <w:t>71</w:t>
      </w:r>
      <w:r w:rsidRPr="0094705D">
        <w:rPr>
          <w:rFonts w:ascii="Calibri" w:hAnsi="Calibri" w:eastAsia="Times New Roman" w:cs="Calibri"/>
          <w:color w:val="000000" w:themeColor="text1"/>
          <w:lang w:val="en-US"/>
        </w:rPr>
        <w:t>, and Cebpb</w:t>
      </w:r>
      <w:r w:rsidRPr="00BD6670" w:rsidR="00BD6670">
        <w:rPr>
          <w:rFonts w:ascii="Calibri" w:hAnsi="Calibri" w:cs="Calibri" w:eastAsiaTheme="minorHAnsi"/>
          <w:color w:val="000000"/>
          <w:szCs w:val="24"/>
          <w:vertAlign w:val="superscript"/>
          <w:lang w:val="en-US"/>
          <w14:ligatures w14:val="standardContextual"/>
        </w:rPr>
        <w:t>72</w:t>
      </w:r>
      <w:r w:rsidRPr="0094705D">
        <w:rPr>
          <w:rFonts w:ascii="Calibri" w:hAnsi="Calibri" w:eastAsia="Times New Roman" w:cs="Calibri"/>
          <w:color w:val="000000" w:themeColor="text1"/>
          <w:lang w:val="en-US"/>
        </w:rPr>
        <w:t xml:space="preserve"> (Fig. 6H; Extended Fig. 5H), while exposing transient TFs demarcating early fate divergence. Cells were ordered along </w:t>
      </w:r>
      <w:proofErr w:type="spellStart"/>
      <w:r w:rsidRPr="0094705D">
        <w:rPr>
          <w:rFonts w:ascii="Calibri" w:hAnsi="Calibri" w:eastAsia="Times New Roman" w:cs="Calibri"/>
          <w:color w:val="000000" w:themeColor="text1"/>
          <w:lang w:val="en-US"/>
        </w:rPr>
        <w:t>pseudotime</w:t>
      </w:r>
      <w:proofErr w:type="spellEnd"/>
      <w:r w:rsidRPr="0094705D">
        <w:rPr>
          <w:rFonts w:ascii="Calibri" w:hAnsi="Calibri" w:eastAsia="Times New Roman" w:cs="Calibri"/>
          <w:color w:val="000000" w:themeColor="text1"/>
          <w:lang w:val="en-US"/>
        </w:rPr>
        <w:t xml:space="preserve"> in reduced-dimensional space, with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 states preceding Tex states serving as internal control (Extended Fig. 5I, J). TFs enriched early along the </w:t>
      </w:r>
      <w:proofErr w:type="spellStart"/>
      <w:r w:rsidRPr="0094705D">
        <w:rPr>
          <w:rFonts w:ascii="Calibri" w:hAnsi="Calibri" w:eastAsia="Times New Roman" w:cs="Calibri"/>
          <w:color w:val="000000" w:themeColor="text1"/>
          <w:lang w:val="en-US"/>
        </w:rPr>
        <w:t>Tpex</w:t>
      </w:r>
      <w:proofErr w:type="spellEnd"/>
      <w:r w:rsidRPr="0094705D">
        <w:rPr>
          <w:rFonts w:ascii="Calibri" w:hAnsi="Calibri" w:eastAsia="Times New Roman" w:cs="Calibri"/>
          <w:color w:val="000000" w:themeColor="text1"/>
          <w:lang w:val="en-US"/>
        </w:rPr>
        <w:t xml:space="preserve"> trajectory in Ikzf1-KO included Ikzf1, Ep300, E2f2, Klf6, Nr4a2, and Bhlhe40, whereas TFs preferentially active late along the Tex trajectory in Ets1-KO included Ets1, Elf1, </w:t>
      </w:r>
      <w:proofErr w:type="spellStart"/>
      <w:r w:rsidRPr="0094705D">
        <w:rPr>
          <w:rFonts w:ascii="Calibri" w:hAnsi="Calibri" w:eastAsia="Times New Roman" w:cs="Calibri"/>
          <w:color w:val="000000" w:themeColor="text1"/>
          <w:lang w:val="en-US"/>
        </w:rPr>
        <w:t>Srf</w:t>
      </w:r>
      <w:proofErr w:type="spellEnd"/>
      <w:r w:rsidRPr="0094705D">
        <w:rPr>
          <w:rFonts w:ascii="Calibri" w:hAnsi="Calibri" w:eastAsia="Times New Roman" w:cs="Calibri"/>
          <w:color w:val="000000" w:themeColor="text1"/>
          <w:lang w:val="en-US"/>
        </w:rPr>
        <w:t xml:space="preserve">, and E2f2 (Fig. 6I; Extended Fig. 5K). By resolving transient, directional regulatory control, </w:t>
      </w:r>
      <w:proofErr w:type="spellStart"/>
      <w:r>
        <w:rPr>
          <w:rFonts w:ascii="Calibri" w:hAnsi="Calibri" w:eastAsia="Times New Roman" w:cs="Calibri"/>
          <w:color w:val="000000" w:themeColor="text1"/>
          <w:lang w:val="en-US"/>
        </w:rPr>
        <w:t>FIREFate</w:t>
      </w:r>
      <w:proofErr w:type="spellEnd"/>
      <w:r w:rsidRPr="0094705D">
        <w:rPr>
          <w:rFonts w:ascii="Calibri" w:hAnsi="Calibri" w:eastAsia="Times New Roman" w:cs="Calibri"/>
          <w:color w:val="000000" w:themeColor="text1"/>
          <w:lang w:val="en-US"/>
        </w:rPr>
        <w:t xml:space="preserve"> mechanistically links early transcriptional states to eventual exhaustion outcomes, exposing determinants of T-cell fate specification that remain inaccessible to expression- and chromatin-centric frameworks.</w:t>
      </w:r>
    </w:p>
    <w:p w:rsidRPr="0094705D" w:rsidR="008515C4" w:rsidP="008515C4" w:rsidRDefault="008515C4" w14:paraId="0200178C" w14:textId="77777777">
      <w:pPr>
        <w:jc w:val="both"/>
        <w:rPr>
          <w:rFonts w:ascii="Calibri" w:hAnsi="Calibri" w:eastAsia="Times New Roman" w:cs="Calibri"/>
          <w:color w:val="000000" w:themeColor="text1"/>
          <w:lang w:val="en-US"/>
        </w:rPr>
      </w:pPr>
    </w:p>
    <w:p w:rsidR="008515C4" w:rsidP="008515C4" w:rsidRDefault="008515C4" w14:paraId="589410C0" w14:textId="77777777">
      <w:pPr>
        <w:jc w:val="both"/>
        <w:rPr>
          <w:rFonts w:ascii="Calibri" w:hAnsi="Calibri" w:eastAsia="Times New Roman" w:cs="Calibri"/>
          <w:color w:val="000000" w:themeColor="text1"/>
          <w:lang w:val="en-US"/>
        </w:rPr>
      </w:pPr>
      <w:r w:rsidRPr="0094705D">
        <w:rPr>
          <w:rFonts w:ascii="Calibri" w:hAnsi="Calibri" w:eastAsia="Times New Roman" w:cs="Calibri"/>
          <w:color w:val="000000" w:themeColor="text1"/>
          <w:lang w:val="en-US"/>
        </w:rPr>
        <w:t xml:space="preserve">By successfully predicting T-cell exhaustion fate from perturbation data in a non-branching, progressive differentiation system, </w:t>
      </w:r>
      <w:r>
        <w:rPr>
          <w:rFonts w:ascii="Calibri" w:hAnsi="Calibri" w:eastAsia="Times New Roman" w:cs="Calibri"/>
          <w:color w:val="000000" w:themeColor="text1"/>
          <w:lang w:val="en-US"/>
        </w:rPr>
        <w:t>our framework</w:t>
      </w:r>
      <w:r w:rsidRPr="0094705D">
        <w:rPr>
          <w:rFonts w:ascii="Calibri" w:hAnsi="Calibri" w:eastAsia="Times New Roman" w:cs="Calibri"/>
          <w:color w:val="000000" w:themeColor="text1"/>
          <w:lang w:val="en-US"/>
        </w:rPr>
        <w:t xml:space="preserve"> demonstrates fundamental generalizability across immune contexts. Where gene-centric methods systematically fail—even inverting biological directionality—</w:t>
      </w:r>
      <w:proofErr w:type="spellStart"/>
      <w:r>
        <w:rPr>
          <w:rFonts w:ascii="Calibri" w:hAnsi="Calibri" w:eastAsia="Times New Roman" w:cs="Calibri"/>
          <w:color w:val="000000" w:themeColor="text1"/>
          <w:lang w:val="en-US"/>
        </w:rPr>
        <w:t>FIREFate</w:t>
      </w:r>
      <w:proofErr w:type="spellEnd"/>
      <w:r w:rsidRPr="0094705D">
        <w:rPr>
          <w:rFonts w:ascii="Calibri" w:hAnsi="Calibri" w:eastAsia="Times New Roman" w:cs="Calibri"/>
          <w:color w:val="000000" w:themeColor="text1"/>
          <w:lang w:val="en-US"/>
        </w:rPr>
        <w:t xml:space="preserve"> extracts coherent regulatory programs that reveal </w:t>
      </w:r>
      <w:r>
        <w:rPr>
          <w:rFonts w:ascii="Calibri" w:hAnsi="Calibri" w:eastAsia="Times New Roman" w:cs="Calibri"/>
          <w:color w:val="000000" w:themeColor="text1"/>
          <w:lang w:val="en-US"/>
        </w:rPr>
        <w:t xml:space="preserve">TF dynamic activity and </w:t>
      </w:r>
      <w:r w:rsidRPr="0094705D">
        <w:rPr>
          <w:rFonts w:ascii="Calibri" w:hAnsi="Calibri" w:eastAsia="Times New Roman" w:cs="Calibri"/>
          <w:color w:val="000000" w:themeColor="text1"/>
          <w:lang w:val="en-US"/>
        </w:rPr>
        <w:t xml:space="preserve">latent fate bias before phenotypic commitment. Integration with dynamic GRNs exposes both static and transiently active transcription factors governing exhaustion trajectories, establishing </w:t>
      </w:r>
      <w:proofErr w:type="spellStart"/>
      <w:r>
        <w:rPr>
          <w:rFonts w:ascii="Calibri" w:hAnsi="Calibri" w:eastAsia="Times New Roman" w:cs="Calibri"/>
          <w:color w:val="000000" w:themeColor="text1"/>
          <w:lang w:val="en-US"/>
        </w:rPr>
        <w:t>FIREFate</w:t>
      </w:r>
      <w:proofErr w:type="spellEnd"/>
      <w:r w:rsidRPr="0094705D">
        <w:rPr>
          <w:rFonts w:ascii="Calibri" w:hAnsi="Calibri" w:eastAsia="Times New Roman" w:cs="Calibri"/>
          <w:color w:val="000000" w:themeColor="text1"/>
          <w:lang w:val="en-US"/>
        </w:rPr>
        <w:t xml:space="preserve"> as a mechanistically grounded, predictive framework for dissecting immune cell fate decisions across diverse differentiation architectures.</w:t>
      </w:r>
    </w:p>
    <w:p w:rsidR="008515C4" w:rsidP="008515C4" w:rsidRDefault="008515C4" w14:paraId="43538D1D" w14:textId="77777777">
      <w:pPr>
        <w:pStyle w:val="Heading2"/>
        <w:pBdr>
          <w:bottom w:val="single" w:color="auto" w:sz="4" w:space="1"/>
        </w:pBdr>
        <w:spacing w:before="0" w:after="0"/>
        <w:jc w:val="both"/>
        <w:rPr>
          <w:rFonts w:ascii="Calibri" w:hAnsi="Calibri" w:cs="Calibri"/>
          <w:b/>
          <w:bCs/>
          <w:color w:val="000000" w:themeColor="text1"/>
          <w:sz w:val="28"/>
          <w:szCs w:val="28"/>
          <w:lang w:val="en-US"/>
        </w:rPr>
      </w:pPr>
    </w:p>
    <w:p w:rsidRPr="009658C3" w:rsidR="008515C4" w:rsidP="008515C4" w:rsidRDefault="008515C4" w14:paraId="77596993" w14:textId="77777777">
      <w:pPr>
        <w:pStyle w:val="Heading2"/>
        <w:pBdr>
          <w:bottom w:val="single" w:color="auto" w:sz="4" w:space="1"/>
        </w:pBdr>
        <w:spacing w:before="0" w:after="0"/>
        <w:jc w:val="both"/>
        <w:rPr>
          <w:rFonts w:ascii="Calibri" w:hAnsi="Calibri" w:cs="Calibri"/>
          <w:b/>
          <w:bCs/>
          <w:color w:val="000000" w:themeColor="text1"/>
          <w:sz w:val="28"/>
          <w:szCs w:val="28"/>
          <w:lang w:val="en-US"/>
        </w:rPr>
      </w:pPr>
      <w:r w:rsidRPr="009658C3">
        <w:rPr>
          <w:rFonts w:ascii="Calibri" w:hAnsi="Calibri" w:cs="Calibri"/>
          <w:b/>
          <w:bCs/>
          <w:color w:val="000000" w:themeColor="text1"/>
          <w:sz w:val="28"/>
          <w:szCs w:val="28"/>
          <w:lang w:val="en-US"/>
        </w:rPr>
        <w:t>DISCUSSION</w:t>
      </w:r>
    </w:p>
    <w:p w:rsidR="008515C4" w:rsidP="008515C4" w:rsidRDefault="008515C4" w14:paraId="3C3416A7" w14:textId="77777777">
      <w:pPr>
        <w:pStyle w:val="Heading2"/>
        <w:spacing w:before="0" w:after="0"/>
        <w:jc w:val="both"/>
        <w:rPr>
          <w:rFonts w:ascii="Calibri" w:hAnsi="Calibri" w:cs="Calibri"/>
          <w:color w:val="000000" w:themeColor="text1"/>
          <w:sz w:val="22"/>
          <w:szCs w:val="22"/>
          <w:lang w:val="en-US"/>
        </w:rPr>
      </w:pPr>
    </w:p>
    <w:p w:rsidR="008515C4" w:rsidP="008515C4" w:rsidRDefault="008515C4" w14:paraId="3555CE06" w14:textId="77777777">
      <w:pPr>
        <w:pStyle w:val="Heading2"/>
        <w:spacing w:before="0" w:after="0"/>
        <w:jc w:val="both"/>
        <w:rPr>
          <w:rFonts w:ascii="Calibri" w:hAnsi="Calibri" w:cs="Calibri"/>
          <w:color w:val="000000" w:themeColor="text1"/>
          <w:sz w:val="22"/>
          <w:szCs w:val="22"/>
          <w:lang w:val="en-US"/>
        </w:rPr>
      </w:pP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establishes a </w:t>
      </w:r>
      <w:r>
        <w:rPr>
          <w:rFonts w:ascii="Calibri" w:hAnsi="Calibri" w:cs="Calibri"/>
          <w:color w:val="000000" w:themeColor="text1"/>
          <w:sz w:val="22"/>
          <w:szCs w:val="22"/>
          <w:lang w:val="en-US"/>
        </w:rPr>
        <w:t>conceptual</w:t>
      </w:r>
      <w:r w:rsidRPr="6C4092E4">
        <w:rPr>
          <w:rFonts w:ascii="Calibri" w:hAnsi="Calibri" w:cs="Calibri"/>
          <w:color w:val="000000" w:themeColor="text1"/>
          <w:sz w:val="22"/>
          <w:szCs w:val="22"/>
          <w:lang w:val="en-US"/>
        </w:rPr>
        <w:t xml:space="preserve"> paradigm for dissecting cell fate decisions by resolving commitment as integrated regulatory programs rather than isolated genes or interactions. By coupling interpretable machine learning with </w:t>
      </w:r>
      <w:r>
        <w:rPr>
          <w:rFonts w:ascii="Calibri" w:hAnsi="Calibri" w:cs="Calibri"/>
          <w:color w:val="000000" w:themeColor="text1"/>
          <w:sz w:val="22"/>
          <w:szCs w:val="22"/>
          <w:lang w:val="en-US"/>
        </w:rPr>
        <w:t>mechanistic</w:t>
      </w:r>
      <w:r w:rsidRPr="6C4092E4">
        <w:rPr>
          <w:rFonts w:ascii="Calibri" w:hAnsi="Calibri" w:cs="Calibri"/>
          <w:color w:val="000000" w:themeColor="text1"/>
          <w:sz w:val="22"/>
          <w:szCs w:val="22"/>
          <w:lang w:val="en-US"/>
        </w:rPr>
        <w:t xml:space="preserve"> regulatory networks,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systematically uncovers minimal yet </w:t>
      </w:r>
      <w:r>
        <w:rPr>
          <w:rFonts w:ascii="Calibri" w:hAnsi="Calibri" w:cs="Calibri"/>
          <w:color w:val="000000" w:themeColor="text1"/>
          <w:sz w:val="22"/>
          <w:szCs w:val="22"/>
          <w:lang w:val="en-US"/>
        </w:rPr>
        <w:t>highly causal</w:t>
      </w:r>
      <w:r w:rsidRPr="6C4092E4">
        <w:rPr>
          <w:rFonts w:ascii="Calibri" w:hAnsi="Calibri" w:cs="Calibri"/>
          <w:color w:val="000000" w:themeColor="text1"/>
          <w:sz w:val="22"/>
          <w:szCs w:val="22"/>
          <w:lang w:val="en-US"/>
        </w:rPr>
        <w:t xml:space="preserve"> transcriptional programs governing lineage bifurcation</w:t>
      </w:r>
      <w:r>
        <w:rPr>
          <w:rFonts w:ascii="Calibri" w:hAnsi="Calibri" w:cs="Calibri"/>
          <w:color w:val="000000" w:themeColor="text1"/>
          <w:sz w:val="22"/>
          <w:szCs w:val="22"/>
          <w:lang w:val="en-US"/>
        </w:rPr>
        <w:t>.</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 xml:space="preserve">It also </w:t>
      </w:r>
      <w:r w:rsidRPr="6C4092E4">
        <w:rPr>
          <w:rFonts w:ascii="Calibri" w:hAnsi="Calibri" w:cs="Calibri"/>
          <w:color w:val="000000" w:themeColor="text1"/>
          <w:sz w:val="22"/>
          <w:szCs w:val="22"/>
          <w:lang w:val="en-US"/>
        </w:rPr>
        <w:t xml:space="preserve">reveals temporal </w:t>
      </w:r>
      <w:r>
        <w:rPr>
          <w:rFonts w:ascii="Calibri" w:hAnsi="Calibri" w:cs="Calibri"/>
          <w:color w:val="000000" w:themeColor="text1"/>
          <w:sz w:val="22"/>
          <w:szCs w:val="22"/>
          <w:lang w:val="en-US"/>
        </w:rPr>
        <w:t>activities</w:t>
      </w:r>
      <w:r w:rsidRPr="6C4092E4">
        <w:rPr>
          <w:rFonts w:ascii="Calibri" w:hAnsi="Calibri" w:cs="Calibri"/>
          <w:color w:val="000000" w:themeColor="text1"/>
          <w:sz w:val="22"/>
          <w:szCs w:val="22"/>
          <w:lang w:val="en-US"/>
        </w:rPr>
        <w:t xml:space="preserve"> of regulatory control</w:t>
      </w:r>
      <w:r>
        <w:rPr>
          <w:rFonts w:ascii="Calibri" w:hAnsi="Calibri" w:cs="Calibri"/>
          <w:color w:val="000000" w:themeColor="text1"/>
          <w:sz w:val="22"/>
          <w:szCs w:val="22"/>
          <w:lang w:val="en-US"/>
        </w:rPr>
        <w:t>s</w:t>
      </w:r>
      <w:r w:rsidRPr="6C4092E4">
        <w:rPr>
          <w:rFonts w:ascii="Calibri" w:hAnsi="Calibri" w:cs="Calibri"/>
          <w:color w:val="000000" w:themeColor="text1"/>
          <w:sz w:val="22"/>
          <w:szCs w:val="22"/>
          <w:lang w:val="en-US"/>
        </w:rPr>
        <w:t xml:space="preserve"> and predicts fate bias before phenotypic commitment. Across B-cell and T-cell systems,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identifies both canonical and previously unappreciated regulators, outperforms existing methods, and demonstrates fundamental generalizability across diverse immune contexts.</w:t>
      </w:r>
    </w:p>
    <w:p w:rsidR="008515C4" w:rsidP="008515C4" w:rsidRDefault="008515C4" w14:paraId="37CD8F5A" w14:textId="77777777">
      <w:pPr>
        <w:pStyle w:val="Heading2"/>
        <w:spacing w:before="0" w:after="0"/>
        <w:jc w:val="both"/>
        <w:rPr>
          <w:rFonts w:ascii="Calibri" w:hAnsi="Calibri" w:cs="Calibri"/>
          <w:color w:val="000000" w:themeColor="text1"/>
          <w:sz w:val="22"/>
          <w:szCs w:val="22"/>
        </w:rPr>
      </w:pPr>
    </w:p>
    <w:p w:rsidR="008515C4" w:rsidP="008515C4" w:rsidRDefault="008515C4" w14:paraId="64013AFF" w14:textId="77777777">
      <w:pPr>
        <w:pStyle w:val="Heading2"/>
        <w:spacing w:before="0" w:after="0"/>
        <w:jc w:val="both"/>
        <w:rPr>
          <w:rFonts w:ascii="Calibri" w:hAnsi="Calibri" w:cs="Calibri"/>
          <w:color w:val="000000" w:themeColor="text1"/>
          <w:sz w:val="22"/>
          <w:szCs w:val="22"/>
          <w:lang w:val="en-US"/>
        </w:rPr>
      </w:pPr>
      <w:r w:rsidRPr="6C4092E4">
        <w:rPr>
          <w:rFonts w:ascii="Calibri" w:hAnsi="Calibri" w:cs="Calibri"/>
          <w:color w:val="000000" w:themeColor="text1"/>
          <w:sz w:val="22"/>
          <w:szCs w:val="22"/>
          <w:lang w:val="en-US"/>
        </w:rPr>
        <w:t xml:space="preserve">A central innovation </w:t>
      </w:r>
      <w:r>
        <w:rPr>
          <w:rFonts w:ascii="Calibri" w:hAnsi="Calibri" w:cs="Calibri"/>
          <w:color w:val="000000" w:themeColor="text1"/>
          <w:sz w:val="22"/>
          <w:szCs w:val="22"/>
          <w:lang w:val="en-US"/>
        </w:rPr>
        <w:t xml:space="preserve">of </w:t>
      </w:r>
      <w:proofErr w:type="spellStart"/>
      <w:r w:rsidRPr="6C4092E4">
        <w:rPr>
          <w:rFonts w:ascii="Calibri" w:hAnsi="Calibri" w:cs="Calibri"/>
          <w:color w:val="000000" w:themeColor="text1"/>
          <w:sz w:val="22"/>
          <w:szCs w:val="22"/>
          <w:lang w:val="en-US"/>
        </w:rPr>
        <w:t>FIREFate</w:t>
      </w:r>
      <w:proofErr w:type="spellEnd"/>
      <w:r>
        <w:rPr>
          <w:rFonts w:ascii="Calibri" w:hAnsi="Calibri" w:cs="Calibri"/>
          <w:color w:val="000000" w:themeColor="text1"/>
          <w:sz w:val="22"/>
          <w:szCs w:val="22"/>
          <w:lang w:val="en-US"/>
        </w:rPr>
        <w:t xml:space="preserve"> is its</w:t>
      </w:r>
      <w:r w:rsidRPr="6C4092E4">
        <w:rPr>
          <w:rFonts w:ascii="Calibri" w:hAnsi="Calibri" w:cs="Calibri"/>
          <w:color w:val="000000" w:themeColor="text1"/>
          <w:sz w:val="22"/>
          <w:szCs w:val="22"/>
          <w:lang w:val="en-US"/>
        </w:rPr>
        <w:t xml:space="preserve"> program-centric approach</w:t>
      </w:r>
      <w:r w:rsidRPr="005940CA">
        <w:rPr>
          <w:rFonts w:ascii="Calibri" w:hAnsi="Calibri" w:cs="Calibri"/>
          <w:color w:val="000000" w:themeColor="text1"/>
          <w:sz w:val="22"/>
          <w:szCs w:val="22"/>
          <w:lang w:val="en-US"/>
        </w:rPr>
        <w:t xml:space="preserve">. </w:t>
      </w:r>
      <w:r w:rsidRPr="00C9053C">
        <w:rPr>
          <w:rFonts w:ascii="Calibri" w:hAnsi="Calibri" w:cs="Calibri"/>
          <w:sz w:val="22"/>
          <w:szCs w:val="22"/>
        </w:rPr>
        <w:t>In contrast to</w:t>
      </w:r>
      <w:r>
        <w:t xml:space="preserve"> </w:t>
      </w:r>
      <w:r w:rsidRPr="6C4092E4">
        <w:rPr>
          <w:rFonts w:ascii="Calibri" w:hAnsi="Calibri" w:cs="Calibri"/>
          <w:color w:val="000000" w:themeColor="text1"/>
          <w:sz w:val="22"/>
          <w:szCs w:val="22"/>
          <w:lang w:val="en-US"/>
        </w:rPr>
        <w:t xml:space="preserve">differential expression analyses </w:t>
      </w:r>
      <w:r>
        <w:rPr>
          <w:rFonts w:ascii="Calibri" w:hAnsi="Calibri" w:cs="Calibri"/>
          <w:color w:val="000000" w:themeColor="text1"/>
          <w:sz w:val="22"/>
          <w:szCs w:val="22"/>
          <w:lang w:val="en-US"/>
        </w:rPr>
        <w:t xml:space="preserve">which </w:t>
      </w:r>
      <w:r w:rsidRPr="6C4092E4">
        <w:rPr>
          <w:rFonts w:ascii="Calibri" w:hAnsi="Calibri" w:cs="Calibri"/>
          <w:color w:val="000000" w:themeColor="text1"/>
          <w:sz w:val="22"/>
          <w:szCs w:val="22"/>
          <w:lang w:val="en-US"/>
        </w:rPr>
        <w:t>captur</w:t>
      </w:r>
      <w:r>
        <w:rPr>
          <w:rFonts w:ascii="Calibri" w:hAnsi="Calibri" w:cs="Calibri"/>
          <w:color w:val="000000" w:themeColor="text1"/>
          <w:sz w:val="22"/>
          <w:szCs w:val="22"/>
          <w:lang w:val="en-US"/>
        </w:rPr>
        <w:t>es</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 xml:space="preserve">only </w:t>
      </w:r>
      <w:r w:rsidRPr="6C4092E4">
        <w:rPr>
          <w:rFonts w:ascii="Calibri" w:hAnsi="Calibri" w:cs="Calibri"/>
          <w:color w:val="000000" w:themeColor="text1"/>
          <w:sz w:val="22"/>
          <w:szCs w:val="22"/>
          <w:lang w:val="en-US"/>
        </w:rPr>
        <w:t>the minimal effects</w:t>
      </w:r>
      <w:r>
        <w:rPr>
          <w:rFonts w:ascii="Calibri" w:hAnsi="Calibri" w:cs="Calibri"/>
          <w:color w:val="000000" w:themeColor="text1"/>
          <w:sz w:val="22"/>
          <w:szCs w:val="22"/>
          <w:lang w:val="en-US"/>
        </w:rPr>
        <w:t>,</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and</w:t>
      </w:r>
      <w:r w:rsidRPr="6C4092E4">
        <w:rPr>
          <w:rFonts w:ascii="Calibri" w:hAnsi="Calibri" w:cs="Calibri"/>
          <w:color w:val="000000" w:themeColor="text1"/>
          <w:sz w:val="22"/>
          <w:szCs w:val="22"/>
          <w:lang w:val="en-US"/>
        </w:rPr>
        <w:t xml:space="preserve"> decomposition</w:t>
      </w:r>
      <w:r>
        <w:rPr>
          <w:rFonts w:ascii="Calibri" w:hAnsi="Calibri" w:cs="Calibri"/>
          <w:color w:val="000000" w:themeColor="text1"/>
          <w:sz w:val="22"/>
          <w:szCs w:val="22"/>
          <w:lang w:val="en-US"/>
        </w:rPr>
        <w:t>-based</w:t>
      </w:r>
      <w:r w:rsidRPr="6C4092E4">
        <w:rPr>
          <w:rFonts w:ascii="Calibri" w:hAnsi="Calibri" w:cs="Calibri"/>
          <w:color w:val="000000" w:themeColor="text1"/>
          <w:sz w:val="22"/>
          <w:szCs w:val="22"/>
          <w:lang w:val="en-US"/>
        </w:rPr>
        <w:t xml:space="preserve"> methods </w:t>
      </w:r>
      <w:r>
        <w:rPr>
          <w:rFonts w:ascii="Calibri" w:hAnsi="Calibri" w:cs="Calibri"/>
          <w:color w:val="000000" w:themeColor="text1"/>
          <w:sz w:val="22"/>
          <w:szCs w:val="22"/>
          <w:lang w:val="en-US"/>
        </w:rPr>
        <w:t xml:space="preserve">that suffer </w:t>
      </w:r>
      <w:proofErr w:type="gramStart"/>
      <w:r>
        <w:rPr>
          <w:rFonts w:ascii="Calibri" w:hAnsi="Calibri" w:cs="Calibri"/>
          <w:color w:val="000000" w:themeColor="text1"/>
          <w:sz w:val="22"/>
          <w:szCs w:val="22"/>
          <w:lang w:val="en-US"/>
        </w:rPr>
        <w:t>from</w:t>
      </w:r>
      <w:r w:rsidRPr="6C4092E4">
        <w:rPr>
          <w:rFonts w:ascii="Calibri" w:hAnsi="Calibri" w:cs="Calibri"/>
          <w:color w:val="000000" w:themeColor="text1"/>
          <w:sz w:val="22"/>
          <w:szCs w:val="22"/>
          <w:lang w:val="en-US"/>
        </w:rPr>
        <w:t xml:space="preserve">  non</w:t>
      </w:r>
      <w:proofErr w:type="gramEnd"/>
      <w:r w:rsidRPr="6C4092E4">
        <w:rPr>
          <w:rFonts w:ascii="Calibri" w:hAnsi="Calibri" w:cs="Calibri"/>
          <w:color w:val="000000" w:themeColor="text1"/>
          <w:sz w:val="22"/>
          <w:szCs w:val="22"/>
          <w:lang w:val="en-US"/>
        </w:rPr>
        <w:t xml:space="preserve">-identifiability,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integrates</w:t>
      </w:r>
      <w:r>
        <w:rPr>
          <w:rFonts w:ascii="Calibri" w:hAnsi="Calibri" w:cs="Calibri"/>
          <w:color w:val="000000" w:themeColor="text1"/>
          <w:sz w:val="22"/>
          <w:szCs w:val="22"/>
          <w:lang w:val="en-US"/>
        </w:rPr>
        <w:t xml:space="preserve"> prioritized interpretable </w:t>
      </w:r>
      <w:r w:rsidRPr="6C4092E4">
        <w:rPr>
          <w:rFonts w:ascii="Calibri" w:hAnsi="Calibri" w:cs="Calibri"/>
          <w:color w:val="000000" w:themeColor="text1"/>
          <w:sz w:val="22"/>
          <w:szCs w:val="22"/>
          <w:lang w:val="en-US"/>
        </w:rPr>
        <w:t>coherent cellular</w:t>
      </w:r>
      <w:r>
        <w:rPr>
          <w:rFonts w:ascii="Calibri" w:hAnsi="Calibri" w:cs="Calibri"/>
          <w:color w:val="000000" w:themeColor="text1"/>
          <w:sz w:val="22"/>
          <w:szCs w:val="22"/>
          <w:lang w:val="en-US"/>
        </w:rPr>
        <w:t xml:space="preserve"> programs</w:t>
      </w:r>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 xml:space="preserve">with mechanistic frameworks (including static and dynamic GRNs), where it identifies causal TF-centric </w:t>
      </w:r>
      <w:r w:rsidRPr="6C4092E4">
        <w:rPr>
          <w:rFonts w:ascii="Calibri" w:hAnsi="Calibri" w:cs="Calibri"/>
          <w:color w:val="000000" w:themeColor="text1"/>
          <w:sz w:val="22"/>
          <w:szCs w:val="22"/>
          <w:lang w:val="en-US"/>
        </w:rPr>
        <w:t xml:space="preserve">programs jointly enriched for genes, transcription </w:t>
      </w:r>
      <w:r w:rsidRPr="009F5D57">
        <w:rPr>
          <w:rFonts w:ascii="Calibri" w:hAnsi="Calibri" w:cs="Calibri"/>
          <w:color w:val="000000" w:themeColor="text1"/>
          <w:sz w:val="22"/>
          <w:szCs w:val="22"/>
          <w:lang w:val="en-US"/>
        </w:rPr>
        <w:t xml:space="preserve">factors, and regulatory interactions. As a result, </w:t>
      </w:r>
      <w:proofErr w:type="spellStart"/>
      <w:r w:rsidRPr="009F5D57">
        <w:rPr>
          <w:rFonts w:ascii="Calibri" w:hAnsi="Calibri" w:cs="Calibri"/>
          <w:color w:val="000000" w:themeColor="text1"/>
          <w:sz w:val="22"/>
          <w:szCs w:val="22"/>
          <w:lang w:val="en-US"/>
        </w:rPr>
        <w:t>FIREFate</w:t>
      </w:r>
      <w:proofErr w:type="spellEnd"/>
      <w:r w:rsidRPr="009F5D57">
        <w:rPr>
          <w:rFonts w:ascii="Calibri" w:hAnsi="Calibri" w:cs="Calibri"/>
          <w:color w:val="000000" w:themeColor="text1"/>
          <w:sz w:val="22"/>
          <w:szCs w:val="22"/>
          <w:lang w:val="en-US"/>
        </w:rPr>
        <w:t xml:space="preserve"> provides mechanistic interpretations of regulatory programs and </w:t>
      </w:r>
      <w:r w:rsidRPr="007C626A">
        <w:rPr>
          <w:rFonts w:ascii="Calibri" w:hAnsi="Calibri" w:cs="Calibri"/>
          <w:sz w:val="22"/>
          <w:szCs w:val="22"/>
        </w:rPr>
        <w:t>uncovers regulatory dependencies that are invisible to topology-driven approaches</w:t>
      </w:r>
      <w:r>
        <w:rPr>
          <w:rFonts w:ascii="Calibri" w:hAnsi="Calibri" w:cs="Calibri"/>
          <w:sz w:val="22"/>
          <w:szCs w:val="22"/>
        </w:rPr>
        <w:t xml:space="preserve">. </w:t>
      </w:r>
      <w:r w:rsidRPr="6C4092E4">
        <w:rPr>
          <w:rFonts w:ascii="Calibri" w:hAnsi="Calibri" w:cs="Calibri"/>
          <w:color w:val="000000" w:themeColor="text1"/>
          <w:sz w:val="22"/>
          <w:szCs w:val="22"/>
          <w:lang w:val="en-US"/>
        </w:rPr>
        <w:t xml:space="preserve">Notably, </w:t>
      </w:r>
      <w:r>
        <w:rPr>
          <w:rFonts w:ascii="Calibri" w:hAnsi="Calibri" w:cs="Calibri"/>
          <w:color w:val="000000" w:themeColor="text1"/>
          <w:sz w:val="22"/>
          <w:szCs w:val="22"/>
          <w:lang w:val="en-US"/>
        </w:rPr>
        <w:t xml:space="preserve">using the integration with state-specific static GRNs </w:t>
      </w:r>
      <w:r w:rsidRPr="6C4092E4">
        <w:rPr>
          <w:rFonts w:ascii="Calibri" w:hAnsi="Calibri" w:cs="Calibri"/>
          <w:color w:val="000000" w:themeColor="text1"/>
          <w:sz w:val="22"/>
          <w:szCs w:val="22"/>
          <w:lang w:val="en-US"/>
        </w:rPr>
        <w:t>our framework recovers established master regulators—PRDM1, IRF4, PAX5 in B cells; Nr4a2, Ikzf1, Ets1 in T cells—without prior knowledge, validating its biological grounding</w:t>
      </w:r>
      <w:r>
        <w:rPr>
          <w:rFonts w:ascii="Calibri" w:hAnsi="Calibri" w:cs="Calibri"/>
          <w:color w:val="000000" w:themeColor="text1"/>
          <w:sz w:val="22"/>
          <w:szCs w:val="22"/>
          <w:lang w:val="en-US"/>
        </w:rPr>
        <w:t xml:space="preserve"> while it leveraged the state-specific static</w:t>
      </w:r>
      <w:r w:rsidRPr="6C4092E4">
        <w:rPr>
          <w:rFonts w:ascii="Calibri" w:hAnsi="Calibri" w:cs="Calibri"/>
          <w:color w:val="000000" w:themeColor="text1"/>
          <w:sz w:val="22"/>
          <w:szCs w:val="22"/>
          <w:lang w:val="en-US"/>
        </w:rPr>
        <w:t>.</w:t>
      </w:r>
      <w:r>
        <w:rPr>
          <w:rFonts w:ascii="Calibri" w:hAnsi="Calibri" w:cs="Calibri"/>
          <w:color w:val="000000" w:themeColor="text1"/>
          <w:sz w:val="22"/>
          <w:szCs w:val="22"/>
          <w:lang w:val="en-US"/>
        </w:rPr>
        <w:t xml:space="preserve"> </w:t>
      </w:r>
    </w:p>
    <w:p w:rsidR="008515C4" w:rsidP="008515C4" w:rsidRDefault="008515C4" w14:paraId="1E413788" w14:textId="77777777">
      <w:pPr>
        <w:pStyle w:val="Heading2"/>
        <w:spacing w:before="0" w:after="0"/>
        <w:jc w:val="both"/>
        <w:rPr>
          <w:rFonts w:ascii="Calibri" w:hAnsi="Calibri" w:cs="Calibri"/>
          <w:color w:val="000000" w:themeColor="text1"/>
          <w:sz w:val="22"/>
          <w:szCs w:val="22"/>
          <w:lang w:val="en-US"/>
        </w:rPr>
      </w:pPr>
    </w:p>
    <w:p w:rsidRPr="007111EF" w:rsidR="008515C4" w:rsidP="008515C4" w:rsidRDefault="008515C4" w14:paraId="46FC2FA7" w14:textId="77777777">
      <w:pPr>
        <w:pStyle w:val="Heading2"/>
        <w:spacing w:before="0" w:after="0"/>
        <w:jc w:val="both"/>
        <w:rPr>
          <w:rFonts w:ascii="Calibri" w:hAnsi="Calibri" w:cs="Calibri"/>
          <w:sz w:val="22"/>
          <w:szCs w:val="22"/>
        </w:rPr>
      </w:pPr>
      <w:r>
        <w:rPr>
          <w:rFonts w:ascii="Calibri" w:hAnsi="Calibri" w:cs="Calibri"/>
          <w:sz w:val="22"/>
          <w:szCs w:val="22"/>
        </w:rPr>
        <w:t xml:space="preserve">Moreover, integrating the interpretable cellular programs with </w:t>
      </w:r>
      <w:r w:rsidRPr="6C4092E4">
        <w:rPr>
          <w:rFonts w:ascii="Calibri" w:hAnsi="Calibri" w:cs="Calibri"/>
          <w:color w:val="000000" w:themeColor="text1"/>
          <w:sz w:val="22"/>
          <w:szCs w:val="22"/>
          <w:lang w:val="en-US"/>
        </w:rPr>
        <w:t>dynamic GRN</w:t>
      </w:r>
      <w:r>
        <w:rPr>
          <w:rFonts w:ascii="Calibri" w:hAnsi="Calibri" w:cs="Calibri"/>
          <w:sz w:val="22"/>
          <w:szCs w:val="22"/>
        </w:rPr>
        <w:t xml:space="preserve"> </w:t>
      </w:r>
      <w:r w:rsidRPr="6C4092E4">
        <w:rPr>
          <w:rFonts w:ascii="Calibri" w:hAnsi="Calibri" w:cs="Calibri"/>
          <w:color w:val="000000" w:themeColor="text1"/>
          <w:sz w:val="22"/>
          <w:szCs w:val="22"/>
          <w:lang w:val="en-US"/>
        </w:rPr>
        <w:t>reveals temporal regulatory logic that static analyses cannot resolve. In the PB trajectory</w:t>
      </w:r>
      <w:r>
        <w:rPr>
          <w:rFonts w:ascii="Calibri" w:hAnsi="Calibri" w:cs="Calibri"/>
          <w:color w:val="000000" w:themeColor="text1"/>
          <w:sz w:val="22"/>
          <w:szCs w:val="22"/>
          <w:lang w:val="en-US"/>
        </w:rPr>
        <w:t xml:space="preserve"> from the B cell system</w:t>
      </w:r>
      <w:r w:rsidRPr="6C4092E4">
        <w:rPr>
          <w:rFonts w:ascii="Calibri" w:hAnsi="Calibri" w:cs="Calibri"/>
          <w:color w:val="000000" w:themeColor="text1"/>
          <w:sz w:val="22"/>
          <w:szCs w:val="22"/>
          <w:lang w:val="en-US"/>
        </w:rPr>
        <w:t>,</w:t>
      </w:r>
      <w:r>
        <w:rPr>
          <w:rFonts w:ascii="Calibri" w:hAnsi="Calibri" w:cs="Calibri"/>
          <w:color w:val="000000" w:themeColor="text1"/>
          <w:sz w:val="22"/>
          <w:szCs w:val="22"/>
          <w:lang w:val="en-US"/>
        </w:rPr>
        <w:t xml:space="preserve"> </w:t>
      </w:r>
      <w:proofErr w:type="spellStart"/>
      <w:r>
        <w:rPr>
          <w:rFonts w:ascii="Calibri" w:hAnsi="Calibri" w:cs="Calibri"/>
          <w:color w:val="000000" w:themeColor="text1"/>
          <w:sz w:val="22"/>
          <w:szCs w:val="22"/>
          <w:lang w:val="en-US"/>
        </w:rPr>
        <w:t>FIREFate</w:t>
      </w:r>
      <w:proofErr w:type="spellEnd"/>
      <w:r>
        <w:rPr>
          <w:rFonts w:ascii="Calibri" w:hAnsi="Calibri" w:cs="Calibri"/>
          <w:color w:val="000000" w:themeColor="text1"/>
          <w:sz w:val="22"/>
          <w:szCs w:val="22"/>
          <w:lang w:val="en-US"/>
        </w:rPr>
        <w:t xml:space="preserve"> uncovered</w:t>
      </w:r>
      <w:r w:rsidRPr="6C4092E4">
        <w:rPr>
          <w:rFonts w:ascii="Calibri" w:hAnsi="Calibri" w:cs="Calibri"/>
          <w:color w:val="000000" w:themeColor="text1"/>
          <w:sz w:val="22"/>
          <w:szCs w:val="22"/>
          <w:lang w:val="en-US"/>
        </w:rPr>
        <w:t xml:space="preserve"> an early activation of RUNX2 by CREB3L2, which results in activation of PRDM1 by RUNX2 initiates differentiation, followed by reinforcing the mutually activation of IRF4 and PRDM1 and late XBP1-driven secretory activation. The GC trajectory advances through repression-dominated waves, with early inhibition of PAX5 by IRF4, and NFKB1 followed by regulatory handoff enabling PAX5 activation. These distinct dynamic architectures demonstrate that lineage commitment emerges from temporally ordered, often transient regulatory events. </w:t>
      </w:r>
    </w:p>
    <w:p w:rsidRPr="00D740B0" w:rsidR="008515C4" w:rsidP="008515C4" w:rsidRDefault="008515C4" w14:paraId="53BCEBF0" w14:textId="77777777">
      <w:pPr>
        <w:jc w:val="both"/>
        <w:rPr>
          <w:rFonts w:ascii="Calibri" w:hAnsi="Calibri" w:cs="Calibri"/>
        </w:rPr>
      </w:pPr>
      <w:proofErr w:type="spellStart"/>
      <w:r>
        <w:rPr>
          <w:rFonts w:ascii="Calibri" w:hAnsi="Calibri" w:cs="Calibri"/>
        </w:rPr>
        <w:t>FIREFate</w:t>
      </w:r>
      <w:proofErr w:type="spellEnd"/>
      <w:r>
        <w:rPr>
          <w:rFonts w:ascii="Calibri" w:hAnsi="Calibri" w:cs="Calibri"/>
        </w:rPr>
        <w:t xml:space="preserve"> also enables prediction of </w:t>
      </w:r>
      <w:r w:rsidRPr="6C4092E4">
        <w:rPr>
          <w:rFonts w:ascii="Calibri" w:hAnsi="Calibri" w:cs="Calibri"/>
          <w:color w:val="000000" w:themeColor="text1"/>
          <w:lang w:val="en-US"/>
        </w:rPr>
        <w:t>fate bias pre-encoded within late-stage regulatory programs</w:t>
      </w:r>
      <w:r>
        <w:rPr>
          <w:rFonts w:ascii="Calibri" w:hAnsi="Calibri" w:cs="Calibri"/>
        </w:rPr>
        <w:t xml:space="preserve"> by delving into dynamic TF activity across bifurcations. </w:t>
      </w:r>
      <w:r w:rsidRPr="6C4092E4">
        <w:rPr>
          <w:rFonts w:ascii="Calibri" w:hAnsi="Calibri" w:cs="Calibri"/>
          <w:color w:val="000000" w:themeColor="text1"/>
          <w:lang w:val="en-US"/>
        </w:rPr>
        <w:t xml:space="preserve">Transfer learning from transcription factor perturbation data identifies </w:t>
      </w:r>
      <w:r>
        <w:rPr>
          <w:rFonts w:ascii="Calibri" w:hAnsi="Calibri" w:cs="Calibri"/>
          <w:color w:val="000000" w:themeColor="text1"/>
          <w:lang w:val="en-US"/>
        </w:rPr>
        <w:t xml:space="preserve">interpretable </w:t>
      </w:r>
      <w:r w:rsidRPr="6C4092E4">
        <w:rPr>
          <w:rFonts w:ascii="Calibri" w:hAnsi="Calibri" w:cs="Calibri"/>
          <w:color w:val="000000" w:themeColor="text1"/>
          <w:lang w:val="en-US"/>
        </w:rPr>
        <w:t xml:space="preserve">regulatory programs in uncommitted cells that predispose them toward alternative fates long before phenotypic divergence. In B cells, programs derived from PRDM1 and IRF4 knockouts revealed latent GC bias in early activated cells. Integration with dynamic GRNs identified IKZF2 and RBPJ as episodically active regulators exhibiting low expression and no differential chromatin accessibility yet pronounced regulatory activity. In T cells, </w:t>
      </w:r>
      <w:proofErr w:type="spellStart"/>
      <w:r w:rsidRPr="6C4092E4">
        <w:rPr>
          <w:rFonts w:ascii="Calibri" w:hAnsi="Calibri" w:cs="Calibri"/>
          <w:color w:val="000000" w:themeColor="text1"/>
          <w:lang w:val="en-US"/>
        </w:rPr>
        <w:t>FIREFate</w:t>
      </w:r>
      <w:proofErr w:type="spellEnd"/>
      <w:r w:rsidRPr="6C4092E4">
        <w:rPr>
          <w:rFonts w:ascii="Calibri" w:hAnsi="Calibri" w:cs="Calibri"/>
          <w:color w:val="000000" w:themeColor="text1"/>
          <w:lang w:val="en-US"/>
        </w:rPr>
        <w:t xml:space="preserve"> predicted </w:t>
      </w:r>
      <w:proofErr w:type="spellStart"/>
      <w:r w:rsidRPr="6C4092E4">
        <w:rPr>
          <w:rFonts w:ascii="Calibri" w:hAnsi="Calibri" w:cs="Calibri"/>
          <w:color w:val="000000" w:themeColor="text1"/>
          <w:lang w:val="en-US"/>
        </w:rPr>
        <w:t>Tpex</w:t>
      </w:r>
      <w:proofErr w:type="spellEnd"/>
      <w:r w:rsidRPr="6C4092E4">
        <w:rPr>
          <w:rFonts w:ascii="Calibri" w:hAnsi="Calibri" w:cs="Calibri"/>
          <w:color w:val="000000" w:themeColor="text1"/>
          <w:lang w:val="en-US"/>
        </w:rPr>
        <w:t xml:space="preserve"> versus Tex predisposition in a non-branching system, outperforming gene-centric methods that systematically failed. This enables identification of intervention points for rational immune cell reprogramming.</w:t>
      </w:r>
    </w:p>
    <w:p w:rsidRPr="00C12A99" w:rsidR="008515C4" w:rsidP="008515C4" w:rsidRDefault="008515C4" w14:paraId="11B440F7" w14:textId="77777777"/>
    <w:p w:rsidR="008515C4" w:rsidP="008515C4" w:rsidRDefault="008515C4" w14:paraId="4B2CF0FD" w14:textId="77777777">
      <w:pPr>
        <w:pStyle w:val="Heading2"/>
        <w:spacing w:before="0" w:after="0"/>
        <w:jc w:val="both"/>
        <w:rPr>
          <w:rFonts w:ascii="Calibri" w:hAnsi="Calibri" w:cs="Calibri"/>
          <w:color w:val="000000" w:themeColor="text1"/>
          <w:sz w:val="22"/>
          <w:szCs w:val="22"/>
          <w:lang w:val="en-US"/>
        </w:rPr>
      </w:pPr>
      <w:r w:rsidRPr="6C4092E4">
        <w:rPr>
          <w:rFonts w:ascii="Calibri" w:hAnsi="Calibri" w:cs="Calibri"/>
          <w:color w:val="000000" w:themeColor="text1"/>
          <w:sz w:val="22"/>
          <w:szCs w:val="22"/>
          <w:lang w:val="en-US"/>
        </w:rPr>
        <w:t xml:space="preserve">Benchmarking establishes </w:t>
      </w:r>
      <w:proofErr w:type="spellStart"/>
      <w:r w:rsidRPr="6C4092E4">
        <w:rPr>
          <w:rFonts w:ascii="Calibri" w:hAnsi="Calibri" w:cs="Calibri"/>
          <w:color w:val="000000" w:themeColor="text1"/>
          <w:sz w:val="22"/>
          <w:szCs w:val="22"/>
          <w:lang w:val="en-US"/>
        </w:rPr>
        <w:t>FIREFate's</w:t>
      </w:r>
      <w:proofErr w:type="spellEnd"/>
      <w:r w:rsidRPr="6C4092E4">
        <w:rPr>
          <w:rFonts w:ascii="Calibri" w:hAnsi="Calibri" w:cs="Calibri"/>
          <w:color w:val="000000" w:themeColor="text1"/>
          <w:sz w:val="22"/>
          <w:szCs w:val="22"/>
          <w:lang w:val="en-US"/>
        </w:rPr>
        <w:t xml:space="preserve"> superiority. SCENIC+ produced broad, inflated regulons with limited specificity, whereas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identified compact regulons enriched for genes with stronger state-defining transcriptional shifts. Conventional classifiers collapsed when transferred to uncommitted cells, mislabeling over 92% of cells.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avoided such failures by operating at the regulatory program level.</w:t>
      </w:r>
    </w:p>
    <w:p w:rsidR="008515C4" w:rsidP="008515C4" w:rsidRDefault="008515C4" w14:paraId="1625E8AA" w14:textId="77777777">
      <w:pPr>
        <w:pStyle w:val="Heading2"/>
        <w:spacing w:before="0" w:after="0"/>
        <w:jc w:val="both"/>
        <w:rPr>
          <w:rFonts w:ascii="Calibri" w:hAnsi="Calibri" w:cs="Calibri"/>
          <w:color w:val="000000" w:themeColor="text1"/>
          <w:sz w:val="22"/>
          <w:szCs w:val="22"/>
        </w:rPr>
      </w:pPr>
    </w:p>
    <w:p w:rsidRPr="009658C3" w:rsidR="008515C4" w:rsidP="008515C4" w:rsidRDefault="008515C4" w14:paraId="475B7190" w14:textId="77777777">
      <w:pPr>
        <w:pStyle w:val="Heading2"/>
        <w:spacing w:before="0" w:after="0"/>
        <w:jc w:val="both"/>
        <w:rPr>
          <w:rFonts w:ascii="Calibri" w:hAnsi="Calibri" w:cs="Calibri"/>
          <w:color w:val="000000" w:themeColor="text1"/>
          <w:sz w:val="22"/>
          <w:szCs w:val="22"/>
          <w:lang w:val="en-US"/>
        </w:rPr>
      </w:pPr>
      <w:r w:rsidRPr="6C4092E4">
        <w:rPr>
          <w:rFonts w:ascii="Calibri" w:hAnsi="Calibri" w:cs="Calibri"/>
          <w:color w:val="000000" w:themeColor="text1"/>
          <w:sz w:val="22"/>
          <w:szCs w:val="22"/>
          <w:lang w:val="en-US"/>
        </w:rPr>
        <w:t xml:space="preserve">Despite these strengths,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has limitations. </w:t>
      </w:r>
      <w:proofErr w:type="gramStart"/>
      <w:r w:rsidRPr="6C4092E4">
        <w:rPr>
          <w:rFonts w:ascii="Calibri" w:hAnsi="Calibri" w:cs="Calibri"/>
          <w:color w:val="000000" w:themeColor="text1"/>
          <w:sz w:val="22"/>
          <w:szCs w:val="22"/>
          <w:lang w:val="en-US"/>
        </w:rPr>
        <w:t>A</w:t>
      </w:r>
      <w:proofErr w:type="gramEnd"/>
      <w:r w:rsidRPr="6C4092E4">
        <w:rPr>
          <w:rFonts w:ascii="Calibri" w:hAnsi="Calibri" w:cs="Calibri"/>
          <w:color w:val="000000" w:themeColor="text1"/>
          <w:sz w:val="22"/>
          <w:szCs w:val="22"/>
          <w:lang w:val="en-US"/>
        </w:rPr>
        <w:t xml:space="preserve"> </w:t>
      </w:r>
      <w:r>
        <w:rPr>
          <w:rFonts w:ascii="Calibri" w:hAnsi="Calibri" w:cs="Calibri"/>
          <w:color w:val="000000" w:themeColor="text1"/>
          <w:sz w:val="22"/>
          <w:szCs w:val="22"/>
          <w:lang w:val="en-US"/>
        </w:rPr>
        <w:t>inherent</w:t>
      </w:r>
      <w:r w:rsidRPr="6C4092E4">
        <w:rPr>
          <w:rFonts w:ascii="Calibri" w:hAnsi="Calibri" w:cs="Calibri"/>
          <w:color w:val="000000" w:themeColor="text1"/>
          <w:sz w:val="22"/>
          <w:szCs w:val="22"/>
          <w:lang w:val="en-US"/>
        </w:rPr>
        <w:t xml:space="preserve"> constraint is its reliance on binary, categorical state comparisons. The underlying SLIDE framework is designed to distinguish two discrete states, limiting application to multi-lineage decisions or continuous trajectories. Extensions to multi-class frameworks could address this, though may sacrifice interpretability. Additionally, dynamic GRN inference relies on </w:t>
      </w:r>
      <w:proofErr w:type="spellStart"/>
      <w:r w:rsidRPr="6C4092E4">
        <w:rPr>
          <w:rFonts w:ascii="Calibri" w:hAnsi="Calibri" w:cs="Calibri"/>
          <w:color w:val="000000" w:themeColor="text1"/>
          <w:sz w:val="22"/>
          <w:szCs w:val="22"/>
          <w:lang w:val="en-US"/>
        </w:rPr>
        <w:t>pseudotime</w:t>
      </w:r>
      <w:proofErr w:type="spellEnd"/>
      <w:r w:rsidRPr="6C4092E4">
        <w:rPr>
          <w:rFonts w:ascii="Calibri" w:hAnsi="Calibri" w:cs="Calibri"/>
          <w:color w:val="000000" w:themeColor="text1"/>
          <w:sz w:val="22"/>
          <w:szCs w:val="22"/>
          <w:lang w:val="en-US"/>
        </w:rPr>
        <w:t xml:space="preserve"> ordering, which can be sensitive to trajectory inference methods. Experimental validation through targeted perturbations remains essential to establish causality. Overall, </w:t>
      </w:r>
      <w:proofErr w:type="spellStart"/>
      <w:r w:rsidRPr="6C4092E4">
        <w:rPr>
          <w:rFonts w:ascii="Calibri" w:hAnsi="Calibri" w:cs="Calibri"/>
          <w:color w:val="000000" w:themeColor="text1"/>
          <w:sz w:val="22"/>
          <w:szCs w:val="22"/>
          <w:lang w:val="en-US"/>
        </w:rPr>
        <w:t>FIREFate</w:t>
      </w:r>
      <w:proofErr w:type="spellEnd"/>
      <w:r w:rsidRPr="6C4092E4">
        <w:rPr>
          <w:rFonts w:ascii="Calibri" w:hAnsi="Calibri" w:cs="Calibri"/>
          <w:color w:val="000000" w:themeColor="text1"/>
          <w:sz w:val="22"/>
          <w:szCs w:val="22"/>
          <w:lang w:val="en-US"/>
        </w:rPr>
        <w:t xml:space="preserve"> provides a</w:t>
      </w:r>
      <w:r>
        <w:rPr>
          <w:rFonts w:ascii="Calibri" w:hAnsi="Calibri" w:cs="Calibri"/>
          <w:color w:val="000000" w:themeColor="text1"/>
          <w:sz w:val="22"/>
          <w:szCs w:val="22"/>
          <w:lang w:val="en-US"/>
        </w:rPr>
        <w:t xml:space="preserve"> mechanistically grounded</w:t>
      </w:r>
      <w:r w:rsidRPr="6C4092E4">
        <w:rPr>
          <w:rFonts w:ascii="Calibri" w:hAnsi="Calibri" w:cs="Calibri"/>
          <w:color w:val="000000" w:themeColor="text1"/>
          <w:sz w:val="22"/>
          <w:szCs w:val="22"/>
          <w:lang w:val="en-US"/>
        </w:rPr>
        <w:t xml:space="preserve"> blueprint for understanding, predicting, and </w:t>
      </w:r>
      <w:r>
        <w:rPr>
          <w:rFonts w:ascii="Calibri" w:hAnsi="Calibri" w:cs="Calibri"/>
          <w:color w:val="000000" w:themeColor="text1"/>
          <w:sz w:val="22"/>
          <w:szCs w:val="22"/>
          <w:lang w:val="en-US"/>
        </w:rPr>
        <w:t xml:space="preserve">ultimately </w:t>
      </w:r>
      <w:r w:rsidRPr="6C4092E4">
        <w:rPr>
          <w:rFonts w:ascii="Calibri" w:hAnsi="Calibri" w:cs="Calibri"/>
          <w:color w:val="000000" w:themeColor="text1"/>
          <w:sz w:val="22"/>
          <w:szCs w:val="22"/>
          <w:lang w:val="en-US"/>
        </w:rPr>
        <w:t>controlling cellular decision-making, with broad applications in immunology, synthetic biology, and therapeutic development.</w:t>
      </w:r>
    </w:p>
    <w:p w:rsidRPr="009658C3" w:rsidR="008515C4" w:rsidP="008515C4" w:rsidRDefault="008515C4" w14:paraId="1A2076CF" w14:textId="77777777">
      <w:pPr>
        <w:jc w:val="both"/>
        <w:rPr>
          <w:rFonts w:ascii="Calibri" w:hAnsi="Calibri" w:cs="Calibri"/>
          <w:b/>
          <w:bCs/>
          <w:color w:val="000000" w:themeColor="text1"/>
        </w:rPr>
      </w:pPr>
      <w:r w:rsidRPr="2F61C2E8">
        <w:rPr>
          <w:rFonts w:ascii="Calibri" w:hAnsi="Calibri" w:cs="Calibri"/>
          <w:b/>
          <w:bCs/>
          <w:color w:val="000000" w:themeColor="text1"/>
        </w:rPr>
        <w:br w:type="page"/>
      </w:r>
    </w:p>
    <w:p w:rsidRPr="0043257D" w:rsidR="008515C4" w:rsidP="008515C4" w:rsidRDefault="008515C4" w14:paraId="24EEEADA" w14:textId="77777777">
      <w:pPr>
        <w:jc w:val="both"/>
        <w:rPr>
          <w:rFonts w:ascii="Calibri" w:hAnsi="Calibri" w:cs="Calibri"/>
          <w:b/>
          <w:bCs/>
          <w:color w:val="000000" w:themeColor="text1"/>
          <w:lang w:val="en-US"/>
        </w:rPr>
      </w:pPr>
    </w:p>
    <w:p w:rsidR="008515C4" w:rsidP="008515C4" w:rsidRDefault="008515C4" w14:paraId="7CB46ED4" w14:textId="77777777">
      <w:pPr>
        <w:jc w:val="both"/>
        <w:rPr>
          <w:rFonts w:ascii="Calibri" w:hAnsi="Calibri" w:cs="Calibri"/>
          <w:b/>
          <w:bCs/>
          <w:color w:val="000000" w:themeColor="text1"/>
          <w:sz w:val="28"/>
          <w:szCs w:val="28"/>
          <w:lang w:val="en-US"/>
        </w:rPr>
      </w:pPr>
      <w:r>
        <w:rPr>
          <w:rFonts w:ascii="Calibri" w:hAnsi="Calibri" w:cs="Calibri"/>
          <w:b/>
          <w:bCs/>
          <w:color w:val="000000" w:themeColor="text1"/>
          <w:sz w:val="28"/>
          <w:szCs w:val="28"/>
          <w:lang w:val="en-US"/>
        </w:rPr>
        <w:br w:type="page"/>
      </w:r>
    </w:p>
    <w:p w:rsidRPr="009658C3" w:rsidR="008515C4" w:rsidP="008515C4" w:rsidRDefault="008515C4" w14:paraId="310CBFB7" w14:textId="77777777">
      <w:pPr>
        <w:pStyle w:val="Heading2"/>
        <w:pBdr>
          <w:bottom w:val="single" w:color="auto" w:sz="4" w:space="1"/>
        </w:pBdr>
        <w:jc w:val="both"/>
        <w:rPr>
          <w:rFonts w:ascii="Calibri" w:hAnsi="Calibri" w:cs="Calibri"/>
          <w:b/>
          <w:color w:val="000000" w:themeColor="text1"/>
          <w:sz w:val="40"/>
          <w:szCs w:val="40"/>
        </w:rPr>
      </w:pPr>
      <w:r w:rsidRPr="009658C3">
        <w:rPr>
          <w:rFonts w:ascii="Calibri" w:hAnsi="Calibri" w:cs="Calibri"/>
          <w:b/>
          <w:bCs/>
          <w:color w:val="000000" w:themeColor="text1"/>
          <w:sz w:val="28"/>
          <w:szCs w:val="28"/>
          <w:lang w:val="en-US"/>
        </w:rPr>
        <w:t>METHODS:</w:t>
      </w:r>
      <w:r w:rsidRPr="009658C3">
        <w:rPr>
          <w:rFonts w:ascii="Calibri" w:hAnsi="Calibri" w:cs="Calibri"/>
          <w:b/>
          <w:color w:val="000000" w:themeColor="text1"/>
          <w:sz w:val="40"/>
          <w:szCs w:val="40"/>
        </w:rPr>
        <w:t xml:space="preserve"> </w:t>
      </w:r>
    </w:p>
    <w:p w:rsidRPr="00624F7B" w:rsidR="008515C4" w:rsidP="63985EAC" w:rsidRDefault="008515C4" w14:paraId="51239D55" w14:textId="2C3297DA">
      <w:pPr>
        <w:pStyle w:val="Heading3"/>
        <w:jc w:val="both"/>
        <w:rPr>
          <w:rFonts w:ascii="Aptos Display" w:hAnsi="Aptos Display" w:cs="Aptos Display" w:asciiTheme="majorAscii" w:hAnsiTheme="majorAscii" w:cstheme="majorAscii"/>
          <w:b w:val="1"/>
          <w:bCs w:val="1"/>
          <w:color w:val="000000" w:themeColor="text1"/>
          <w:sz w:val="24"/>
          <w:szCs w:val="24"/>
          <w:lang w:val="en-US"/>
        </w:rPr>
      </w:pPr>
      <w:r w:rsidRPr="63985EAC" w:rsidR="008515C4">
        <w:rPr>
          <w:rFonts w:ascii="Aptos Display" w:hAnsi="Aptos Display" w:cs="Aptos Display" w:asciiTheme="majorAscii" w:hAnsiTheme="majorAscii" w:cstheme="majorAscii"/>
          <w:b w:val="1"/>
          <w:bCs w:val="1"/>
          <w:color w:val="000000" w:themeColor="text1" w:themeTint="FF" w:themeShade="FF"/>
          <w:sz w:val="24"/>
          <w:szCs w:val="24"/>
          <w:lang w:val="en-US"/>
        </w:rPr>
        <w:t>FIREFate</w:t>
      </w:r>
      <w:r w:rsidRPr="63985EAC" w:rsidR="008515C4">
        <w:rPr>
          <w:rFonts w:ascii="Aptos Display" w:hAnsi="Aptos Display" w:cs="Aptos Display" w:asciiTheme="majorAscii" w:hAnsiTheme="majorAscii" w:cstheme="majorAscii"/>
          <w:b w:val="1"/>
          <w:bCs w:val="1"/>
          <w:color w:val="000000" w:themeColor="text1" w:themeTint="FF" w:themeShade="FF"/>
          <w:sz w:val="24"/>
          <w:szCs w:val="24"/>
          <w:lang w:val="en-US"/>
        </w:rPr>
        <w:t xml:space="preserve"> overview</w:t>
      </w:r>
    </w:p>
    <w:p w:rsidRPr="0079560B" w:rsidR="00FB77F8" w:rsidP="008515C4" w:rsidRDefault="008515C4" w14:paraId="1142EC14" w14:textId="77C00A64">
      <w:pPr>
        <w:pStyle w:val="Heading3"/>
        <w:jc w:val="both"/>
        <w:rPr>
          <w:rFonts w:ascii="Calibri" w:hAnsi="Calibri" w:cs="Calibri"/>
          <w:color w:val="000000" w:themeColor="text1"/>
          <w:sz w:val="22"/>
          <w:szCs w:val="22"/>
          <w:lang w:val="en-US"/>
        </w:rPr>
      </w:pPr>
      <w:r w:rsidRPr="63985EAC" w:rsidR="008515C4">
        <w:rPr>
          <w:rFonts w:ascii="Calibri" w:hAnsi="Calibri" w:cs="Calibri"/>
          <w:color w:val="000000" w:themeColor="text1" w:themeTint="FF" w:themeShade="FF"/>
          <w:sz w:val="22"/>
          <w:szCs w:val="22"/>
          <w:lang w:val="en-US"/>
        </w:rPr>
        <w:t xml:space="preserve">The </w:t>
      </w:r>
      <w:r w:rsidRPr="63985EAC" w:rsidR="008515C4">
        <w:rPr>
          <w:rFonts w:ascii="Calibri" w:hAnsi="Calibri" w:cs="Calibri"/>
          <w:color w:val="000000" w:themeColor="text1" w:themeTint="FF" w:themeShade="FF"/>
          <w:sz w:val="22"/>
          <w:szCs w:val="22"/>
          <w:lang w:val="en-US"/>
        </w:rPr>
        <w:t>FIREFate</w:t>
      </w:r>
      <w:r w:rsidRPr="63985EAC" w:rsidR="008515C4">
        <w:rPr>
          <w:rFonts w:ascii="Calibri" w:hAnsi="Calibri" w:cs="Calibri"/>
          <w:color w:val="000000" w:themeColor="text1" w:themeTint="FF" w:themeShade="FF"/>
          <w:sz w:val="22"/>
          <w:szCs w:val="22"/>
          <w:lang w:val="en-US"/>
        </w:rPr>
        <w:t xml:space="preserve"> workflow consists of: (1) inferring cellular programs underlying cell states using an interpretable machine learning model along with characterizing their phenotypic roles through gene set enrichment analysis supported by large language models; (2) constructing state-specific static GRNs using </w:t>
      </w:r>
      <w:r w:rsidRPr="63985EAC" w:rsidR="008515C4">
        <w:rPr>
          <w:rFonts w:ascii="Calibri" w:hAnsi="Calibri" w:cs="Calibri"/>
          <w:color w:val="000000" w:themeColor="text1" w:themeTint="FF" w:themeShade="FF"/>
          <w:sz w:val="22"/>
          <w:szCs w:val="22"/>
          <w:lang w:val="en-US"/>
        </w:rPr>
        <w:t>sc-multiomics</w:t>
      </w:r>
      <w:r w:rsidRPr="63985EAC" w:rsidR="008515C4">
        <w:rPr>
          <w:rFonts w:ascii="Calibri" w:hAnsi="Calibri" w:cs="Calibri"/>
          <w:color w:val="000000" w:themeColor="text1" w:themeTint="FF" w:themeShade="FF"/>
          <w:sz w:val="22"/>
          <w:szCs w:val="22"/>
          <w:lang w:val="en-US"/>
        </w:rPr>
        <w:t xml:space="preserve"> data or </w:t>
      </w:r>
      <w:r w:rsidRPr="63985EAC" w:rsidR="008515C4">
        <w:rPr>
          <w:rFonts w:ascii="Calibri" w:hAnsi="Calibri" w:cs="Calibri"/>
          <w:color w:val="000000" w:themeColor="text1" w:themeTint="FF" w:themeShade="FF"/>
          <w:sz w:val="22"/>
          <w:szCs w:val="22"/>
          <w:lang w:val="en-US"/>
        </w:rPr>
        <w:t>scRNA</w:t>
      </w:r>
      <w:r w:rsidRPr="63985EAC" w:rsidR="008515C4">
        <w:rPr>
          <w:rFonts w:ascii="Calibri" w:hAnsi="Calibri" w:cs="Calibri"/>
          <w:color w:val="000000" w:themeColor="text1" w:themeTint="FF" w:themeShade="FF"/>
          <w:sz w:val="22"/>
          <w:szCs w:val="22"/>
          <w:lang w:val="en-US"/>
        </w:rPr>
        <w:t xml:space="preserve">-seq data alone; (3) defining highly specific TF-centric regulons by integrating the inferred cellular programs with the static GRN and calculating TF-centric regulon enrichment; (4) constructing state-specific dynamic GRNs using </w:t>
      </w:r>
      <w:r w:rsidRPr="63985EAC" w:rsidR="008515C4">
        <w:rPr>
          <w:rFonts w:ascii="Calibri" w:hAnsi="Calibri" w:cs="Calibri"/>
          <w:color w:val="000000" w:themeColor="text1" w:themeTint="FF" w:themeShade="FF"/>
          <w:sz w:val="22"/>
          <w:szCs w:val="22"/>
          <w:lang w:val="en-US"/>
        </w:rPr>
        <w:t>sc-multiomics</w:t>
      </w:r>
      <w:r w:rsidRPr="63985EAC" w:rsidR="008515C4">
        <w:rPr>
          <w:rFonts w:ascii="Calibri" w:hAnsi="Calibri" w:cs="Calibri"/>
          <w:color w:val="000000" w:themeColor="text1" w:themeTint="FF" w:themeShade="FF"/>
          <w:sz w:val="22"/>
          <w:szCs w:val="22"/>
          <w:lang w:val="en-US"/>
        </w:rPr>
        <w:t xml:space="preserve"> data; (5) identifying state-specific TF expression and regulatory dynamics, including episodic enrichment patterns; (6) identifying state-predisposing cellular programs that bias cell-fate decisions using an interpretable machine learning model applied to TF-KO versus unperturbed control cell populations; and (7) determining TFs enriched within these predisposing programs through integration of static and dynamic GRNs. We implemented and tested </w:t>
      </w:r>
      <w:r w:rsidRPr="63985EAC" w:rsidR="008515C4">
        <w:rPr>
          <w:rFonts w:ascii="Calibri" w:hAnsi="Calibri" w:cs="Calibri"/>
          <w:color w:val="000000" w:themeColor="text1" w:themeTint="FF" w:themeShade="FF"/>
          <w:sz w:val="22"/>
          <w:szCs w:val="22"/>
          <w:lang w:val="en-US"/>
        </w:rPr>
        <w:t>FIREFate</w:t>
      </w:r>
      <w:r w:rsidRPr="63985EAC" w:rsidR="008515C4">
        <w:rPr>
          <w:rFonts w:ascii="Calibri" w:hAnsi="Calibri" w:cs="Calibri"/>
          <w:color w:val="000000" w:themeColor="text1" w:themeTint="FF" w:themeShade="FF"/>
          <w:sz w:val="22"/>
          <w:szCs w:val="22"/>
          <w:lang w:val="en-US"/>
        </w:rPr>
        <w:t xml:space="preserve"> in Python and R (versions xx and xx) and designed it for use in Jupyter Notebook and RStudio environments. </w:t>
      </w:r>
      <w:r w:rsidRPr="63985EAC" w:rsidR="008515C4">
        <w:rPr>
          <w:rFonts w:ascii="Calibri" w:hAnsi="Calibri" w:cs="Calibri"/>
          <w:color w:val="000000" w:themeColor="text1" w:themeTint="FF" w:themeShade="FF"/>
          <w:sz w:val="22"/>
          <w:szCs w:val="22"/>
          <w:lang w:val="en-US"/>
        </w:rPr>
        <w:t>FIREFate</w:t>
      </w:r>
      <w:r w:rsidRPr="63985EAC" w:rsidR="008515C4">
        <w:rPr>
          <w:rFonts w:ascii="Calibri" w:hAnsi="Calibri" w:cs="Calibri"/>
          <w:color w:val="000000" w:themeColor="text1" w:themeTint="FF" w:themeShade="FF"/>
          <w:sz w:val="22"/>
          <w:szCs w:val="22"/>
          <w:lang w:val="en-US"/>
        </w:rPr>
        <w:t xml:space="preserve"> code is open source and available on GitHub (https://github.com/sachha-naksha/FIREFate.git)</w:t>
      </w:r>
      <w:hyperlink r:id="R7988e3f0f7ef486d">
        <w:r w:rsidRPr="63985EAC" w:rsidR="008515C4">
          <w:rPr>
            <w:rStyle w:val="Hyperlink"/>
            <w:rFonts w:ascii="Calibri" w:hAnsi="Calibri" w:cs="Calibri"/>
            <w:color w:val="000000" w:themeColor="text1" w:themeTint="FF" w:themeShade="FF"/>
            <w:sz w:val="22"/>
            <w:szCs w:val="22"/>
          </w:rPr>
          <w:t>https://github.com/xxx</w:t>
        </w:r>
      </w:hyperlink>
      <w:r w:rsidRPr="63985EAC" w:rsidR="008515C4">
        <w:rPr>
          <w:rFonts w:ascii="Calibri" w:hAnsi="Calibri" w:cs="Calibri"/>
          <w:color w:val="000000" w:themeColor="text1" w:themeTint="FF" w:themeShade="FF"/>
          <w:sz w:val="22"/>
          <w:szCs w:val="22"/>
          <w:lang w:val="en-US"/>
        </w:rPr>
        <w:t>, along with detailed descriptions of functions and tutorials. Additionally, we provide a user-friendly web application (</w:t>
      </w:r>
      <w:hyperlink r:id="R83926ae0c71744e5">
        <w:r w:rsidRPr="63985EAC" w:rsidR="008515C4">
          <w:rPr>
            <w:rStyle w:val="Hyperlink"/>
            <w:rFonts w:ascii="Calibri" w:hAnsi="Calibri" w:cs="Calibri"/>
            <w:color w:val="000000" w:themeColor="text1" w:themeTint="FF" w:themeShade="FF"/>
            <w:sz w:val="22"/>
            <w:szCs w:val="22"/>
            <w:lang w:val="en-US"/>
          </w:rPr>
          <w:t>https://pitt-csi.shinyapps.io/firefate/</w:t>
        </w:r>
      </w:hyperlink>
      <w:r w:rsidRPr="63985EAC" w:rsidR="008515C4">
        <w:rPr>
          <w:rFonts w:ascii="Calibri" w:hAnsi="Calibri" w:cs="Calibri"/>
          <w:color w:val="000000" w:themeColor="text1" w:themeTint="FF" w:themeShade="FF"/>
          <w:sz w:val="22"/>
          <w:szCs w:val="22"/>
          <w:lang w:val="en-US"/>
        </w:rPr>
        <w:t xml:space="preserve">) that facilitates </w:t>
      </w:r>
      <w:r w:rsidRPr="63985EAC" w:rsidR="008515C4">
        <w:rPr>
          <w:rFonts w:ascii="Calibri" w:hAnsi="Calibri" w:cs="Calibri"/>
          <w:color w:val="000000" w:themeColor="text1" w:themeTint="FF" w:themeShade="FF"/>
          <w:sz w:val="22"/>
          <w:szCs w:val="22"/>
          <w:lang w:val="en-US"/>
        </w:rPr>
        <w:t>FIREFate</w:t>
      </w:r>
      <w:r w:rsidRPr="63985EAC" w:rsidR="008515C4">
        <w:rPr>
          <w:rFonts w:ascii="Calibri" w:hAnsi="Calibri" w:cs="Calibri"/>
          <w:color w:val="000000" w:themeColor="text1" w:themeTint="FF" w:themeShade="FF"/>
          <w:sz w:val="22"/>
          <w:szCs w:val="22"/>
          <w:lang w:val="en-US"/>
        </w:rPr>
        <w:t xml:space="preserve"> analyses and enables interactive exploration of the results presented in this manuscript.</w:t>
      </w:r>
    </w:p>
    <w:p w:rsidRPr="00346C1C" w:rsidR="008515C4" w:rsidP="3B592578" w:rsidRDefault="008515C4" w14:paraId="5E579527" w14:textId="161DF2AB">
      <w:pPr>
        <w:pStyle w:val="Heading3"/>
        <w:jc w:val="both"/>
        <w:rPr>
          <w:rFonts w:ascii="Aptos Display" w:hAnsi="Aptos Display" w:cs="Aptos Display" w:asciiTheme="majorAscii" w:hAnsiTheme="majorAscii" w:cstheme="majorAscii"/>
          <w:b w:val="1"/>
          <w:bCs w:val="1"/>
          <w:color w:val="000000" w:themeColor="text1"/>
          <w:sz w:val="22"/>
          <w:szCs w:val="22"/>
          <w:lang w:val="en-US"/>
        </w:rPr>
      </w:pPr>
      <w:r w:rsidRPr="3B592578" w:rsidR="008515C4">
        <w:rPr>
          <w:rFonts w:ascii="Aptos Display" w:hAnsi="Aptos Display" w:cs="Aptos Display" w:asciiTheme="majorAscii" w:hAnsiTheme="majorAscii" w:cstheme="majorAscii"/>
          <w:b w:val="1"/>
          <w:bCs w:val="1"/>
          <w:color w:val="000000" w:themeColor="text1" w:themeTint="FF" w:themeShade="FF"/>
          <w:sz w:val="22"/>
          <w:szCs w:val="22"/>
          <w:lang w:val="en-US"/>
        </w:rPr>
        <w:t>Inferring Cellular Programs Using interpretable machine learning</w:t>
      </w:r>
    </w:p>
    <w:p w:rsidRPr="009658C3" w:rsidR="008515C4" w:rsidP="008515C4" w:rsidRDefault="008515C4" w14:paraId="6101D9C0" w14:textId="77777777">
      <w:pPr>
        <w:jc w:val="both"/>
        <w:rPr>
          <w:rFonts w:ascii="Calibri" w:hAnsi="Calibri" w:cs="Calibri"/>
          <w:color w:val="000000" w:themeColor="text1"/>
          <w:lang w:val="en-US"/>
        </w:rPr>
      </w:pPr>
      <w:r w:rsidRPr="009658C3">
        <w:rPr>
          <w:rFonts w:ascii="Calibri" w:hAnsi="Calibri" w:cs="Calibri"/>
          <w:color w:val="000000" w:themeColor="text1"/>
        </w:rPr>
        <w:t xml:space="preserve">In the first step, the cellular programs underlying cell states using the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w:t>
      </w:r>
      <w:r>
        <w:rPr>
          <w:rFonts w:ascii="Calibri" w:hAnsi="Calibri" w:cs="Calibri"/>
          <w:color w:val="000000" w:themeColor="text1"/>
        </w:rPr>
        <w:t xml:space="preserve"> are identified</w:t>
      </w:r>
      <w:r w:rsidRPr="009658C3">
        <w:rPr>
          <w:rFonts w:ascii="Calibri" w:hAnsi="Calibri" w:cs="Calibri"/>
          <w:color w:val="000000" w:themeColor="text1"/>
        </w:rPr>
        <w:t xml:space="preserve">. To achieve this, </w:t>
      </w:r>
      <w:r>
        <w:rPr>
          <w:rFonts w:ascii="Calibri" w:hAnsi="Calibri" w:cs="Calibri"/>
          <w:color w:val="000000" w:themeColor="text1"/>
        </w:rPr>
        <w:t>we</w:t>
      </w:r>
      <w:r w:rsidRPr="009658C3">
        <w:rPr>
          <w:rFonts w:ascii="Calibri" w:hAnsi="Calibri" w:cs="Calibri"/>
          <w:color w:val="000000" w:themeColor="text1"/>
        </w:rPr>
        <w:t xml:space="preserve"> employ an interpretable machine learning method called SLIDE to identify the significant </w:t>
      </w:r>
      <w:r>
        <w:rPr>
          <w:rFonts w:ascii="Calibri" w:hAnsi="Calibri" w:cs="Calibri"/>
          <w:color w:val="000000" w:themeColor="text1"/>
        </w:rPr>
        <w:t xml:space="preserve">cellular programs </w:t>
      </w:r>
      <w:r w:rsidRPr="009658C3">
        <w:rPr>
          <w:rFonts w:ascii="Calibri" w:hAnsi="Calibri" w:cs="Calibri"/>
          <w:color w:val="000000" w:themeColor="text1"/>
        </w:rPr>
        <w:t>(</w:t>
      </w:r>
      <w:r>
        <w:rPr>
          <w:rFonts w:ascii="Calibri" w:hAnsi="Calibri" w:cs="Calibri"/>
          <w:color w:val="000000" w:themeColor="text1"/>
        </w:rPr>
        <w:t>CP</w:t>
      </w:r>
      <w:r w:rsidRPr="009658C3">
        <w:rPr>
          <w:rFonts w:ascii="Calibri" w:hAnsi="Calibri" w:cs="Calibri"/>
          <w:color w:val="000000" w:themeColor="text1"/>
        </w:rPr>
        <w:t xml:space="preserve">s) underlying outcomes of interest from high-dimensional </w:t>
      </w:r>
      <w:proofErr w:type="spellStart"/>
      <w:r w:rsidRPr="009658C3">
        <w:rPr>
          <w:rFonts w:ascii="Calibri" w:hAnsi="Calibri" w:cs="Calibri"/>
          <w:color w:val="000000" w:themeColor="text1"/>
        </w:rPr>
        <w:t>omic</w:t>
      </w:r>
      <w:proofErr w:type="spellEnd"/>
      <w:r w:rsidRPr="009658C3">
        <w:rPr>
          <w:rFonts w:ascii="Calibri" w:hAnsi="Calibri" w:cs="Calibri"/>
          <w:color w:val="000000" w:themeColor="text1"/>
        </w:rPr>
        <w:t xml:space="preserve"> datasets [ref to SLIDE]. This method is beneficial as it discovers necessary and sufficient </w:t>
      </w:r>
      <w:r>
        <w:rPr>
          <w:rFonts w:ascii="Calibri" w:hAnsi="Calibri" w:cs="Calibri"/>
          <w:color w:val="000000" w:themeColor="text1"/>
        </w:rPr>
        <w:t>CP</w:t>
      </w:r>
      <w:r w:rsidRPr="009658C3">
        <w:rPr>
          <w:rFonts w:ascii="Calibri" w:hAnsi="Calibri" w:cs="Calibri"/>
          <w:color w:val="000000" w:themeColor="text1"/>
        </w:rPr>
        <w:t xml:space="preserve">s to distinguish the states. SLIDE is a regression-based model that identifies significant </w:t>
      </w:r>
      <w:r>
        <w:rPr>
          <w:rFonts w:ascii="Calibri" w:hAnsi="Calibri" w:cs="Calibri"/>
          <w:color w:val="000000" w:themeColor="text1"/>
        </w:rPr>
        <w:t>CP</w:t>
      </w:r>
      <w:r w:rsidRPr="009658C3">
        <w:rPr>
          <w:rFonts w:ascii="Calibri" w:hAnsi="Calibri" w:cs="Calibri"/>
          <w:color w:val="000000" w:themeColor="text1"/>
        </w:rPr>
        <w:t>s (Z) capturing linear and nonlinear relationships between observed data (X) and the phenotype of interest (Y: in our case binary values regrading each state of interest):</w:t>
      </w:r>
    </w:p>
    <w:p w:rsidRPr="009658C3" w:rsidR="008515C4" w:rsidP="008515C4" w:rsidRDefault="008515C4" w14:paraId="1F0B79C3" w14:textId="77777777">
      <w:pPr>
        <w:jc w:val="both"/>
        <w:rPr>
          <w:rFonts w:ascii="Calibri" w:hAnsi="Calibri" w:cs="Calibri"/>
          <w:color w:val="000000" w:themeColor="text1"/>
          <w:lang w:val="en-US"/>
        </w:rPr>
      </w:pPr>
    </w:p>
    <w:p w:rsidRPr="009658C3" w:rsidR="008515C4" w:rsidP="008515C4" w:rsidRDefault="00C32F14" w14:paraId="164AED9B" w14:textId="77777777">
      <w:pPr>
        <w:jc w:val="both"/>
        <w:rPr>
          <w:rFonts w:ascii="Calibri" w:hAnsi="Calibri" w:cs="Calibri"/>
          <w:color w:val="000000" w:themeColor="text1"/>
          <w:shd w:val="clear" w:color="auto" w:fill="FFFFFF"/>
        </w:rPr>
      </w:pPr>
      <m:oMath>
        <m:sSup>
          <m:sSupPr>
            <m:ctrlPr>
              <w:rPr>
                <w:rFonts w:ascii="Cambria Math" w:hAnsi="Cambria Math" w:cs="Calibri"/>
                <w:i/>
                <w:color w:val="000000" w:themeColor="text1"/>
                <w:shd w:val="clear" w:color="auto" w:fill="FFFFFF"/>
              </w:rPr>
            </m:ctrlPr>
          </m:sSupPr>
          <m:e>
            <m:r>
              <w:rPr>
                <w:rFonts w:ascii="Cambria Math" w:hAnsi="Cambria Math" w:cs="Calibri"/>
                <w:color w:val="000000" w:themeColor="text1"/>
                <w:shd w:val="clear" w:color="auto" w:fill="FFFFFF"/>
              </w:rPr>
              <m:t>X</m:t>
            </m:r>
          </m:e>
          <m:sup>
            <m:r>
              <w:rPr>
                <w:rFonts w:ascii="Cambria Math" w:hAnsi="Cambria Math" w:cs="Calibri"/>
                <w:color w:val="000000" w:themeColor="text1"/>
                <w:shd w:val="clear" w:color="auto" w:fill="FFFFFF"/>
              </w:rPr>
              <m:t>'</m:t>
            </m:r>
          </m:sup>
        </m:sSup>
        <m:r>
          <w:rPr>
            <w:rFonts w:ascii="Cambria Math" w:hAnsi="Cambria Math" w:cs="Calibri"/>
            <w:color w:val="000000" w:themeColor="text1"/>
            <w:shd w:val="clear" w:color="auto" w:fill="FFFFFF"/>
          </w:rPr>
          <m:t>=AZ+E</m:t>
        </m:r>
      </m:oMath>
      <w:r w:rsidRPr="009658C3" w:rsidR="008515C4">
        <w:rPr>
          <w:rFonts w:ascii="Calibri" w:hAnsi="Calibri" w:cs="Calibri"/>
          <w:color w:val="000000" w:themeColor="text1"/>
          <w:shd w:val="clear" w:color="auto" w:fill="FFFFFF"/>
        </w:rPr>
        <w:t xml:space="preserve">                                                     (1)</w:t>
      </w:r>
    </w:p>
    <w:p w:rsidRPr="009658C3" w:rsidR="008515C4" w:rsidP="008515C4" w:rsidRDefault="008515C4" w14:paraId="538A1CE3" w14:textId="77777777">
      <w:pPr>
        <w:jc w:val="both"/>
        <w:rPr>
          <w:rFonts w:ascii="Calibri" w:hAnsi="Calibri" w:cs="Calibri"/>
          <w:color w:val="000000" w:themeColor="text1"/>
          <w:shd w:val="clear" w:color="auto" w:fill="FFFFFF"/>
        </w:rPr>
      </w:pPr>
    </w:p>
    <w:p w:rsidRPr="009658C3" w:rsidR="008515C4" w:rsidP="008515C4" w:rsidRDefault="008515C4" w14:paraId="7483188A" w14:textId="1C7F8E00">
      <w:pPr>
        <w:jc w:val="both"/>
        <w:rPr>
          <w:rFonts w:ascii="Calibri" w:hAnsi="Calibri" w:cs="Calibri"/>
          <w:color w:val="000000" w:themeColor="text1"/>
          <w:shd w:val="clear" w:color="auto" w:fill="FFFFFF"/>
          <w:lang w:val="en-US"/>
        </w:rPr>
      </w:pPr>
      <w:r w:rsidRPr="009658C3" w:rsidR="008515C4">
        <w:rPr>
          <w:rFonts w:ascii="Calibri" w:hAnsi="Calibri" w:cs="Calibri"/>
          <w:color w:val="000000" w:themeColor="text1"/>
          <w:shd w:val="clear" w:color="auto" w:fill="FFFFFF"/>
          <w:lang w:val="en-US"/>
        </w:rPr>
        <w:t xml:space="preserve"> </w:t>
      </w:r>
      <m:oMath xmlns:m="http://schemas.openxmlformats.org/officeDocument/2006/math">
        <m:sSub xmlns:m="http://schemas.openxmlformats.org/officeDocument/2006/math">
          <m:sSubPr>
            <m:ctrlPr>
              <w:rPr xmlns:w="http://schemas.openxmlformats.org/wordprocessingml/2006/main">
                <w:rFonts w:ascii="Cambria Math" w:hAnsi="Cambria Math" w:cs="Calibri"/>
                <w:i/>
                <w:color w:val="000000" w:themeColor="text1"/>
                <w:shd w:val="clear" w:color="auto" w:fill="FFFFFF"/>
              </w:rPr>
            </m:ctrlPr>
          </m:sSubPr>
          <m:e>
            <m:r>
              <w:rPr xmlns:w="http://schemas.openxmlformats.org/wordprocessingml/2006/main">
                <w:rFonts w:ascii="Cambria Math" w:hAnsi="Cambria Math" w:cs="Calibri"/>
                <w:color w:val="000000" w:themeColor="text1"/>
                <w:shd w:val="clear" w:color="auto" w:fill="FFFFFF"/>
              </w:rPr>
              <m:t>X</m:t>
            </m:r>
          </m:e>
          <m:sub>
            <m:r>
              <w:rPr xmlns:w="http://schemas.openxmlformats.org/wordprocessingml/2006/main">
                <w:rFonts w:ascii="Cambria Math" w:hAnsi="Cambria Math" w:cs="Calibri"/>
                <w:color w:val="000000" w:themeColor="text1"/>
                <w:shd w:val="clear" w:color="auto" w:fill="FFFFFF"/>
              </w:rPr>
              <m:t>n×p</m:t>
            </m:r>
          </m:sub>
        </m:sSub>
      </m:oMath>
      <w:r w:rsidRPr="009658C3" w:rsidR="008515C4">
        <w:rPr>
          <w:rFonts w:ascii="Calibri" w:hAnsi="Calibri" w:cs="Calibri"/>
          <w:color w:val="000000" w:themeColor="text1"/>
          <w:shd w:val="clear" w:color="auto" w:fill="FFFFFF"/>
          <w:lang w:val="en-US"/>
        </w:rPr>
        <w:t xml:space="preserve"> is </w:t>
      </w:r>
      <w:r w:rsidRPr="63985EAC" w:rsidR="008515C4">
        <w:rPr>
          <w:rFonts w:ascii="Calibri" w:hAnsi="Calibri" w:cs="Calibri"/>
          <w:color w:val="000000" w:themeColor="text1" w:themeTint="FF" w:themeShade="FF"/>
          <w:lang w:val="en-US"/>
        </w:rPr>
        <w:t>sc</w:t>
      </w:r>
      <w:r w:rsidRPr="63985EAC" w:rsidR="008515C4">
        <w:rPr>
          <w:rFonts w:ascii="Calibri" w:hAnsi="Calibri" w:cs="Calibri"/>
          <w:color w:val="000000" w:themeColor="text1" w:themeTint="FF" w:themeShade="FF"/>
          <w:lang w:val="en-US"/>
        </w:rPr>
        <w:t xml:space="preserve">-RNA seq expression data with </w:t>
      </w:r>
      <m:oMath xmlns:m="http://schemas.openxmlformats.org/officeDocument/2006/math">
        <m:r xmlns:m="http://schemas.openxmlformats.org/officeDocument/2006/math">
          <w:rPr xmlns:w="http://schemas.openxmlformats.org/wordprocessingml/2006/main">
            <w:rFonts w:ascii="Cambria Math" w:hAnsi="Cambria Math" w:cs="Calibri"/>
            <w:color w:val="000000" w:themeColor="text1"/>
            <w:shd w:val="clear" w:color="auto" w:fill="FFFFFF"/>
          </w:rPr>
          <m:t xmlns:m="http://schemas.openxmlformats.org/officeDocument/2006/math">n</m:t>
        </m:r>
      </m:oMath>
      <w:r w:rsidRPr="009658C3" w:rsidR="008515C4">
        <w:rPr>
          <w:rFonts w:ascii="Calibri" w:hAnsi="Calibri" w:cs="Calibri"/>
          <w:color w:val="000000" w:themeColor="text1"/>
          <w:shd w:val="clear" w:color="auto" w:fill="FFFFFF"/>
          <w:lang w:val="en-US"/>
        </w:rPr>
        <w:t xml:space="preserve"> cells and </w:t>
      </w:r>
      <m:oMath xmlns:m="http://schemas.openxmlformats.org/officeDocument/2006/math">
        <m:r xmlns:m="http://schemas.openxmlformats.org/officeDocument/2006/math">
          <w:rPr xmlns:w="http://schemas.openxmlformats.org/wordprocessingml/2006/main">
            <w:rFonts w:ascii="Cambria Math" w:hAnsi="Cambria Math" w:cs="Calibri"/>
            <w:color w:val="000000" w:themeColor="text1"/>
            <w:shd w:val="clear" w:color="auto" w:fill="FFFFFF"/>
          </w:rPr>
          <m:t xmlns:m="http://schemas.openxmlformats.org/officeDocument/2006/math">p</m:t>
        </m:r>
      </m:oMath>
      <w:r w:rsidRPr="009658C3" w:rsidR="008515C4">
        <w:rPr>
          <w:rFonts w:ascii="Calibri" w:hAnsi="Calibri" w:cs="Calibri"/>
          <w:color w:val="000000" w:themeColor="text1"/>
          <w:shd w:val="clear" w:color="auto" w:fill="FFFFFF"/>
          <w:lang w:val="en-US"/>
        </w:rPr>
        <w:t xml:space="preserve"> genes. </w:t>
      </w:r>
      <m:oMath xmlns:m="http://schemas.openxmlformats.org/officeDocument/2006/math">
        <m:sSub xmlns:m="http://schemas.openxmlformats.org/officeDocument/2006/math">
          <m:sSubPr>
            <m:ctrlPr>
              <w:rPr xmlns:w="http://schemas.openxmlformats.org/wordprocessingml/2006/main">
                <w:rFonts w:ascii="Cambria Math" w:hAnsi="Cambria Math" w:cs="Calibri"/>
                <w:i/>
                <w:color w:val="000000" w:themeColor="text1"/>
                <w:shd w:val="clear" w:color="auto" w:fill="FFFFFF"/>
              </w:rPr>
            </m:ctrlPr>
          </m:sSubPr>
          <m:e>
            <m:r>
              <w:rPr xmlns:w="http://schemas.openxmlformats.org/wordprocessingml/2006/main">
                <w:rFonts w:ascii="Cambria Math" w:hAnsi="Cambria Math" w:cs="Calibri"/>
                <w:color w:val="000000" w:themeColor="text1"/>
                <w:shd w:val="clear" w:color="auto" w:fill="FFFFFF"/>
              </w:rPr>
              <m:t>X</m:t>
            </m:r>
          </m:e>
          <m:sub>
            <m:r>
              <w:rPr xmlns:w="http://schemas.openxmlformats.org/wordprocessingml/2006/main">
                <w:rFonts w:ascii="Cambria Math" w:hAnsi="Cambria Math" w:cs="Calibri"/>
                <w:color w:val="000000" w:themeColor="text1"/>
                <w:shd w:val="clear" w:color="auto" w:fill="FFFFFF"/>
              </w:rPr>
              <m:t>n×p</m:t>
            </m:r>
          </m:sub>
        </m:sSub>
      </m:oMath>
      <w:r w:rsidRPr="009658C3" w:rsidR="008515C4">
        <w:rPr>
          <w:rFonts w:ascii="Calibri" w:hAnsi="Calibri" w:cs="Calibri"/>
          <w:color w:val="000000" w:themeColor="text1"/>
          <w:shd w:val="clear" w:color="auto" w:fill="FFFFFF"/>
          <w:lang w:val="en-US"/>
        </w:rPr>
        <w:t xml:space="preserve"> is decomposed into two factors: </w:t>
      </w:r>
      <m:oMath xmlns:m="http://schemas.openxmlformats.org/officeDocument/2006/math">
        <m:sSub xmlns:m="http://schemas.openxmlformats.org/officeDocument/2006/math">
          <m:sSubPr>
            <m:ctrlPr>
              <w:rPr xmlns:w="http://schemas.openxmlformats.org/wordprocessingml/2006/main">
                <w:rFonts w:ascii="Cambria Math" w:hAnsi="Cambria Math" w:cs="Calibri"/>
                <w:i/>
                <w:color w:val="000000" w:themeColor="text1"/>
                <w:shd w:val="clear" w:color="auto" w:fill="FFFFFF"/>
              </w:rPr>
            </m:ctrlPr>
          </m:sSubPr>
          <m:e>
            <m:r>
              <w:rPr xmlns:w="http://schemas.openxmlformats.org/wordprocessingml/2006/main">
                <w:rFonts w:ascii="Cambria Math" w:hAnsi="Cambria Math" w:cs="Calibri"/>
                <w:color w:val="000000" w:themeColor="text1"/>
                <w:shd w:val="clear" w:color="auto" w:fill="FFFFFF"/>
              </w:rPr>
              <m:t>A</m:t>
            </m:r>
          </m:e>
          <m:sub>
            <m:r>
              <w:rPr xmlns:w="http://schemas.openxmlformats.org/wordprocessingml/2006/main">
                <w:rFonts w:ascii="Cambria Math" w:hAnsi="Cambria Math" w:cs="Calibri"/>
                <w:color w:val="000000" w:themeColor="text1"/>
                <w:shd w:val="clear" w:color="auto" w:fill="FFFFFF"/>
              </w:rPr>
              <m:t>p×K</m:t>
            </m:r>
          </m:sub>
        </m:sSub>
      </m:oMath>
      <w:r w:rsidRPr="009658C3" w:rsidR="008515C4">
        <w:rPr>
          <w:rFonts w:ascii="Calibri" w:hAnsi="Calibri" w:cs="Calibri"/>
          <w:color w:val="000000" w:themeColor="text1"/>
          <w:shd w:val="clear" w:color="auto" w:fill="FFFFFF"/>
          <w:lang w:val="en-US"/>
        </w:rPr>
        <w:t> and </w:t>
      </w:r>
      <m:oMath xmlns:m="http://schemas.openxmlformats.org/officeDocument/2006/math">
        <m:sSub xmlns:m="http://schemas.openxmlformats.org/officeDocument/2006/math">
          <m:sSubPr>
            <m:ctrlPr>
              <w:rPr xmlns:w="http://schemas.openxmlformats.org/wordprocessingml/2006/main">
                <w:rFonts w:ascii="Cambria Math" w:hAnsi="Cambria Math" w:cs="Calibri"/>
                <w:i/>
                <w:color w:val="000000" w:themeColor="text1"/>
                <w:shd w:val="clear" w:color="auto" w:fill="FFFFFF"/>
              </w:rPr>
            </m:ctrlPr>
          </m:sSubPr>
          <m:e>
            <m:r>
              <w:rPr xmlns:w="http://schemas.openxmlformats.org/wordprocessingml/2006/main">
                <w:rFonts w:ascii="Cambria Math" w:hAnsi="Cambria Math" w:cs="Calibri"/>
                <w:color w:val="000000" w:themeColor="text1"/>
                <w:shd w:val="clear" w:color="auto" w:fill="FFFFFF"/>
              </w:rPr>
              <m:t>Z</m:t>
            </m:r>
          </m:e>
          <m:sub>
            <m:r>
              <w:rPr xmlns:w="http://schemas.openxmlformats.org/wordprocessingml/2006/main">
                <w:rFonts w:ascii="Cambria Math" w:hAnsi="Cambria Math" w:cs="Calibri"/>
                <w:color w:val="000000" w:themeColor="text1"/>
                <w:shd w:val="clear" w:color="auto" w:fill="FFFFFF"/>
              </w:rPr>
              <m:t>K×n</m:t>
            </m:r>
          </m:sub>
        </m:sSub>
      </m:oMath>
      <w:r w:rsidRPr="009658C3" w:rsidR="008515C4">
        <w:rPr>
          <w:rFonts w:ascii="Calibri" w:hAnsi="Calibri" w:cs="Calibri"/>
          <w:color w:val="000000" w:themeColor="text1"/>
          <w:shd w:val="clear" w:color="auto" w:fill="FFFFFF"/>
          <w:lang w:val="en-US"/>
        </w:rPr>
        <w:t>, with an erro</w:t>
      </w:r>
      <w:r>
        <w:tab/>
      </w:r>
      <w:r>
        <w:tab/>
      </w:r>
      <w:r w:rsidRPr="63985EAC" w:rsidR="008515C4">
        <w:rPr>
          <w:rFonts w:ascii="Calibri" w:hAnsi="Calibri" w:cs="Calibri"/>
          <w:color w:val="000000" w:themeColor="text1" w:themeTint="FF" w:themeShade="FF"/>
          <w:lang w:val="en-US"/>
        </w:rPr>
        <w:t>r term </w:t>
      </w:r>
      <m:oMath xmlns:m="http://schemas.openxmlformats.org/officeDocument/2006/math">
        <m:r xmlns:m="http://schemas.openxmlformats.org/officeDocument/2006/math">
          <w:rPr xmlns:w="http://schemas.openxmlformats.org/wordprocessingml/2006/main">
            <w:rFonts w:ascii="Cambria Math" w:hAnsi="Cambria Math" w:cs="Calibri"/>
            <w:color w:val="000000" w:themeColor="text1"/>
            <w:shd w:val="clear" w:color="auto" w:fill="FFFFFF"/>
          </w:rPr>
          <m:t xmlns:m="http://schemas.openxmlformats.org/officeDocument/2006/math">E</m:t>
        </m:r>
      </m:oMath>
      <w:r w:rsidRPr="63985EAC" w:rsidR="008515C4">
        <w:rPr>
          <w:rFonts w:ascii="Calibri" w:hAnsi="Calibri" w:cs="Calibri"/>
          <w:color w:val="000000" w:themeColor="text1" w:themeTint="FF" w:themeShade="FF"/>
          <w:lang w:val="en-US"/>
        </w:rPr>
        <w:t>. </w:t>
      </w:r>
      <m:oMath xmlns:m="http://schemas.openxmlformats.org/officeDocument/2006/math">
        <m:r xmlns:m="http://schemas.openxmlformats.org/officeDocument/2006/math">
          <w:rPr xmlns:w="http://schemas.openxmlformats.org/wordprocessingml/2006/main">
            <w:rFonts w:ascii="Cambria Math" w:hAnsi="Cambria Math" w:cs="Calibri"/>
            <w:color w:val="000000" w:themeColor="text1"/>
            <w:shd w:val="clear" w:color="auto" w:fill="FFFFFF"/>
          </w:rPr>
          <m:t xmlns:m="http://schemas.openxmlformats.org/officeDocument/2006/math">A</m:t>
        </m:r>
      </m:oMath>
      <w:r w:rsidRPr="63985EAC" w:rsidR="008515C4">
        <w:rPr>
          <w:rFonts w:ascii="Calibri" w:hAnsi="Calibri" w:cs="Calibri"/>
          <w:color w:val="000000" w:themeColor="text1" w:themeTint="FF" w:themeShade="FF"/>
          <w:lang w:val="en-US"/>
        </w:rPr>
        <w:t xml:space="preserve"> is the allocation matrix and </w:t>
      </w:r>
      <w:r w:rsidRPr="63985EAC" w:rsidR="008515C4">
        <w:rPr>
          <w:rFonts w:ascii="Calibri" w:hAnsi="Calibri" w:cs="Calibri"/>
          <w:color w:val="000000" w:themeColor="text1" w:themeTint="FF" w:themeShade="FF"/>
          <w:lang w:val="en-US"/>
        </w:rPr>
        <w:t>represents</w:t>
      </w:r>
      <w:r w:rsidRPr="63985EAC" w:rsidR="008515C4">
        <w:rPr>
          <w:rFonts w:ascii="Calibri" w:hAnsi="Calibri" w:cs="Calibri"/>
          <w:color w:val="000000" w:themeColor="text1" w:themeTint="FF" w:themeShade="FF"/>
          <w:lang w:val="en-US"/>
        </w:rPr>
        <w:t xml:space="preserve"> the membership of each feature to a </w:t>
      </w:r>
      <w:r w:rsidRPr="63985EAC" w:rsidR="008515C4">
        <w:rPr>
          <w:rFonts w:ascii="Calibri" w:hAnsi="Calibri" w:cs="Calibri"/>
          <w:color w:val="000000" w:themeColor="text1" w:themeTint="FF" w:themeShade="FF"/>
          <w:lang w:val="en-US"/>
        </w:rPr>
        <w:t>cellular program</w:t>
      </w:r>
      <w:r w:rsidRPr="63985EAC" w:rsidR="008515C4">
        <w:rPr>
          <w:rFonts w:ascii="Calibri" w:hAnsi="Calibri" w:cs="Calibri"/>
          <w:color w:val="000000" w:themeColor="text1" w:themeTint="FF" w:themeShade="FF"/>
          <w:lang w:val="en-US"/>
        </w:rPr>
        <w:t>. </w:t>
      </w:r>
      <m:oMath xmlns:m="http://schemas.openxmlformats.org/officeDocument/2006/math">
        <m:r xmlns:m="http://schemas.openxmlformats.org/officeDocument/2006/math">
          <w:rPr xmlns:w="http://schemas.openxmlformats.org/wordprocessingml/2006/main">
            <w:rFonts w:ascii="Cambria Math" w:hAnsi="Cambria Math" w:cs="Calibri"/>
            <w:color w:val="000000" w:themeColor="text1"/>
            <w:shd w:val="clear" w:color="auto" w:fill="FFFFFF"/>
          </w:rPr>
          <m:t xmlns:m="http://schemas.openxmlformats.org/officeDocument/2006/math">Z</m:t>
        </m:r>
      </m:oMath>
      <w:r w:rsidRPr="63985EAC" w:rsidR="008515C4">
        <w:rPr>
          <w:rFonts w:ascii="Calibri" w:hAnsi="Calibri" w:cs="Calibri"/>
          <w:color w:val="000000" w:themeColor="text1" w:themeTint="FF" w:themeShade="FF"/>
          <w:lang w:val="en-US"/>
        </w:rPr>
        <w:t xml:space="preserve"> is the </w:t>
      </w:r>
      <w:r w:rsidRPr="63985EAC" w:rsidR="008515C4">
        <w:rPr>
          <w:rFonts w:ascii="Calibri" w:hAnsi="Calibri" w:cs="Calibri"/>
          <w:color w:val="000000" w:themeColor="text1" w:themeTint="FF" w:themeShade="FF"/>
          <w:lang w:val="en-US"/>
        </w:rPr>
        <w:t>CP</w:t>
      </w:r>
      <w:r w:rsidRPr="63985EAC" w:rsidR="008515C4">
        <w:rPr>
          <w:rFonts w:ascii="Calibri" w:hAnsi="Calibri" w:cs="Calibri"/>
          <w:color w:val="000000" w:themeColor="text1" w:themeTint="FF" w:themeShade="FF"/>
          <w:lang w:val="en-US"/>
        </w:rPr>
        <w:t xml:space="preserve"> matrix and </w:t>
      </w:r>
      <w:r w:rsidRPr="63985EAC" w:rsidR="008515C4">
        <w:rPr>
          <w:rFonts w:ascii="Calibri" w:hAnsi="Calibri" w:cs="Calibri"/>
          <w:color w:val="000000" w:themeColor="text1" w:themeTint="FF" w:themeShade="FF"/>
          <w:lang w:val="en-US"/>
        </w:rPr>
        <w:t>represents</w:t>
      </w:r>
      <w:r w:rsidRPr="63985EAC" w:rsidR="008515C4">
        <w:rPr>
          <w:rFonts w:ascii="Calibri" w:hAnsi="Calibri" w:cs="Calibri"/>
          <w:color w:val="000000" w:themeColor="text1" w:themeTint="FF" w:themeShade="FF"/>
          <w:lang w:val="en-US"/>
        </w:rPr>
        <w:t xml:space="preserve"> a lower-dimensional representation (</w:t>
      </w:r>
      <m:oMath xmlns:m="http://schemas.openxmlformats.org/officeDocument/2006/math">
        <m:r xmlns:m="http://schemas.openxmlformats.org/officeDocument/2006/math">
          <w:rPr xmlns:w="http://schemas.openxmlformats.org/wordprocessingml/2006/main">
            <w:rFonts w:ascii="Cambria Math" w:hAnsi="Cambria Math" w:cs="Calibri"/>
            <w:color w:val="000000" w:themeColor="text1"/>
            <w:shd w:val="clear" w:color="auto" w:fill="FFFFFF"/>
          </w:rPr>
          <m:t xmlns:m="http://schemas.openxmlformats.org/officeDocument/2006/math">K &lt;p</m:t>
        </m:r>
      </m:oMath>
      <w:r w:rsidRPr="63985EAC" w:rsidR="008515C4">
        <w:rPr>
          <w:rFonts w:ascii="Calibri" w:hAnsi="Calibri" w:cs="Calibri"/>
          <w:color w:val="000000" w:themeColor="text1" w:themeTint="FF" w:themeShade="FF"/>
          <w:lang w:val="en-US"/>
        </w:rPr>
        <w:t xml:space="preserve">) of the input data in latent space. Then using a regression model which applied on </w:t>
      </w:r>
      <w:r w:rsidRPr="63985EAC" w:rsidR="008515C4">
        <w:rPr>
          <w:rFonts w:ascii="Calibri" w:hAnsi="Calibri" w:cs="Calibri"/>
          <w:color w:val="000000" w:themeColor="text1" w:themeTint="FF" w:themeShade="FF"/>
          <w:lang w:val="en-US"/>
        </w:rPr>
        <w:t>CP</w:t>
      </w:r>
      <w:r w:rsidRPr="63985EAC" w:rsidR="008515C4">
        <w:rPr>
          <w:rFonts w:ascii="Calibri" w:hAnsi="Calibri" w:cs="Calibri"/>
          <w:color w:val="000000" w:themeColor="text1" w:themeTint="FF" w:themeShade="FF"/>
          <w:lang w:val="en-US"/>
        </w:rPr>
        <w:t xml:space="preserve">s, the linear part of the model is generated which </w:t>
      </w:r>
      <w:r w:rsidRPr="63985EAC" w:rsidR="008515C4">
        <w:rPr>
          <w:rFonts w:ascii="Calibri" w:hAnsi="Calibri" w:cs="Calibri"/>
          <w:color w:val="000000" w:themeColor="text1" w:themeTint="FF" w:themeShade="FF"/>
          <w:lang w:val="en-US"/>
        </w:rPr>
        <w:t>represents</w:t>
      </w:r>
      <w:r w:rsidRPr="63985EAC" w:rsidR="008515C4">
        <w:rPr>
          <w:rFonts w:ascii="Calibri" w:hAnsi="Calibri" w:cs="Calibri"/>
          <w:color w:val="000000" w:themeColor="text1" w:themeTint="FF" w:themeShade="FF"/>
          <w:lang w:val="en-US"/>
        </w:rPr>
        <w:t xml:space="preserve"> the significant standalone </w:t>
      </w:r>
      <w:r w:rsidRPr="63985EAC" w:rsidR="008515C4">
        <w:rPr>
          <w:rFonts w:ascii="Calibri" w:hAnsi="Calibri" w:cs="Calibri"/>
          <w:color w:val="000000" w:themeColor="text1" w:themeTint="FF" w:themeShade="FF"/>
          <w:lang w:val="en-US"/>
        </w:rPr>
        <w:t>CP</w:t>
      </w:r>
      <w:r w:rsidRPr="63985EAC" w:rsidR="008515C4">
        <w:rPr>
          <w:rFonts w:ascii="Calibri" w:hAnsi="Calibri" w:cs="Calibri"/>
          <w:color w:val="000000" w:themeColor="text1" w:themeTint="FF" w:themeShade="FF"/>
          <w:lang w:val="en-US"/>
        </w:rPr>
        <w:t>s:</w:t>
      </w:r>
    </w:p>
    <w:p w:rsidRPr="009658C3" w:rsidR="008515C4" w:rsidP="008515C4" w:rsidRDefault="008515C4" w14:paraId="64514B6F" w14:textId="77777777">
      <w:pPr>
        <w:jc w:val="both"/>
        <w:rPr>
          <w:rFonts w:ascii="Calibri" w:hAnsi="Calibri" w:cs="Calibri"/>
          <w:color w:val="000000" w:themeColor="text1"/>
          <w:shd w:val="clear" w:color="auto" w:fill="FFFFFF"/>
        </w:rPr>
      </w:pPr>
    </w:p>
    <w:p w:rsidRPr="009658C3" w:rsidR="008515C4" w:rsidP="008515C4" w:rsidRDefault="008515C4" w14:paraId="1DC7D158" w14:textId="77777777">
      <w:pPr>
        <w:jc w:val="both"/>
        <w:rPr>
          <w:rFonts w:ascii="Calibri" w:hAnsi="Calibri" w:cs="Calibri"/>
          <w:color w:val="000000" w:themeColor="text1"/>
          <w:shd w:val="clear" w:color="auto" w:fill="FFFFFF"/>
        </w:rPr>
      </w:pPr>
      <m:oMath>
        <m:r>
          <w:rPr>
            <w:rFonts w:ascii="Cambria Math" w:hAnsi="Cambria Math" w:cs="Calibri"/>
            <w:color w:val="000000" w:themeColor="text1"/>
            <w:shd w:val="clear" w:color="auto" w:fill="FFFFFF"/>
          </w:rPr>
          <m:t>LP=</m:t>
        </m:r>
        <m:nary>
          <m:naryPr>
            <m:chr m:val="∑"/>
            <m:limLoc m:val="subSup"/>
            <m:supHide m:val="1"/>
            <m:ctrlPr>
              <w:rPr>
                <w:rFonts w:ascii="Cambria Math" w:hAnsi="Cambria Math" w:cs="Calibri"/>
                <w:i/>
                <w:color w:val="000000" w:themeColor="text1"/>
                <w:shd w:val="clear" w:color="auto" w:fill="FFFFFF"/>
              </w:rPr>
            </m:ctrlPr>
          </m:naryPr>
          <m:sub>
            <m:r>
              <w:rPr>
                <w:rFonts w:ascii="Cambria Math" w:hAnsi="Cambria Math" w:cs="Calibri"/>
                <w:color w:val="000000" w:themeColor="text1"/>
                <w:shd w:val="clear" w:color="auto" w:fill="FFFFFF"/>
              </w:rPr>
              <m:t>j∈</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1</m:t>
                </m:r>
              </m:sub>
            </m:sSub>
          </m:sub>
          <m:sup/>
          <m:e>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β</m:t>
                </m:r>
              </m:e>
              <m:sub>
                <m:r>
                  <w:rPr>
                    <w:rFonts w:ascii="Cambria Math" w:hAnsi="Cambria Math" w:cs="Calibri"/>
                    <w:color w:val="000000" w:themeColor="text1"/>
                    <w:shd w:val="clear" w:color="auto" w:fill="FFFFFF"/>
                  </w:rPr>
                  <m:t>j</m:t>
                </m:r>
              </m:sub>
            </m:sSub>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e>
        </m:nary>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ϵ</m:t>
            </m:r>
          </m:e>
          <m:sub>
            <m:r>
              <w:rPr>
                <w:rFonts w:ascii="Cambria Math" w:hAnsi="Cambria Math" w:cs="Calibri"/>
                <w:color w:val="000000" w:themeColor="text1"/>
                <w:shd w:val="clear" w:color="auto" w:fill="FFFFFF"/>
              </w:rPr>
              <m:t>1</m:t>
            </m:r>
          </m:sub>
        </m:sSub>
      </m:oMath>
      <w:r w:rsidRPr="009658C3">
        <w:rPr>
          <w:rFonts w:ascii="Calibri" w:hAnsi="Calibri" w:cs="Calibri"/>
          <w:color w:val="000000" w:themeColor="text1"/>
          <w:shd w:val="clear" w:color="auto" w:fill="FFFFFF"/>
        </w:rPr>
        <w:t xml:space="preserve">                                          (2)</w:t>
      </w:r>
    </w:p>
    <w:p w:rsidRPr="009658C3" w:rsidR="008515C4" w:rsidP="008515C4" w:rsidRDefault="008515C4" w14:paraId="15B6E5A7" w14:textId="77777777">
      <w:pPr>
        <w:jc w:val="both"/>
        <w:rPr>
          <w:rFonts w:ascii="Calibri" w:hAnsi="Calibri" w:cs="Calibri"/>
          <w:color w:val="000000" w:themeColor="text1"/>
          <w:shd w:val="clear" w:color="auto" w:fill="FFFFFF"/>
        </w:rPr>
      </w:pPr>
    </w:p>
    <w:p w:rsidRPr="009658C3" w:rsidR="008515C4" w:rsidP="008515C4" w:rsidRDefault="008515C4" w14:paraId="2494F27D" w14:textId="77777777">
      <w:pPr>
        <w:jc w:val="both"/>
        <w:rPr>
          <w:rFonts w:ascii="Calibri" w:hAnsi="Calibri" w:cs="Calibri"/>
          <w:color w:val="000000" w:themeColor="text1"/>
          <w:shd w:val="clear" w:color="auto" w:fill="FFFFFF"/>
          <w:lang w:val="en-US"/>
        </w:rPr>
      </w:pPr>
      <w:r w:rsidRPr="009658C3">
        <w:rPr>
          <w:rFonts w:ascii="Calibri" w:hAnsi="Calibri" w:cs="Calibri"/>
          <w:color w:val="000000" w:themeColor="text1"/>
          <w:shd w:val="clear" w:color="auto" w:fill="FFFFFF"/>
          <w:lang w:val="en-US"/>
        </w:rPr>
        <w:t>Here </w:t>
      </w:r>
      <m:oMath>
        <m:r>
          <w:rPr>
            <w:rFonts w:ascii="Cambria Math" w:hAnsi="Cambria Math" w:cs="Calibri"/>
            <w:color w:val="000000" w:themeColor="text1"/>
            <w:shd w:val="clear" w:color="auto" w:fill="FFFFFF"/>
          </w:rPr>
          <m:t>LP</m:t>
        </m:r>
      </m:oMath>
      <w:r w:rsidRPr="009658C3">
        <w:rPr>
          <w:rFonts w:ascii="Calibri" w:hAnsi="Calibri" w:cs="Calibri"/>
          <w:color w:val="000000" w:themeColor="text1"/>
          <w:shd w:val="clear" w:color="auto" w:fill="FFFFFF"/>
          <w:lang w:val="en-US"/>
        </w:rPr>
        <w:t xml:space="preserve"> is the linear part of the model, and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1</m:t>
            </m:r>
          </m:sub>
        </m:sSub>
      </m:oMath>
      <w:r w:rsidRPr="009658C3">
        <w:rPr>
          <w:rFonts w:ascii="Calibri" w:hAnsi="Calibri" w:cs="Calibri"/>
          <w:color w:val="000000" w:themeColor="text1"/>
          <w:shd w:val="clear" w:color="auto" w:fill="FFFFFF"/>
          <w:lang w:val="en-US"/>
        </w:rPr>
        <w:t xml:space="preserve"> is the set of significant standalone </w:t>
      </w:r>
      <w:r>
        <w:rPr>
          <w:rFonts w:ascii="Calibri" w:hAnsi="Calibri" w:cs="Calibri"/>
          <w:color w:val="000000" w:themeColor="text1"/>
          <w:shd w:val="clear" w:color="auto" w:fill="FFFFFF"/>
          <w:lang w:val="en-US"/>
        </w:rPr>
        <w:t>CP</w:t>
      </w:r>
      <w:r w:rsidRPr="009658C3">
        <w:rPr>
          <w:rFonts w:ascii="Calibri" w:hAnsi="Calibri" w:cs="Calibri"/>
          <w:color w:val="000000" w:themeColor="text1"/>
          <w:shd w:val="clear" w:color="auto" w:fill="FFFFFF"/>
          <w:lang w:val="en-US"/>
        </w:rPr>
        <w:t xml:space="preserve">s. Then incorporating the nonlinear relationships, the method identifies significant interacting </w:t>
      </w:r>
      <w:r>
        <w:rPr>
          <w:rFonts w:ascii="Calibri" w:hAnsi="Calibri" w:cs="Calibri"/>
          <w:color w:val="000000" w:themeColor="text1"/>
          <w:shd w:val="clear" w:color="auto" w:fill="FFFFFF"/>
          <w:lang w:val="en-US"/>
        </w:rPr>
        <w:t>CP</w:t>
      </w:r>
      <w:r w:rsidRPr="009658C3">
        <w:rPr>
          <w:rFonts w:ascii="Calibri" w:hAnsi="Calibri" w:cs="Calibri"/>
          <w:color w:val="000000" w:themeColor="text1"/>
          <w:shd w:val="clear" w:color="auto" w:fill="FFFFFF"/>
          <w:lang w:val="en-US"/>
        </w:rPr>
        <w:t>s:</w:t>
      </w:r>
    </w:p>
    <w:p w:rsidRPr="009658C3" w:rsidR="008515C4" w:rsidP="008515C4" w:rsidRDefault="008515C4" w14:paraId="01276F72" w14:textId="77777777">
      <w:pPr>
        <w:jc w:val="both"/>
        <w:rPr>
          <w:rFonts w:ascii="Calibri" w:hAnsi="Calibri" w:cs="Calibri"/>
          <w:color w:val="000000" w:themeColor="text1"/>
          <w:shd w:val="clear" w:color="auto" w:fill="FFFFFF"/>
        </w:rPr>
      </w:pPr>
    </w:p>
    <w:p w:rsidRPr="009658C3" w:rsidR="008515C4" w:rsidP="008515C4" w:rsidRDefault="00C32F14" w14:paraId="60EB0735" w14:textId="77777777">
      <w:pPr>
        <w:jc w:val="both"/>
        <w:rPr>
          <w:rFonts w:ascii="Calibri" w:hAnsi="Calibri" w:cs="Calibri"/>
          <w:color w:val="000000" w:themeColor="text1"/>
          <w:shd w:val="clear" w:color="auto" w:fill="FFFFFF"/>
          <w:lang w:val="en-US"/>
        </w:rPr>
      </w:pP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NP</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β</m:t>
            </m:r>
          </m:e>
          <m:sub>
            <m:r>
              <w:rPr>
                <w:rFonts w:ascii="Cambria Math" w:hAnsi="Cambria Math" w:cs="Calibri"/>
                <w:color w:val="000000" w:themeColor="text1"/>
                <w:shd w:val="clear" w:color="auto" w:fill="FFFFFF"/>
              </w:rPr>
              <m:t>j</m:t>
            </m:r>
          </m:sub>
        </m:sSub>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 xml:space="preserve">+ </m:t>
        </m:r>
        <m:nary>
          <m:naryPr>
            <m:chr m:val="∑"/>
            <m:limLoc m:val="subSup"/>
            <m:supHide m:val="1"/>
            <m:ctrlPr>
              <w:rPr>
                <w:rFonts w:ascii="Cambria Math" w:hAnsi="Cambria Math" w:cs="Calibri"/>
                <w:i/>
                <w:color w:val="000000" w:themeColor="text1"/>
                <w:shd w:val="clear" w:color="auto" w:fill="FFFFFF"/>
              </w:rPr>
            </m:ctrlPr>
          </m:naryPr>
          <m:sub>
            <m:r>
              <w:rPr>
                <w:rFonts w:ascii="Cambria Math" w:hAnsi="Cambria Math" w:cs="Calibri"/>
                <w:color w:val="000000" w:themeColor="text1"/>
                <w:shd w:val="clear" w:color="auto" w:fill="FFFFFF"/>
              </w:rPr>
              <m:t>i</m:t>
            </m:r>
          </m:sub>
          <m:sup/>
          <m:e>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C</m:t>
                </m:r>
              </m:e>
              <m:sub>
                <m:r>
                  <w:rPr>
                    <w:rFonts w:ascii="Cambria Math" w:hAnsi="Cambria Math" w:cs="Calibri"/>
                    <w:color w:val="000000" w:themeColor="text1"/>
                    <w:shd w:val="clear" w:color="auto" w:fill="FFFFFF"/>
                  </w:rPr>
                  <m:t>ij</m:t>
                </m:r>
              </m:sub>
            </m:sSub>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i</m:t>
                </m:r>
              </m:sub>
            </m:sSub>
          </m:e>
        </m:nary>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ϵ</m:t>
            </m:r>
          </m:e>
          <m:sub>
            <m:r>
              <w:rPr>
                <w:rFonts w:ascii="Cambria Math" w:hAnsi="Cambria Math" w:cs="Calibri"/>
                <w:color w:val="000000" w:themeColor="text1"/>
                <w:shd w:val="clear" w:color="auto" w:fill="FFFFFF"/>
              </w:rPr>
              <m:t>2</m:t>
            </m:r>
          </m:sub>
        </m:sSub>
        <m:r>
          <w:rPr>
            <w:rFonts w:ascii="Cambria Math" w:hAnsi="Cambria Math" w:cs="Calibri"/>
            <w:color w:val="000000" w:themeColor="text1"/>
            <w:shd w:val="clear" w:color="auto" w:fill="FFFFFF"/>
          </w:rPr>
          <m:t xml:space="preserve"> </m:t>
        </m:r>
      </m:oMath>
      <w:r w:rsidRPr="009658C3" w:rsidR="008515C4">
        <w:rPr>
          <w:rFonts w:ascii="Calibri" w:hAnsi="Calibri" w:cs="Calibri"/>
          <w:color w:val="000000" w:themeColor="text1"/>
          <w:shd w:val="clear" w:color="auto" w:fill="FFFFFF"/>
          <w:lang w:val="en-US"/>
        </w:rPr>
        <w:t xml:space="preserve">where </w:t>
      </w:r>
      <m:oMath>
        <m:r>
          <w:rPr>
            <w:rFonts w:ascii="Cambria Math" w:hAnsi="Cambria Math" w:cs="Calibri"/>
            <w:color w:val="000000" w:themeColor="text1"/>
            <w:shd w:val="clear" w:color="auto" w:fill="FFFFFF"/>
          </w:rPr>
          <m:t>i≠j, j∈</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1</m:t>
            </m:r>
          </m:sub>
        </m:sSub>
        <m:r>
          <w:rPr>
            <w:rFonts w:ascii="Cambria Math" w:hAnsi="Cambria Math" w:cs="Calibri"/>
            <w:color w:val="000000" w:themeColor="text1"/>
            <w:shd w:val="clear" w:color="auto" w:fill="FFFFFF"/>
          </w:rPr>
          <m:t>, i∈</m:t>
        </m:r>
        <m:d>
          <m:dPr>
            <m:begChr m:val="{"/>
            <m:endChr m:val="}"/>
            <m:ctrlPr>
              <w:rPr>
                <w:rFonts w:ascii="Cambria Math" w:hAnsi="Cambria Math" w:cs="Calibri"/>
                <w:i/>
                <w:color w:val="000000" w:themeColor="text1"/>
                <w:shd w:val="clear" w:color="auto" w:fill="FFFFFF"/>
              </w:rPr>
            </m:ctrlPr>
          </m:dPr>
          <m:e>
            <m:r>
              <w:rPr>
                <w:rFonts w:ascii="Cambria Math" w:hAnsi="Cambria Math" w:cs="Calibri"/>
                <w:color w:val="000000" w:themeColor="text1"/>
                <w:shd w:val="clear" w:color="auto" w:fill="FFFFFF"/>
              </w:rPr>
              <m:t>1…K</m:t>
            </m:r>
          </m:e>
        </m:d>
        <m:r>
          <w:rPr>
            <w:rFonts w:ascii="Cambria Math" w:hAnsi="Cambria Math" w:cs="Calibri"/>
            <w:color w:val="000000" w:themeColor="text1"/>
            <w:shd w:val="clear" w:color="auto" w:fill="FFFFFF"/>
          </w:rPr>
          <m:t xml:space="preserve">, and </m:t>
        </m:r>
        <m:sSub>
          <m:sSubPr>
            <m:ctrlPr>
              <w:rPr>
                <w:rFonts w:ascii="Cambria Math" w:hAnsi="Cambria Math" w:cs="Calibri"/>
                <w:i/>
                <w:color w:val="000000" w:themeColor="text1"/>
                <w:shd w:val="clear" w:color="auto" w:fill="FFFFFF"/>
              </w:rPr>
            </m:ctrlPr>
          </m:sSubPr>
          <m:e>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i</m:t>
                </m:r>
              </m:sub>
            </m:sSub>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r>
          <w:rPr>
            <w:rFonts w:ascii="Cambria Math" w:hAnsi="Cambria Math" w:cs="Calibri"/>
            <w:color w:val="000000" w:themeColor="text1"/>
            <w:shd w:val="clear" w:color="auto" w:fill="FFFFFF"/>
          </w:rPr>
          <m:t>∈</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2</m:t>
            </m:r>
          </m:sub>
        </m:sSub>
      </m:oMath>
      <w:r w:rsidRPr="009658C3" w:rsidR="008515C4">
        <w:rPr>
          <w:rFonts w:ascii="Calibri" w:hAnsi="Calibri" w:cs="Calibri"/>
          <w:color w:val="000000" w:themeColor="text1"/>
          <w:shd w:val="clear" w:color="auto" w:fill="FFFFFF"/>
          <w:lang w:val="en-US"/>
        </w:rPr>
        <w:t xml:space="preserve">     </w:t>
      </w:r>
      <w:proofErr w:type="gramStart"/>
      <w:r w:rsidRPr="009658C3" w:rsidR="008515C4">
        <w:rPr>
          <w:rFonts w:ascii="Calibri" w:hAnsi="Calibri" w:cs="Calibri"/>
          <w:color w:val="000000" w:themeColor="text1"/>
          <w:shd w:val="clear" w:color="auto" w:fill="FFFFFF"/>
          <w:lang w:val="en-US"/>
        </w:rPr>
        <w:t xml:space="preserve">   (</w:t>
      </w:r>
      <w:proofErr w:type="gramEnd"/>
      <w:r w:rsidRPr="009658C3" w:rsidR="008515C4">
        <w:rPr>
          <w:rFonts w:ascii="Calibri" w:hAnsi="Calibri" w:cs="Calibri"/>
          <w:color w:val="000000" w:themeColor="text1"/>
          <w:shd w:val="clear" w:color="auto" w:fill="FFFFFF"/>
          <w:lang w:val="en-US"/>
        </w:rPr>
        <w:t>3)</w:t>
      </w:r>
    </w:p>
    <w:p w:rsidRPr="009658C3" w:rsidR="008515C4" w:rsidP="008515C4" w:rsidRDefault="008515C4" w14:paraId="33806F32" w14:textId="77777777">
      <w:pPr>
        <w:jc w:val="both"/>
        <w:rPr>
          <w:rFonts w:ascii="Calibri" w:hAnsi="Calibri" w:cs="Calibri"/>
          <w:color w:val="000000" w:themeColor="text1"/>
          <w:shd w:val="clear" w:color="auto" w:fill="FFFFFF"/>
        </w:rPr>
      </w:pPr>
    </w:p>
    <w:p w:rsidRPr="009658C3" w:rsidR="008515C4" w:rsidP="008515C4" w:rsidRDefault="008515C4" w14:paraId="6136A887" w14:textId="77777777">
      <w:pPr>
        <w:jc w:val="both"/>
        <w:rPr>
          <w:rFonts w:ascii="Calibri" w:hAnsi="Calibri" w:cs="Calibri"/>
          <w:color w:val="000000" w:themeColor="text1"/>
          <w:shd w:val="clear" w:color="auto" w:fill="FFFFFF"/>
        </w:rPr>
      </w:pPr>
      <w:r w:rsidRPr="009658C3">
        <w:rPr>
          <w:rFonts w:ascii="Calibri" w:hAnsi="Calibri" w:cs="Calibri"/>
          <w:color w:val="000000" w:themeColor="text1"/>
          <w:shd w:val="clear" w:color="auto" w:fill="FFFFFF"/>
        </w:rPr>
        <w:t>Here </w:t>
      </w:r>
      <m:oMath>
        <m:r>
          <w:rPr>
            <w:rFonts w:ascii="Cambria Math" w:hAnsi="Cambria Math" w:cs="Calibri"/>
            <w:color w:val="000000" w:themeColor="text1"/>
            <w:shd w:val="clear" w:color="auto" w:fill="FFFFFF"/>
          </w:rPr>
          <m:t xml:space="preserve">β∈ </m:t>
        </m:r>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R</m:t>
            </m:r>
          </m:e>
          <m:sub>
            <m:r>
              <w:rPr>
                <w:rFonts w:ascii="Cambria Math" w:hAnsi="Cambria Math" w:cs="Calibri"/>
                <w:color w:val="000000" w:themeColor="text1"/>
                <w:shd w:val="clear" w:color="auto" w:fill="FFFFFF"/>
              </w:rPr>
              <m:t>1×K</m:t>
            </m:r>
          </m:sub>
        </m:sSub>
      </m:oMath>
      <w:r w:rsidRPr="009658C3">
        <w:rPr>
          <w:rFonts w:ascii="Calibri" w:hAnsi="Calibri" w:cs="Calibri"/>
          <w:color w:val="000000" w:themeColor="text1"/>
          <w:shd w:val="clear" w:color="auto" w:fill="FFFFFF"/>
        </w:rPr>
        <w:t> and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C</m:t>
            </m:r>
          </m:e>
          <m:sub>
            <m:r>
              <w:rPr>
                <w:rFonts w:ascii="Cambria Math" w:hAnsi="Cambria Math" w:cs="Calibri"/>
                <w:color w:val="000000" w:themeColor="text1"/>
                <w:shd w:val="clear" w:color="auto" w:fill="FFFFFF"/>
              </w:rPr>
              <m:t>ij</m:t>
            </m:r>
          </m:sub>
        </m:sSub>
      </m:oMath>
      <w:r w:rsidRPr="009658C3">
        <w:rPr>
          <w:rFonts w:ascii="Calibri" w:hAnsi="Calibri" w:cs="Calibri"/>
          <w:color w:val="000000" w:themeColor="text1"/>
          <w:shd w:val="clear" w:color="auto" w:fill="FFFFFF"/>
        </w:rPr>
        <w:t xml:space="preserve"> is the effect size of the interaction term between the two </w:t>
      </w:r>
      <w:r>
        <w:rPr>
          <w:rFonts w:ascii="Calibri" w:hAnsi="Calibri" w:cs="Calibri"/>
          <w:color w:val="000000" w:themeColor="text1"/>
          <w:shd w:val="clear" w:color="auto" w:fill="FFFFFF"/>
        </w:rPr>
        <w:t>CP</w:t>
      </w:r>
      <w:r w:rsidRPr="009658C3">
        <w:rPr>
          <w:rFonts w:ascii="Calibri" w:hAnsi="Calibri" w:cs="Calibri"/>
          <w:color w:val="000000" w:themeColor="text1"/>
          <w:shd w:val="clear" w:color="auto" w:fill="FFFFFF"/>
        </w:rPr>
        <w:t>s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i</m:t>
            </m:r>
          </m:sub>
        </m:sSub>
      </m:oMath>
      <w:r w:rsidRPr="009658C3">
        <w:rPr>
          <w:rFonts w:ascii="Calibri" w:hAnsi="Calibri" w:cs="Calibri"/>
          <w:color w:val="000000" w:themeColor="text1"/>
          <w:shd w:val="clear" w:color="auto" w:fill="FFFFFF"/>
        </w:rPr>
        <w:t> and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Z</m:t>
            </m:r>
          </m:e>
          <m:sub>
            <m:r>
              <w:rPr>
                <w:rFonts w:ascii="Cambria Math" w:hAnsi="Cambria Math" w:cs="Calibri"/>
                <w:color w:val="000000" w:themeColor="text1"/>
                <w:shd w:val="clear" w:color="auto" w:fill="FFFFFF"/>
              </w:rPr>
              <m:t>j</m:t>
            </m:r>
          </m:sub>
        </m:sSub>
      </m:oMath>
      <w:r w:rsidRPr="009658C3">
        <w:rPr>
          <w:rFonts w:ascii="Calibri" w:hAnsi="Calibri" w:cs="Calibri"/>
          <w:color w:val="000000" w:themeColor="text1"/>
          <w:shd w:val="clear" w:color="auto" w:fill="FFFFFF"/>
        </w:rPr>
        <w:t xml:space="preserve">. </w:t>
      </w:r>
      <m:oMath>
        <m:sSub>
          <m:sSubPr>
            <m:ctrlPr>
              <w:rPr>
                <w:rFonts w:ascii="Cambria Math" w:hAnsi="Cambria Math" w:cs="Calibri"/>
                <w:i/>
                <w:color w:val="000000" w:themeColor="text1"/>
                <w:shd w:val="clear" w:color="auto" w:fill="FFFFFF"/>
              </w:rPr>
            </m:ctrlPr>
          </m:sSubPr>
          <m:e>
            <m:r>
              <w:rPr>
                <w:rFonts w:ascii="Cambria Math" w:hAnsi="Cambria Math" w:cs="Calibri"/>
                <w:color w:val="000000" w:themeColor="text1"/>
                <w:shd w:val="clear" w:color="auto" w:fill="FFFFFF"/>
              </w:rPr>
              <m:t>S</m:t>
            </m:r>
          </m:e>
          <m:sub>
            <m:r>
              <w:rPr>
                <w:rFonts w:ascii="Cambria Math" w:hAnsi="Cambria Math" w:cs="Calibri"/>
                <w:color w:val="000000" w:themeColor="text1"/>
                <w:shd w:val="clear" w:color="auto" w:fill="FFFFFF"/>
              </w:rPr>
              <m:t>2</m:t>
            </m:r>
          </m:sub>
        </m:sSub>
      </m:oMath>
      <w:r w:rsidRPr="009658C3">
        <w:rPr>
          <w:rFonts w:ascii="Calibri" w:hAnsi="Calibri" w:cs="Calibri"/>
          <w:color w:val="000000" w:themeColor="text1"/>
          <w:shd w:val="clear" w:color="auto" w:fill="FFFFFF"/>
        </w:rPr>
        <w:t xml:space="preserve"> is the set of putative interactions involving the standalone significant </w:t>
      </w:r>
      <w:r>
        <w:rPr>
          <w:rFonts w:ascii="Calibri" w:hAnsi="Calibri" w:cs="Calibri"/>
          <w:color w:val="000000" w:themeColor="text1"/>
          <w:shd w:val="clear" w:color="auto" w:fill="FFFFFF"/>
        </w:rPr>
        <w:t>CP</w:t>
      </w:r>
      <w:r w:rsidRPr="009658C3">
        <w:rPr>
          <w:rFonts w:ascii="Calibri" w:hAnsi="Calibri" w:cs="Calibri"/>
          <w:color w:val="000000" w:themeColor="text1"/>
          <w:shd w:val="clear" w:color="auto" w:fill="FFFFFF"/>
        </w:rPr>
        <w:t>s. </w:t>
      </w:r>
      <w:r w:rsidRPr="009658C3">
        <w:rPr>
          <w:rFonts w:ascii="Calibri" w:hAnsi="Calibri" w:cs="Calibri"/>
          <w:color w:val="000000" w:themeColor="text1"/>
          <w:lang w:val="en-US"/>
        </w:rPr>
        <w:t>These interactions arise from the model's non-linear architecture, capturing combinatorial regulation and helping improve interpretability and predictive performance.</w:t>
      </w:r>
    </w:p>
    <w:p w:rsidRPr="009658C3" w:rsidR="008515C4" w:rsidP="008515C4" w:rsidRDefault="008515C4" w14:paraId="08EC3B4E" w14:textId="77777777">
      <w:pPr>
        <w:jc w:val="both"/>
        <w:rPr>
          <w:rFonts w:ascii="Calibri" w:hAnsi="Calibri" w:cs="Calibri"/>
          <w:color w:val="000000" w:themeColor="text1"/>
          <w:shd w:val="clear" w:color="auto" w:fill="FFFFFF"/>
        </w:rPr>
      </w:pPr>
    </w:p>
    <w:p w:rsidRPr="009658C3" w:rsidR="008515C4" w:rsidP="008515C4" w:rsidRDefault="008515C4" w14:paraId="69ABE744" w14:textId="77777777">
      <w:pPr>
        <w:jc w:val="both"/>
        <w:rPr>
          <w:rFonts w:ascii="Calibri" w:hAnsi="Calibri" w:cs="Calibri"/>
          <w:color w:val="000000" w:themeColor="text1"/>
          <w:lang w:val="en-US"/>
        </w:rPr>
      </w:pPr>
      <w:r w:rsidRPr="009658C3">
        <w:rPr>
          <w:rFonts w:ascii="Calibri" w:hAnsi="Calibri" w:cs="Calibri"/>
          <w:color w:val="000000" w:themeColor="text1"/>
        </w:rPr>
        <w:t>Before applying SLIDE, the single-cell RNA sequencing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 were preprocessed using the filtering and preprocessing functions provided in the SLIDE library (</w:t>
      </w:r>
      <w:hyperlink w:tgtFrame="_new" w:history="1" r:id="rId9">
        <w:r w:rsidRPr="009658C3">
          <w:rPr>
            <w:rStyle w:val="Hyperlink"/>
            <w:rFonts w:ascii="Calibri" w:hAnsi="Calibri" w:cs="Calibri"/>
            <w:color w:val="000000" w:themeColor="text1"/>
          </w:rPr>
          <w:t>https://github.com/jishnu-lab/SLIDE</w:t>
        </w:r>
      </w:hyperlink>
      <w:r w:rsidRPr="009658C3">
        <w:rPr>
          <w:rFonts w:ascii="Calibri" w:hAnsi="Calibri" w:cs="Calibri"/>
          <w:color w:val="000000" w:themeColor="text1"/>
        </w:rPr>
        <w:t>)</w:t>
      </w:r>
      <w:r>
        <w:rPr>
          <w:rFonts w:ascii="Calibri" w:hAnsi="Calibri" w:cs="Calibri"/>
          <w:color w:val="000000" w:themeColor="text1"/>
        </w:rPr>
        <w:t xml:space="preserve"> and </w:t>
      </w:r>
      <w:proofErr w:type="spellStart"/>
      <w:r>
        <w:rPr>
          <w:rFonts w:ascii="Calibri" w:hAnsi="Calibri" w:cs="Calibri"/>
          <w:color w:val="000000" w:themeColor="text1"/>
        </w:rPr>
        <w:t>FIREFate</w:t>
      </w:r>
      <w:proofErr w:type="spellEnd"/>
      <w:r>
        <w:rPr>
          <w:rFonts w:ascii="Calibri" w:hAnsi="Calibri" w:cs="Calibri"/>
          <w:color w:val="000000" w:themeColor="text1"/>
        </w:rPr>
        <w:t xml:space="preserve"> </w:t>
      </w:r>
      <w:proofErr w:type="spellStart"/>
      <w:r>
        <w:rPr>
          <w:rFonts w:ascii="Calibri" w:hAnsi="Calibri" w:cs="Calibri"/>
          <w:color w:val="000000" w:themeColor="text1"/>
        </w:rPr>
        <w:t>github</w:t>
      </w:r>
      <w:proofErr w:type="spellEnd"/>
      <w:r>
        <w:rPr>
          <w:rFonts w:ascii="Calibri" w:hAnsi="Calibri" w:cs="Calibri"/>
          <w:color w:val="000000" w:themeColor="text1"/>
        </w:rPr>
        <w:t xml:space="preserve"> repository (</w:t>
      </w:r>
      <w:r w:rsidRPr="009B6D41">
        <w:rPr>
          <w:rFonts w:ascii="Calibri" w:hAnsi="Calibri" w:cs="Calibri"/>
          <w:color w:val="000000" w:themeColor="text1"/>
        </w:rPr>
        <w:t>https://github.com/jishnu-lab/</w:t>
      </w:r>
      <w:r>
        <w:rPr>
          <w:rFonts w:ascii="Calibri" w:hAnsi="Calibri" w:cs="Calibri"/>
          <w:color w:val="000000" w:themeColor="text1"/>
        </w:rPr>
        <w:t>xxxx)</w:t>
      </w:r>
      <w:r w:rsidRPr="009658C3">
        <w:rPr>
          <w:rFonts w:ascii="Calibri" w:hAnsi="Calibri" w:cs="Calibri"/>
          <w:color w:val="000000" w:themeColor="text1"/>
        </w:rPr>
        <w:t xml:space="preserve">, following standard best practices. First, genes with zero unique molecular identifier (UMI) counts across all cells were removed, and mitochondrial and ribosomal genes were excluded from further analysis. Second, sparsity filtering was performed using the </w:t>
      </w:r>
      <w:proofErr w:type="spellStart"/>
      <w:r w:rsidRPr="009658C3">
        <w:rPr>
          <w:rStyle w:val="HTMLCode"/>
          <w:rFonts w:ascii="Calibri" w:hAnsi="Calibri" w:eastAsia="Arial" w:cs="Calibri"/>
          <w:color w:val="000000" w:themeColor="text1"/>
        </w:rPr>
        <w:t>zeroFiltering</w:t>
      </w:r>
      <w:proofErr w:type="spellEnd"/>
      <w:r w:rsidRPr="009658C3">
        <w:rPr>
          <w:rFonts w:ascii="Calibri" w:hAnsi="Calibri" w:cs="Calibri"/>
          <w:color w:val="000000" w:themeColor="text1"/>
        </w:rPr>
        <w:t xml:space="preserve"> function in the SLIDE library to remove genes with more than </w:t>
      </w:r>
      <w:proofErr w:type="spellStart"/>
      <w:r w:rsidRPr="009658C3">
        <w:rPr>
          <w:rStyle w:val="Emphasis"/>
          <w:rFonts w:ascii="Calibri" w:hAnsi="Calibri" w:cs="Calibri"/>
          <w:color w:val="000000" w:themeColor="text1"/>
        </w:rPr>
        <w:t>col_thresh</w:t>
      </w:r>
      <w:proofErr w:type="spellEnd"/>
      <w:r w:rsidRPr="009658C3">
        <w:rPr>
          <w:rFonts w:ascii="Calibri" w:hAnsi="Calibri" w:cs="Calibri"/>
          <w:color w:val="000000" w:themeColor="text1"/>
        </w:rPr>
        <w:t xml:space="preserve"> zero values across cells. To identify the </w:t>
      </w:r>
      <w:r>
        <w:rPr>
          <w:rFonts w:ascii="Calibri" w:hAnsi="Calibri" w:cs="Calibri"/>
          <w:color w:val="000000" w:themeColor="text1"/>
        </w:rPr>
        <w:t xml:space="preserve">cellular programs </w:t>
      </w:r>
      <w:r w:rsidRPr="009658C3">
        <w:rPr>
          <w:rFonts w:ascii="Calibri" w:hAnsi="Calibri" w:cs="Calibri"/>
          <w:color w:val="000000" w:themeColor="text1"/>
        </w:rPr>
        <w:t>(</w:t>
      </w:r>
      <w:r>
        <w:rPr>
          <w:rFonts w:ascii="Calibri" w:hAnsi="Calibri" w:cs="Calibri"/>
          <w:color w:val="000000" w:themeColor="text1"/>
        </w:rPr>
        <w:t>CP</w:t>
      </w:r>
      <w:r w:rsidRPr="009658C3">
        <w:rPr>
          <w:rFonts w:ascii="Calibri" w:hAnsi="Calibri" w:cs="Calibri"/>
          <w:color w:val="000000" w:themeColor="text1"/>
        </w:rPr>
        <w:t xml:space="preserve">s), </w:t>
      </w:r>
      <w:r w:rsidRPr="007111EF">
        <w:rPr>
          <w:rStyle w:val="Emphasis"/>
          <w:rFonts w:ascii="Calibri" w:hAnsi="Calibri" w:cs="Calibri"/>
          <w:color w:val="000000" w:themeColor="text1"/>
        </w:rPr>
        <w:t>SLIDE</w:t>
      </w:r>
      <w:r w:rsidRPr="009658C3">
        <w:rPr>
          <w:rFonts w:ascii="Calibri" w:hAnsi="Calibri" w:cs="Calibri"/>
          <w:color w:val="000000" w:themeColor="text1"/>
        </w:rPr>
        <w:t xml:space="preserve"> was applied to two distinct single-cell RNA sequencing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 xml:space="preserve">-seq) datasets to extract discriminatory regulons between predefined cell states in B cells and T cells. </w:t>
      </w:r>
      <w:r>
        <w:rPr>
          <w:rStyle w:val="Emphasis"/>
          <w:rFonts w:ascii="Calibri" w:hAnsi="Calibri" w:cs="Calibri"/>
          <w:color w:val="000000" w:themeColor="text1"/>
        </w:rPr>
        <w:t>SLIDE</w:t>
      </w:r>
      <w:r w:rsidRPr="009658C3">
        <w:rPr>
          <w:rFonts w:ascii="Calibri" w:hAnsi="Calibri" w:cs="Calibri"/>
          <w:color w:val="000000" w:themeColor="text1"/>
        </w:rPr>
        <w:t xml:space="preserve"> requires two input cell populations to learn latent regulatory programs that differentiate one state from another. For the B cell system, </w:t>
      </w:r>
      <w:r>
        <w:rPr>
          <w:rStyle w:val="Emphasis"/>
          <w:rFonts w:ascii="Calibri" w:hAnsi="Calibri" w:cs="Calibri"/>
          <w:color w:val="000000" w:themeColor="text1"/>
        </w:rPr>
        <w:t>the method</w:t>
      </w:r>
      <w:r w:rsidRPr="009658C3">
        <w:rPr>
          <w:rFonts w:ascii="Calibri" w:hAnsi="Calibri" w:cs="Calibri"/>
          <w:color w:val="000000" w:themeColor="text1"/>
        </w:rPr>
        <w:t xml:space="preserve"> was applied to PB and</w:t>
      </w:r>
      <w:r>
        <w:rPr>
          <w:rFonts w:ascii="Calibri" w:hAnsi="Calibri" w:cs="Calibri"/>
          <w:color w:val="000000" w:themeColor="text1"/>
        </w:rPr>
        <w:t xml:space="preserve"> </w:t>
      </w:r>
      <w:r w:rsidRPr="009658C3">
        <w:rPr>
          <w:rFonts w:ascii="Calibri" w:hAnsi="Calibri" w:cs="Calibri"/>
          <w:color w:val="000000" w:themeColor="text1"/>
        </w:rPr>
        <w:t xml:space="preserve">GC B cells using both </w:t>
      </w:r>
      <w:proofErr w:type="spellStart"/>
      <w:r w:rsidRPr="009658C3">
        <w:rPr>
          <w:rFonts w:ascii="Calibri" w:hAnsi="Calibri" w:cs="Calibri"/>
          <w:color w:val="000000" w:themeColor="text1"/>
        </w:rPr>
        <w:t>scMultiome</w:t>
      </w:r>
      <w:proofErr w:type="spellEnd"/>
      <w:r w:rsidRPr="009658C3">
        <w:rPr>
          <w:rFonts w:ascii="Calibri" w:hAnsi="Calibri" w:cs="Calibri"/>
          <w:color w:val="000000" w:themeColor="text1"/>
        </w:rPr>
        <w:t xml:space="preserve"> data (Day 6) and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 For the T cell system, the model was applied to Tex-term and Tex-KLR</w:t>
      </w:r>
      <w:r>
        <w:rPr>
          <w:rFonts w:ascii="Calibri" w:hAnsi="Calibri" w:cs="Calibri"/>
          <w:color w:val="000000" w:themeColor="text1"/>
        </w:rPr>
        <w:t xml:space="preserve"> cells</w:t>
      </w:r>
      <w:r w:rsidRPr="009658C3">
        <w:rPr>
          <w:rFonts w:ascii="Calibri" w:hAnsi="Calibri" w:cs="Calibri"/>
          <w:color w:val="000000" w:themeColor="text1"/>
        </w:rPr>
        <w:t>.</w:t>
      </w:r>
      <w:r w:rsidRPr="009658C3">
        <w:rPr>
          <w:rFonts w:ascii="Calibri" w:hAnsi="Calibri" w:cs="Calibri"/>
          <w:color w:val="000000" w:themeColor="text1"/>
          <w:lang w:val="en-US"/>
        </w:rPr>
        <w:t xml:space="preserve"> A summary of the training conditions-including experimental groups, collection time points, and model parameters-is provided in </w:t>
      </w:r>
      <w:r w:rsidRPr="007111EF">
        <w:rPr>
          <w:rFonts w:ascii="Calibri" w:hAnsi="Calibri" w:cs="Calibri"/>
          <w:color w:val="000000" w:themeColor="text1"/>
          <w:highlight w:val="yellow"/>
          <w:lang w:val="en-US"/>
        </w:rPr>
        <w:t>Supplementary Table 1</w:t>
      </w:r>
      <w:r w:rsidRPr="009658C3">
        <w:rPr>
          <w:rFonts w:ascii="Calibri" w:hAnsi="Calibri" w:cs="Calibri"/>
          <w:color w:val="000000" w:themeColor="text1"/>
          <w:lang w:val="en-US"/>
        </w:rPr>
        <w:t xml:space="preserve">. </w:t>
      </w:r>
    </w:p>
    <w:p w:rsidRPr="009658C3" w:rsidR="008515C4" w:rsidP="008515C4" w:rsidRDefault="008515C4" w14:paraId="02D403EF" w14:textId="77777777">
      <w:pPr>
        <w:jc w:val="both"/>
        <w:rPr>
          <w:rFonts w:ascii="Calibri" w:hAnsi="Calibri" w:cs="Calibri"/>
          <w:color w:val="000000" w:themeColor="text1"/>
          <w:lang w:val="en-US"/>
        </w:rPr>
      </w:pPr>
      <w:r w:rsidRPr="009658C3">
        <w:rPr>
          <w:rFonts w:ascii="Calibri" w:hAnsi="Calibri" w:cs="Calibri"/>
          <w:color w:val="000000" w:themeColor="text1"/>
          <w:lang w:val="en-US"/>
        </w:rPr>
        <w:t xml:space="preserve">We also used this approach to get the predisposing cellular programs from single-cell Perturb-seq data collected on Day 6 following transcription factor (TF) KOs. The training dataset for B cell included KO conditions for key TFs implicated in B cell differentiation (PRDM1, BATF, SPIB, IRF4, and IRF8) alongside unperturbed control cells. For T cell system we applied the same approach on single-cell perturb-seq data of Ikzf1 and Ets1 KO cells against unperturbed control cells. A summary of the training conditions-including experimental groups, and model parameters-is provided in </w:t>
      </w:r>
      <w:r w:rsidRPr="007111EF">
        <w:rPr>
          <w:rFonts w:ascii="Calibri" w:hAnsi="Calibri" w:cs="Calibri"/>
          <w:color w:val="000000" w:themeColor="text1"/>
          <w:highlight w:val="yellow"/>
          <w:lang w:val="en-US"/>
        </w:rPr>
        <w:t>Supplementary Table 2</w:t>
      </w:r>
      <w:r w:rsidRPr="009658C3">
        <w:rPr>
          <w:rFonts w:ascii="Calibri" w:hAnsi="Calibri" w:cs="Calibri"/>
          <w:color w:val="000000" w:themeColor="text1"/>
          <w:lang w:val="en-US"/>
        </w:rPr>
        <w:t>.</w:t>
      </w:r>
    </w:p>
    <w:p w:rsidR="008515C4" w:rsidP="008515C4" w:rsidRDefault="008515C4" w14:paraId="1AA78E57" w14:textId="77777777">
      <w:pPr>
        <w:pStyle w:val="Heading3"/>
        <w:jc w:val="both"/>
        <w:rPr>
          <w:rFonts w:asciiTheme="majorHAnsi" w:hAnsiTheme="majorHAnsi" w:cstheme="majorHAnsi"/>
          <w:b/>
          <w:bCs/>
          <w:color w:val="000000" w:themeColor="text1"/>
          <w:sz w:val="24"/>
          <w:szCs w:val="24"/>
          <w:lang w:val="en-US"/>
        </w:rPr>
      </w:pPr>
      <w:r w:rsidRPr="00624F7B">
        <w:rPr>
          <w:rFonts w:asciiTheme="majorHAnsi" w:hAnsiTheme="majorHAnsi" w:cstheme="majorHAnsi"/>
          <w:b/>
          <w:bCs/>
          <w:color w:val="000000" w:themeColor="text1"/>
          <w:sz w:val="24"/>
          <w:szCs w:val="24"/>
          <w:lang w:val="en-US"/>
        </w:rPr>
        <w:t>Interpreting the cellular programs using LLM-based gene set enrichment analysis</w:t>
      </w:r>
    </w:p>
    <w:p w:rsidRPr="00587F8D" w:rsidR="008515C4" w:rsidP="008515C4" w:rsidRDefault="008515C4" w14:paraId="290C6106" w14:textId="77777777">
      <w:pPr>
        <w:pStyle w:val="Heading3"/>
        <w:spacing w:before="0" w:after="0"/>
        <w:jc w:val="both"/>
        <w:rPr>
          <w:rFonts w:asciiTheme="majorHAnsi" w:hAnsiTheme="majorHAnsi" w:cstheme="majorHAnsi"/>
          <w:b/>
          <w:bCs/>
          <w:color w:val="000000" w:themeColor="text1"/>
          <w:sz w:val="24"/>
          <w:szCs w:val="24"/>
          <w:lang w:val="en-US"/>
        </w:rPr>
      </w:pPr>
      <w:r w:rsidRPr="009658C3">
        <w:rPr>
          <w:rFonts w:ascii="Calibri" w:hAnsi="Calibri" w:cs="Calibri"/>
          <w:color w:val="000000" w:themeColor="text1"/>
          <w:sz w:val="22"/>
          <w:szCs w:val="22"/>
          <w:lang w:val="en-US"/>
        </w:rPr>
        <w:t xml:space="preserve">To derive biologically meaningful modules and corresponding labels for each </w:t>
      </w:r>
      <w:r>
        <w:rPr>
          <w:rFonts w:ascii="Calibri" w:hAnsi="Calibri" w:cs="Calibri"/>
          <w:color w:val="000000" w:themeColor="text1"/>
          <w:sz w:val="22"/>
          <w:szCs w:val="22"/>
          <w:lang w:val="en-US"/>
        </w:rPr>
        <w:t>CP</w:t>
      </w:r>
      <w:r w:rsidRPr="009658C3">
        <w:rPr>
          <w:rFonts w:ascii="Calibri" w:hAnsi="Calibri" w:cs="Calibri"/>
          <w:color w:val="000000" w:themeColor="text1"/>
          <w:sz w:val="22"/>
          <w:szCs w:val="22"/>
          <w:lang w:val="en-US"/>
        </w:rPr>
        <w:t xml:space="preserve">, we employed a large language model (LLM)-based gene set enrichment approach on the top-ranked genes within each </w:t>
      </w:r>
      <w:r>
        <w:rPr>
          <w:rFonts w:ascii="Calibri" w:hAnsi="Calibri" w:cs="Calibri"/>
          <w:color w:val="000000" w:themeColor="text1"/>
          <w:sz w:val="22"/>
          <w:szCs w:val="22"/>
          <w:lang w:val="en-US"/>
        </w:rPr>
        <w:t>CP</w:t>
      </w:r>
      <w:r w:rsidRPr="009658C3">
        <w:rPr>
          <w:rFonts w:ascii="Calibri" w:hAnsi="Calibri" w:cs="Calibri"/>
          <w:color w:val="000000" w:themeColor="text1"/>
          <w:sz w:val="22"/>
          <w:szCs w:val="22"/>
          <w:lang w:val="en-US"/>
        </w:rPr>
        <w:t xml:space="preserve">. GSAI grouped genes into functional programs and generated module annotations. Using the prompt provided in </w:t>
      </w:r>
      <w:r w:rsidRPr="00E27445">
        <w:rPr>
          <w:rFonts w:ascii="Calibri" w:hAnsi="Calibri" w:cs="Calibri"/>
          <w:color w:val="000000" w:themeColor="text1"/>
          <w:sz w:val="22"/>
          <w:szCs w:val="22"/>
          <w:highlight w:val="yellow"/>
          <w:lang w:val="en-US"/>
        </w:rPr>
        <w:t>Supplementary File S1</w:t>
      </w:r>
      <w:r w:rsidRPr="009658C3">
        <w:rPr>
          <w:rFonts w:ascii="Calibri" w:hAnsi="Calibri" w:cs="Calibri"/>
          <w:color w:val="000000" w:themeColor="text1"/>
          <w:sz w:val="22"/>
          <w:szCs w:val="22"/>
          <w:lang w:val="en-US"/>
        </w:rPr>
        <w:t>, we supplied the sets of top-ranked genes and asked ChatGPT 5.1 to annotate them with the most relevant biological processes.</w:t>
      </w:r>
    </w:p>
    <w:p w:rsidRPr="00624F7B" w:rsidR="008515C4" w:rsidP="008515C4" w:rsidRDefault="008515C4" w14:paraId="5AF2DD3F" w14:textId="77777777">
      <w:pPr>
        <w:pStyle w:val="Heading3"/>
        <w:jc w:val="both"/>
        <w:rPr>
          <w:rFonts w:asciiTheme="majorHAnsi" w:hAnsiTheme="majorHAnsi" w:cstheme="majorHAnsi"/>
          <w:b/>
          <w:bCs/>
          <w:color w:val="000000" w:themeColor="text1"/>
          <w:sz w:val="24"/>
          <w:szCs w:val="24"/>
        </w:rPr>
      </w:pPr>
      <w:r w:rsidRPr="00624F7B">
        <w:rPr>
          <w:rFonts w:asciiTheme="majorHAnsi" w:hAnsiTheme="majorHAnsi" w:cstheme="majorHAnsi"/>
          <w:b/>
          <w:bCs/>
          <w:color w:val="000000" w:themeColor="text1"/>
          <w:sz w:val="24"/>
          <w:szCs w:val="24"/>
        </w:rPr>
        <w:t>State specific static GRN Inference</w:t>
      </w:r>
    </w:p>
    <w:p w:rsidRPr="009658C3" w:rsidR="008515C4" w:rsidP="008515C4" w:rsidRDefault="008515C4" w14:paraId="321EB153" w14:textId="77777777">
      <w:pPr>
        <w:jc w:val="both"/>
        <w:rPr>
          <w:rFonts w:ascii="Calibri" w:hAnsi="Calibri" w:cs="Calibri"/>
          <w:color w:val="000000" w:themeColor="text1"/>
          <w:lang w:val="en-US"/>
        </w:rPr>
      </w:pPr>
      <w:r w:rsidRPr="009658C3">
        <w:rPr>
          <w:rFonts w:ascii="Calibri" w:hAnsi="Calibri" w:cs="Calibri"/>
          <w:color w:val="000000" w:themeColor="text1"/>
          <w:lang w:val="en-US"/>
        </w:rPr>
        <w:t>GRNs were constructed separately for B cell and T cell datasets, each containing distinct sub-cell types. For the B cell dataset, GRNs were obtained for the PB and GC cells from [ref Nick’s]. For the T cell dataset, GRNs were inferred for the Tex-term</w:t>
      </w:r>
      <w:r w:rsidRPr="009658C3">
        <w:rPr>
          <w:rFonts w:ascii="Calibri" w:hAnsi="Calibri" w:cs="Calibri"/>
          <w:i/>
          <w:iCs/>
          <w:color w:val="000000" w:themeColor="text1"/>
          <w:lang w:val="en-US"/>
        </w:rPr>
        <w:t xml:space="preserve"> </w:t>
      </w:r>
      <w:r w:rsidRPr="009658C3">
        <w:rPr>
          <w:rFonts w:ascii="Calibri" w:hAnsi="Calibri" w:cs="Calibri"/>
          <w:color w:val="000000" w:themeColor="text1"/>
          <w:lang w:val="en-US"/>
        </w:rPr>
        <w:t xml:space="preserve">and Tex-KLR cells using the </w:t>
      </w:r>
      <w:proofErr w:type="spellStart"/>
      <w:r w:rsidRPr="009658C3">
        <w:rPr>
          <w:rFonts w:ascii="Calibri" w:hAnsi="Calibri" w:cs="Calibri"/>
          <w:color w:val="000000" w:themeColor="text1"/>
          <w:lang w:val="en-US"/>
        </w:rPr>
        <w:t>CellOracle</w:t>
      </w:r>
      <w:proofErr w:type="spellEnd"/>
      <w:r w:rsidRPr="009658C3">
        <w:rPr>
          <w:rFonts w:ascii="Calibri" w:hAnsi="Calibri" w:cs="Calibri"/>
          <w:color w:val="000000" w:themeColor="text1"/>
          <w:lang w:val="en-US"/>
        </w:rPr>
        <w:t xml:space="preserve"> framework, with its murine ATAC-seq inferred GRN serving as the base GRN. For each cell type (B or T), GRNs corresponding to the two relevant cell-subtypes were first subset to top 10000 edges. These subtype specific GRNs were then merged into a fusion GRN that represents the combined regulatory landscape across sub-cell types within that dataset. During the merging process if an edge (TF-target interaction) was present in both subtype GRNs, the edge with the higher weight (indicative of stronger regulatory potential) was retained. If an edge was unique to one subtype, it was included as-is in the fusion GRN. Following GRN fusion, each edge was categorized based on its weight relative to the distribution of edge weights in the respective fusion network: strong regulatory edges; edge weight in the top 10th percentile (≥90th percentile), and weak regulatory edges; edge weight below the 90th percentile.</w:t>
      </w:r>
      <w:r>
        <w:rPr>
          <w:rFonts w:ascii="Calibri" w:hAnsi="Calibri" w:cs="Calibri"/>
          <w:color w:val="000000" w:themeColor="text1"/>
          <w:lang w:val="en-US"/>
        </w:rPr>
        <w:t xml:space="preserve"> </w:t>
      </w:r>
      <w:r w:rsidRPr="009658C3">
        <w:rPr>
          <w:rFonts w:ascii="Calibri" w:hAnsi="Calibri" w:cs="Calibri"/>
          <w:color w:val="000000" w:themeColor="text1"/>
          <w:lang w:val="en-US"/>
        </w:rPr>
        <w:t>This strategy enabled comprehensive subtype-integrated GRNs across functionally distinct immune subpopulations.</w:t>
      </w:r>
    </w:p>
    <w:p w:rsidRPr="00624F7B" w:rsidR="008515C4" w:rsidP="008515C4" w:rsidRDefault="008515C4" w14:paraId="5E858528" w14:textId="77777777">
      <w:pPr>
        <w:pStyle w:val="Heading3"/>
        <w:jc w:val="both"/>
        <w:rPr>
          <w:rFonts w:asciiTheme="majorHAnsi" w:hAnsiTheme="majorHAnsi" w:cstheme="majorHAnsi"/>
          <w:b/>
          <w:bCs/>
          <w:color w:val="000000" w:themeColor="text1"/>
          <w:sz w:val="24"/>
          <w:szCs w:val="24"/>
        </w:rPr>
      </w:pPr>
      <w:r w:rsidRPr="00624F7B">
        <w:rPr>
          <w:rFonts w:asciiTheme="majorHAnsi" w:hAnsiTheme="majorHAnsi" w:cstheme="majorHAnsi"/>
          <w:b/>
          <w:bCs/>
          <w:color w:val="000000" w:themeColor="text1"/>
          <w:sz w:val="24"/>
          <w:szCs w:val="24"/>
        </w:rPr>
        <w:t>Inferring Regulons by combining cellular programs and GRNs</w:t>
      </w:r>
    </w:p>
    <w:p w:rsidRPr="009658C3" w:rsidR="008515C4" w:rsidP="008515C4" w:rsidRDefault="008515C4" w14:paraId="43523EBA" w14:textId="77777777">
      <w:pPr>
        <w:jc w:val="both"/>
        <w:rPr>
          <w:rFonts w:ascii="Calibri" w:hAnsi="Calibri" w:cs="Calibri"/>
          <w:color w:val="000000" w:themeColor="text1"/>
          <w:lang w:val="en-US"/>
        </w:rPr>
      </w:pPr>
      <w:r w:rsidRPr="009658C3">
        <w:rPr>
          <w:rFonts w:ascii="Calibri" w:hAnsi="Calibri" w:cs="Calibri"/>
          <w:color w:val="000000" w:themeColor="text1"/>
          <w:lang w:val="en-US"/>
        </w:rPr>
        <w:t xml:space="preserve">To identify TFs with regulatory programs enriched in cell subtype discrimination specific regulons, we performed enrichment analyses using previously constructed fusion GRNs alongside regulons inferred from SLIDE. By overlapping GRN topology with both standalone and interacting regulons, we assembled a comprehensive set of TF-target gene relationships. These interactions were then evaluated through two levels of enrichment analyses. The order-1 (single-TF) enrichment analysis, in which for each regulon, TFs either directly included in the regulon or connected as first-degree </w:t>
      </w:r>
      <w:r w:rsidRPr="009658C3">
        <w:rPr>
          <w:rFonts w:ascii="Calibri" w:hAnsi="Calibri" w:cs="Calibri"/>
          <w:color w:val="000000" w:themeColor="text1"/>
          <w:lang w:val="en-US"/>
        </w:rPr>
        <w:t>neighbors (based on GRN topology) were considered. To assess their regulatory importance, we quantified how many genes does each TF regulates strongly within the regulons compared to its global regulatory profile in the fusion GRNs. For each TF, the enrichment score was computed as:</w:t>
      </w:r>
    </w:p>
    <w:p w:rsidRPr="009658C3" w:rsidR="008515C4" w:rsidP="008515C4" w:rsidRDefault="008515C4" w14:paraId="453D2E53" w14:textId="77777777">
      <w:pPr>
        <w:jc w:val="both"/>
        <w:rPr>
          <w:rFonts w:ascii="Calibri" w:hAnsi="Calibri" w:cs="Calibri"/>
          <w:color w:val="000000" w:themeColor="text1"/>
          <w:lang w:val="en-US"/>
        </w:rPr>
      </w:pPr>
    </w:p>
    <w:p w:rsidRPr="009658C3" w:rsidR="008515C4" w:rsidP="008515C4" w:rsidRDefault="008515C4" w14:paraId="57270E4D" w14:textId="77777777">
      <w:pPr>
        <w:jc w:val="both"/>
        <w:rPr>
          <w:rFonts w:ascii="Calibri" w:hAnsi="Calibri" w:cs="Calibri"/>
          <w:color w:val="000000" w:themeColor="text1"/>
          <w:lang w:val="en-US"/>
        </w:rPr>
      </w:pPr>
      <m:oMath>
        <m:r>
          <w:rPr>
            <w:rFonts w:ascii="Cambria Math" w:hAnsi="Cambria Math" w:cs="Calibri"/>
            <w:color w:val="000000" w:themeColor="text1"/>
            <w:lang w:val="en-US"/>
          </w:rPr>
          <m:t xml:space="preserve">Enrichment Score = </m:t>
        </m:r>
        <m:f>
          <m:fPr>
            <m:ctrlPr>
              <w:rPr>
                <w:rFonts w:ascii="Cambria Math" w:hAnsi="Cambria Math" w:cs="Calibri"/>
                <w:i/>
                <w:color w:val="000000" w:themeColor="text1"/>
                <w:lang w:val="en-US"/>
              </w:rPr>
            </m:ctrlPr>
          </m:fPr>
          <m:num>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bi"/>
                  </m:rPr>
                  <w:rPr>
                    <w:rFonts w:ascii="Cambria Math" w:hAnsi="Cambria Math" w:cs="Calibri"/>
                    <w:color w:val="000000" w:themeColor="text1"/>
                    <w:lang w:val="en-US"/>
                  </w:rPr>
                  <m:t xml:space="preserve">strong </m:t>
                </m:r>
                <m:r>
                  <w:rPr>
                    <w:rFonts w:ascii="Cambria Math" w:hAnsi="Cambria Math" w:cs="Calibri"/>
                    <w:color w:val="000000" w:themeColor="text1"/>
                    <w:lang w:val="en-US"/>
                  </w:rPr>
                  <m:t>TF→gene edges within the regulon</m:t>
                </m:r>
              </m:num>
              <m:den>
                <m:r>
                  <w:rPr>
                    <w:rFonts w:ascii="Cambria Math" w:hAnsi="Cambria Math" w:cs="Calibri"/>
                    <w:color w:val="000000" w:themeColor="text1"/>
                    <w:lang w:val="en-US"/>
                  </w:rPr>
                  <m:t xml:space="preserve">Total number of genes in the regulon </m:t>
                </m:r>
              </m:den>
            </m:f>
          </m:num>
          <m:den>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bi"/>
                  </m:rPr>
                  <w:rPr>
                    <w:rFonts w:ascii="Cambria Math" w:hAnsi="Cambria Math" w:cs="Calibri"/>
                    <w:color w:val="000000" w:themeColor="text1"/>
                    <w:lang w:val="en-US"/>
                  </w:rPr>
                  <m:t>strong</m:t>
                </m:r>
                <m:r>
                  <w:rPr>
                    <w:rFonts w:ascii="Cambria Math" w:hAnsi="Cambria Math" w:cs="Calibri"/>
                    <w:color w:val="000000" w:themeColor="text1"/>
                    <w:lang w:val="en-US"/>
                  </w:rPr>
                  <m:t xml:space="preserve"> TF→gene edges in the fusion GRNs</m:t>
                </m:r>
              </m:num>
              <m:den>
                <m:r>
                  <w:rPr>
                    <w:rFonts w:ascii="Cambria Math" w:hAnsi="Cambria Math" w:cs="Calibri"/>
                    <w:color w:val="000000" w:themeColor="text1"/>
                    <w:lang w:val="en-US"/>
                  </w:rPr>
                  <m:t>Total number of genes in the GRN</m:t>
                </m:r>
              </m:den>
            </m:f>
          </m:den>
        </m:f>
        <m:r>
          <w:rPr>
            <w:rFonts w:ascii="Cambria Math" w:hAnsi="Cambria Math" w:cs="Calibri"/>
            <w:color w:val="000000" w:themeColor="text1"/>
            <w:lang w:val="en-US"/>
          </w:rPr>
          <m:t xml:space="preserve"> </m:t>
        </m:r>
      </m:oMath>
      <w:r w:rsidRPr="009658C3">
        <w:rPr>
          <w:rFonts w:ascii="Calibri" w:hAnsi="Calibri" w:cs="Calibri"/>
          <w:color w:val="000000" w:themeColor="text1"/>
          <w:lang w:val="en-US"/>
        </w:rPr>
        <w:t xml:space="preserve">                               (4)</w:t>
      </w:r>
    </w:p>
    <w:p w:rsidRPr="009658C3" w:rsidR="008515C4" w:rsidP="008515C4" w:rsidRDefault="008515C4" w14:paraId="105C8C3F" w14:textId="77777777">
      <w:pPr>
        <w:jc w:val="both"/>
        <w:rPr>
          <w:rFonts w:ascii="Calibri" w:hAnsi="Calibri" w:cs="Calibri"/>
          <w:color w:val="000000" w:themeColor="text1"/>
          <w:lang w:val="en-US"/>
        </w:rPr>
      </w:pPr>
    </w:p>
    <w:p w:rsidR="008515C4" w:rsidP="008515C4" w:rsidRDefault="008515C4" w14:paraId="497D126C" w14:textId="77777777">
      <w:pPr>
        <w:jc w:val="both"/>
        <w:rPr>
          <w:rFonts w:ascii="Calibri" w:hAnsi="Calibri" w:cs="Calibri"/>
          <w:color w:val="000000" w:themeColor="text1"/>
          <w:lang w:val="en-US"/>
        </w:rPr>
      </w:pPr>
      <w:r w:rsidRPr="009658C3">
        <w:rPr>
          <w:rFonts w:ascii="Calibri" w:hAnsi="Calibri" w:cs="Calibri"/>
          <w:color w:val="000000" w:themeColor="text1"/>
          <w:lang w:val="en-US"/>
        </w:rPr>
        <w:t xml:space="preserve">Enrichment </w:t>
      </w:r>
      <w:r>
        <w:rPr>
          <w:rFonts w:ascii="Calibri" w:hAnsi="Calibri" w:cs="Calibri"/>
          <w:color w:val="000000" w:themeColor="text1"/>
          <w:lang w:val="en-US"/>
        </w:rPr>
        <w:t>s</w:t>
      </w:r>
      <w:r w:rsidRPr="009658C3">
        <w:rPr>
          <w:rFonts w:ascii="Calibri" w:hAnsi="Calibri" w:cs="Calibri"/>
          <w:color w:val="000000" w:themeColor="text1"/>
          <w:lang w:val="en-US"/>
        </w:rPr>
        <w:t>core thus, quantifies TF’s overrepresented strong regulatory influence for given regulons. Hypergeometric test was used to determine statistical significance, and transcription factors with significantly enriched regulons were identified as candidate key regulators.</w:t>
      </w:r>
    </w:p>
    <w:p w:rsidRPr="009658C3" w:rsidR="008515C4" w:rsidP="008515C4" w:rsidRDefault="008515C4" w14:paraId="5E38824A" w14:textId="77777777">
      <w:pPr>
        <w:jc w:val="both"/>
        <w:rPr>
          <w:rFonts w:ascii="Calibri" w:hAnsi="Calibri" w:cs="Calibri"/>
          <w:color w:val="000000" w:themeColor="text1"/>
          <w:lang w:val="en-US"/>
        </w:rPr>
      </w:pPr>
    </w:p>
    <w:p w:rsidRPr="00587F8D" w:rsidR="008515C4" w:rsidP="008515C4" w:rsidRDefault="008515C4" w14:paraId="38EB2E8B" w14:textId="77777777">
      <w:pPr>
        <w:jc w:val="both"/>
        <w:rPr>
          <w:rFonts w:asciiTheme="majorHAnsi" w:hAnsiTheme="majorHAnsi" w:cstheme="majorHAnsi"/>
          <w:lang w:val="en-US"/>
        </w:rPr>
      </w:pPr>
      <w:r w:rsidRPr="00587F8D">
        <w:rPr>
          <w:rFonts w:asciiTheme="majorHAnsi" w:hAnsiTheme="majorHAnsi" w:cstheme="majorHAnsi"/>
          <w:lang w:val="en-US"/>
        </w:rPr>
        <w:t xml:space="preserve">The second set of regulons are the order-2 (TF-pair) enrichment analysis. To capture potential combinatorial regulation, we extended the analysis to transcription factor pairs (TF pairs). Like order-1, we evaluated TF pairs that were either members of a regulon or connected to regulon genes as first-degree neighbors from fusion GRNs. For each TF pair, we identified the set of common downstream genes that were co-regulated within the regulon. Only interactions where at least one of the TF </w:t>
      </w:r>
      <w:r>
        <w:rPr>
          <w:rFonts w:asciiTheme="majorHAnsi" w:hAnsiTheme="majorHAnsi" w:cstheme="majorHAnsi"/>
          <w:lang w:val="en-US"/>
        </w:rPr>
        <w:t>to</w:t>
      </w:r>
      <w:r w:rsidRPr="00587F8D">
        <w:rPr>
          <w:rFonts w:asciiTheme="majorHAnsi" w:hAnsiTheme="majorHAnsi" w:cstheme="majorHAnsi"/>
          <w:lang w:val="en-US"/>
        </w:rPr>
        <w:t xml:space="preserve"> gene edges were classified as strong were considered; weak-weak pairs were excluded. The observed number of co-regulated genes within the regulon was then compared to the expected overlap based on the global GRN.</w:t>
      </w:r>
    </w:p>
    <w:p w:rsidRPr="009658C3" w:rsidR="008515C4" w:rsidP="008515C4" w:rsidRDefault="008515C4" w14:paraId="31656649" w14:textId="77777777">
      <w:pPr>
        <w:jc w:val="both"/>
        <w:rPr>
          <w:rFonts w:ascii="Calibri" w:hAnsi="Calibri" w:cs="Calibri"/>
          <w:color w:val="000000" w:themeColor="text1"/>
          <w:lang w:val="en-US"/>
        </w:rPr>
      </w:pPr>
    </w:p>
    <w:p w:rsidRPr="009658C3" w:rsidR="008515C4" w:rsidP="008515C4" w:rsidRDefault="008515C4" w14:paraId="1A11C58E" w14:textId="77777777">
      <w:pPr>
        <w:jc w:val="both"/>
        <w:rPr>
          <w:rFonts w:ascii="Calibri" w:hAnsi="Calibri" w:cs="Calibri"/>
          <w:color w:val="000000" w:themeColor="text1"/>
          <w:lang w:val="en-US"/>
        </w:rPr>
      </w:pPr>
      <m:oMath>
        <m:r>
          <w:rPr>
            <w:rFonts w:ascii="Cambria Math" w:hAnsi="Cambria Math" w:cs="Calibri"/>
            <w:color w:val="000000" w:themeColor="text1"/>
            <w:lang w:val="en-US"/>
          </w:rPr>
          <m:t xml:space="preserve">Enrichment Score = </m:t>
        </m:r>
        <m:f>
          <m:fPr>
            <m:ctrlPr>
              <w:rPr>
                <w:rFonts w:ascii="Cambria Math" w:hAnsi="Cambria Math" w:cs="Calibri"/>
                <w:i/>
                <w:color w:val="000000" w:themeColor="text1"/>
                <w:lang w:val="en-US"/>
              </w:rPr>
            </m:ctrlPr>
          </m:fPr>
          <m:num>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p"/>
                  </m:rPr>
                  <w:rPr>
                    <w:rFonts w:ascii="Cambria Math" w:hAnsi="Cambria Math" w:cs="Calibri"/>
                    <w:color w:val="000000" w:themeColor="text1"/>
                  </w:rPr>
                  <m:t xml:space="preserve">[(strong, strong), (strong, weak), (weak, strong)] </m:t>
                </m:r>
                <m:r>
                  <m:rPr>
                    <m:sty m:val="bi"/>
                  </m:rPr>
                  <w:rPr>
                    <w:rFonts w:ascii="Cambria Math" w:hAnsi="Cambria Math" w:cs="Calibri"/>
                    <w:color w:val="000000" w:themeColor="text1"/>
                    <w:lang w:val="en-US"/>
                  </w:rPr>
                  <m:t xml:space="preserve"> </m:t>
                </m:r>
                <m:r>
                  <m:rPr>
                    <m:sty m:val="p"/>
                  </m:rPr>
                  <w:rPr>
                    <w:rFonts w:ascii="Cambria Math" w:hAnsi="Cambria Math" w:cs="Calibri"/>
                    <w:color w:val="000000" w:themeColor="text1"/>
                  </w:rPr>
                  <m:t>co-regulated genes within the regulon</m:t>
                </m:r>
              </m:num>
              <m:den>
                <m:r>
                  <w:rPr>
                    <w:rFonts w:ascii="Cambria Math" w:hAnsi="Cambria Math" w:cs="Calibri"/>
                    <w:color w:val="000000" w:themeColor="text1"/>
                    <w:lang w:val="en-US"/>
                  </w:rPr>
                  <m:t xml:space="preserve">Total number of genes in the regulon </m:t>
                </m:r>
              </m:den>
            </m:f>
          </m:num>
          <m:den>
            <m:f>
              <m:fPr>
                <m:ctrlPr>
                  <w:rPr>
                    <w:rFonts w:ascii="Cambria Math" w:hAnsi="Cambria Math" w:cs="Calibri"/>
                    <w:i/>
                    <w:color w:val="000000" w:themeColor="text1"/>
                    <w:lang w:val="en-US"/>
                  </w:rPr>
                </m:ctrlPr>
              </m:fPr>
              <m:num>
                <m:r>
                  <w:rPr>
                    <w:rFonts w:ascii="Cambria Math" w:hAnsi="Cambria Math" w:cs="Calibri"/>
                    <w:color w:val="000000" w:themeColor="text1"/>
                    <w:lang w:val="en-US"/>
                  </w:rPr>
                  <m:t xml:space="preserve">Number of </m:t>
                </m:r>
                <m:r>
                  <m:rPr>
                    <m:sty m:val="p"/>
                  </m:rPr>
                  <w:rPr>
                    <w:rFonts w:ascii="Cambria Math" w:hAnsi="Cambria Math" w:cs="Calibri"/>
                    <w:color w:val="000000" w:themeColor="text1"/>
                  </w:rPr>
                  <m:t xml:space="preserve">[(strong, strong), (strong, weak), (weak, strong)] </m:t>
                </m:r>
                <m:r>
                  <m:rPr>
                    <m:sty m:val="bi"/>
                  </m:rPr>
                  <w:rPr>
                    <w:rFonts w:ascii="Cambria Math" w:hAnsi="Cambria Math" w:cs="Calibri"/>
                    <w:color w:val="000000" w:themeColor="text1"/>
                    <w:lang w:val="en-US"/>
                  </w:rPr>
                  <m:t xml:space="preserve"> </m:t>
                </m:r>
                <m:r>
                  <m:rPr>
                    <m:sty m:val="p"/>
                  </m:rPr>
                  <w:rPr>
                    <w:rFonts w:ascii="Cambria Math" w:hAnsi="Cambria Math" w:cs="Calibri"/>
                    <w:color w:val="000000" w:themeColor="text1"/>
                  </w:rPr>
                  <m:t xml:space="preserve">co-regulated genes </m:t>
                </m:r>
                <m:r>
                  <w:rPr>
                    <w:rFonts w:ascii="Cambria Math" w:hAnsi="Cambria Math" w:cs="Calibri"/>
                    <w:color w:val="000000" w:themeColor="text1"/>
                    <w:lang w:val="en-US"/>
                  </w:rPr>
                  <m:t>in the fusion GRNs</m:t>
                </m:r>
              </m:num>
              <m:den>
                <m:r>
                  <w:rPr>
                    <w:rFonts w:ascii="Cambria Math" w:hAnsi="Cambria Math" w:cs="Calibri"/>
                    <w:color w:val="000000" w:themeColor="text1"/>
                    <w:lang w:val="en-US"/>
                  </w:rPr>
                  <m:t>Total number of genes in the GRN</m:t>
                </m:r>
              </m:den>
            </m:f>
          </m:den>
        </m:f>
      </m:oMath>
      <w:r w:rsidRPr="009658C3">
        <w:rPr>
          <w:rFonts w:ascii="Calibri" w:hAnsi="Calibri" w:cs="Calibri"/>
          <w:color w:val="000000" w:themeColor="text1"/>
          <w:lang w:val="en-US"/>
        </w:rPr>
        <w:t xml:space="preserve">      (5)</w:t>
      </w:r>
    </w:p>
    <w:p w:rsidRPr="009658C3" w:rsidR="008515C4" w:rsidP="008515C4" w:rsidRDefault="008515C4" w14:paraId="36D4938E" w14:textId="77777777">
      <w:pPr>
        <w:jc w:val="both"/>
        <w:rPr>
          <w:rFonts w:ascii="Calibri" w:hAnsi="Calibri" w:cs="Calibri"/>
          <w:color w:val="000000" w:themeColor="text1"/>
          <w:lang w:val="en-US"/>
        </w:rPr>
      </w:pPr>
    </w:p>
    <w:p w:rsidRPr="009658C3" w:rsidR="008515C4" w:rsidP="008515C4" w:rsidRDefault="008515C4" w14:paraId="142D868E" w14:textId="77777777">
      <w:pPr>
        <w:jc w:val="both"/>
        <w:rPr>
          <w:rFonts w:ascii="Calibri" w:hAnsi="Calibri" w:cs="Calibri"/>
          <w:color w:val="000000" w:themeColor="text1"/>
          <w:lang w:val="en-US"/>
        </w:rPr>
      </w:pPr>
      <w:r w:rsidRPr="009658C3">
        <w:rPr>
          <w:rFonts w:ascii="Calibri" w:hAnsi="Calibri" w:cs="Calibri"/>
          <w:color w:val="000000" w:themeColor="text1"/>
          <w:lang w:val="en-US"/>
        </w:rPr>
        <w:t>To reduce spurious associations, we applied two filtering criteria; (1) TF pairs must co-regulate more than one gene within the regulon, and (2) TF pairs must co-regulate at least four genes across the full GRN. Statistical enrichment was again assessed using a hypergeometric test, and TF pairs with significant enrichment (p &lt; 0.05) that passed both filters were retained as candidate combinatorial regulators contributing to subtype-specific transcriptional programs.</w:t>
      </w:r>
    </w:p>
    <w:p w:rsidRPr="00624F7B" w:rsidR="008515C4" w:rsidP="008515C4" w:rsidRDefault="008515C4" w14:paraId="318FB281" w14:textId="77777777">
      <w:pPr>
        <w:spacing w:before="320" w:after="80"/>
        <w:jc w:val="both"/>
        <w:outlineLvl w:val="2"/>
        <w:rPr>
          <w:rFonts w:eastAsia="Times New Roman" w:asciiTheme="majorHAnsi" w:hAnsiTheme="majorHAnsi" w:cstheme="majorHAnsi"/>
          <w:b/>
          <w:bCs/>
          <w:color w:val="000000" w:themeColor="text1"/>
          <w:sz w:val="24"/>
          <w:szCs w:val="24"/>
          <w:lang w:val="en-US"/>
        </w:rPr>
      </w:pPr>
      <w:r w:rsidRPr="00624F7B">
        <w:rPr>
          <w:rFonts w:eastAsia="Times New Roman" w:asciiTheme="majorHAnsi" w:hAnsiTheme="majorHAnsi" w:cstheme="majorHAnsi"/>
          <w:b/>
          <w:bCs/>
          <w:color w:val="000000" w:themeColor="text1"/>
          <w:sz w:val="24"/>
          <w:szCs w:val="24"/>
          <w:lang w:val="en-US"/>
        </w:rPr>
        <w:t xml:space="preserve">Benchmarking of </w:t>
      </w:r>
      <w:proofErr w:type="spellStart"/>
      <w:r w:rsidRPr="00624F7B">
        <w:rPr>
          <w:rFonts w:eastAsia="Times New Roman" w:asciiTheme="majorHAnsi" w:hAnsiTheme="majorHAnsi" w:cstheme="majorHAnsi"/>
          <w:b/>
          <w:bCs/>
          <w:color w:val="000000" w:themeColor="text1"/>
          <w:sz w:val="24"/>
          <w:szCs w:val="24"/>
          <w:lang w:val="en-US"/>
        </w:rPr>
        <w:t>FIREFate</w:t>
      </w:r>
      <w:proofErr w:type="spellEnd"/>
      <w:r w:rsidRPr="00624F7B">
        <w:rPr>
          <w:rFonts w:eastAsia="Times New Roman" w:asciiTheme="majorHAnsi" w:hAnsiTheme="majorHAnsi" w:cstheme="majorHAnsi"/>
          <w:b/>
          <w:bCs/>
          <w:color w:val="000000" w:themeColor="text1"/>
          <w:sz w:val="24"/>
          <w:szCs w:val="24"/>
          <w:lang w:val="en-US"/>
        </w:rPr>
        <w:t xml:space="preserve"> Cellular Programs</w:t>
      </w:r>
    </w:p>
    <w:p w:rsidRPr="009658C3" w:rsidR="008515C4" w:rsidP="008515C4" w:rsidRDefault="008515C4" w14:paraId="70BFCC30" w14:textId="77777777">
      <w:pPr>
        <w:jc w:val="both"/>
        <w:rPr>
          <w:rFonts w:ascii="Calibri" w:hAnsi="Calibri" w:cs="Calibri"/>
          <w:color w:val="000000" w:themeColor="text1"/>
          <w:lang w:val="en-US"/>
        </w:rPr>
      </w:pPr>
      <w:r w:rsidRPr="56BF1791">
        <w:rPr>
          <w:rFonts w:ascii="Calibri" w:hAnsi="Calibri" w:cs="Calibri"/>
          <w:color w:val="000000" w:themeColor="text1"/>
          <w:lang w:val="en-US"/>
        </w:rPr>
        <w:t xml:space="preserve">To enable direct comparison of order-1 transcriptional programs enriched by </w:t>
      </w:r>
      <w:proofErr w:type="spellStart"/>
      <w:r w:rsidRPr="56BF1791">
        <w:rPr>
          <w:rFonts w:ascii="Calibri" w:hAnsi="Calibri" w:cs="Calibri"/>
          <w:color w:val="000000" w:themeColor="text1"/>
          <w:lang w:val="en-US"/>
        </w:rPr>
        <w:t>FIREFate</w:t>
      </w:r>
      <w:proofErr w:type="spellEnd"/>
      <w:r w:rsidRPr="56BF1791">
        <w:rPr>
          <w:rFonts w:ascii="Calibri" w:hAnsi="Calibri" w:cs="Calibri"/>
          <w:color w:val="000000" w:themeColor="text1"/>
          <w:lang w:val="en-US"/>
        </w:rPr>
        <w:t>, TF-centric regulons, we employed SCENIC+ to generate state-specific regulons distinguishing GC and PB states in the B-cell system (supplementary fig1), and Tex-term and Tex-KLR states in the T-cell system (supplementary fig2). Our workflow proceeded as follows: SCENIC+ was first applied to single-cell multi-</w:t>
      </w:r>
      <w:proofErr w:type="spellStart"/>
      <w:r w:rsidRPr="56BF1791">
        <w:rPr>
          <w:rFonts w:ascii="Calibri" w:hAnsi="Calibri" w:cs="Calibri"/>
          <w:color w:val="000000" w:themeColor="text1"/>
          <w:lang w:val="en-US"/>
        </w:rPr>
        <w:t>omic</w:t>
      </w:r>
      <w:proofErr w:type="spellEnd"/>
      <w:r w:rsidRPr="56BF1791">
        <w:rPr>
          <w:rFonts w:ascii="Calibri" w:hAnsi="Calibri" w:cs="Calibri"/>
          <w:color w:val="000000" w:themeColor="text1"/>
          <w:lang w:val="en-US"/>
        </w:rPr>
        <w:t xml:space="preserve"> data of both systems to infer regulons differentially active between the specified cell states. Regulon activity and specificity were quantified using the </w:t>
      </w:r>
      <w:proofErr w:type="spellStart"/>
      <w:r w:rsidRPr="56BF1791">
        <w:rPr>
          <w:rFonts w:ascii="Calibri" w:hAnsi="Calibri" w:cs="Calibri"/>
          <w:i/>
          <w:iCs/>
          <w:color w:val="000000" w:themeColor="text1"/>
          <w:lang w:val="en-US"/>
        </w:rPr>
        <w:t>eRegulon</w:t>
      </w:r>
      <w:proofErr w:type="spellEnd"/>
      <w:r w:rsidRPr="56BF1791">
        <w:rPr>
          <w:rFonts w:ascii="Calibri" w:hAnsi="Calibri" w:cs="Calibri"/>
          <w:color w:val="000000" w:themeColor="text1"/>
          <w:lang w:val="en-US"/>
        </w:rPr>
        <w:t xml:space="preserve"> score. To ensure comparability across analyses, we retained only those SCENIC+-derived regulons whose TFs overlapped with significantly enriched order-1 TFs identified through our regulon and fusion GRN analyses. To compare the specificity and sensitivity of those TF-centric regulons, we compiled the target genes of each transcription factor within the selected SCENIC+ regulons, as well as those defined by the regulon and fusion GRN frameworks. We then calculated the absolute fold changes in gene expression between the two cell state subtypes to assess the differential regulatory impact across methodologies.</w:t>
      </w:r>
    </w:p>
    <w:p w:rsidR="008515C4" w:rsidP="008515C4" w:rsidRDefault="008515C4" w14:paraId="090938AA" w14:textId="77777777">
      <w:pPr>
        <w:pStyle w:val="Heading3"/>
        <w:jc w:val="both"/>
        <w:rPr>
          <w:rFonts w:asciiTheme="majorHAnsi" w:hAnsiTheme="majorHAnsi"/>
          <w:b/>
          <w:bCs/>
          <w:color w:val="000000" w:themeColor="text1"/>
          <w:sz w:val="24"/>
          <w:szCs w:val="24"/>
          <w:lang w:val="en-US"/>
        </w:rPr>
      </w:pPr>
      <w:r w:rsidRPr="56BF1791">
        <w:rPr>
          <w:rFonts w:asciiTheme="majorHAnsi" w:hAnsiTheme="majorHAnsi"/>
          <w:b/>
          <w:bCs/>
          <w:color w:val="000000" w:themeColor="text1"/>
          <w:sz w:val="24"/>
          <w:szCs w:val="24"/>
          <w:lang w:val="en-US"/>
        </w:rPr>
        <w:t>Imputation of multi-</w:t>
      </w:r>
      <w:proofErr w:type="spellStart"/>
      <w:r w:rsidRPr="56BF1791">
        <w:rPr>
          <w:rFonts w:asciiTheme="majorHAnsi" w:hAnsiTheme="majorHAnsi"/>
          <w:b/>
          <w:bCs/>
          <w:color w:val="000000" w:themeColor="text1"/>
          <w:sz w:val="24"/>
          <w:szCs w:val="24"/>
          <w:lang w:val="en-US"/>
        </w:rPr>
        <w:t>ome</w:t>
      </w:r>
      <w:proofErr w:type="spellEnd"/>
      <w:r w:rsidRPr="56BF1791">
        <w:rPr>
          <w:rFonts w:asciiTheme="majorHAnsi" w:hAnsiTheme="majorHAnsi"/>
          <w:b/>
          <w:bCs/>
          <w:color w:val="000000" w:themeColor="text1"/>
          <w:sz w:val="24"/>
          <w:szCs w:val="24"/>
          <w:lang w:val="en-US"/>
        </w:rPr>
        <w:t xml:space="preserve"> dataset</w:t>
      </w:r>
    </w:p>
    <w:p w:rsidR="008515C4" w:rsidP="008515C4" w:rsidRDefault="008515C4" w14:paraId="41CF8289" w14:textId="77777777">
      <w:pPr>
        <w:rPr>
          <w:rFonts w:ascii="Calibri" w:hAnsi="Calibri" w:cs="Calibri"/>
          <w:color w:val="000000" w:themeColor="text1"/>
          <w:lang w:val="en-US"/>
        </w:rPr>
      </w:pPr>
      <w:r w:rsidRPr="138B7747">
        <w:rPr>
          <w:rFonts w:ascii="Calibri" w:hAnsi="Calibri" w:cs="Calibri"/>
          <w:color w:val="000000" w:themeColor="text1"/>
          <w:lang w:val="en-US"/>
        </w:rPr>
        <w:t>PALANTIR</w:t>
      </w:r>
      <w:r w:rsidRPr="56BF1791">
        <w:rPr>
          <w:rFonts w:ascii="Calibri" w:hAnsi="Calibri" w:cs="Calibri"/>
          <w:color w:val="000000" w:themeColor="text1"/>
          <w:lang w:val="en-US"/>
        </w:rPr>
        <w:t xml:space="preserve"> was used to impute the </w:t>
      </w:r>
      <w:proofErr w:type="spellStart"/>
      <w:r w:rsidRPr="56BF1791">
        <w:rPr>
          <w:rFonts w:ascii="Calibri" w:hAnsi="Calibri" w:cs="Calibri"/>
          <w:color w:val="000000" w:themeColor="text1"/>
          <w:lang w:val="en-US"/>
        </w:rPr>
        <w:t>sc</w:t>
      </w:r>
      <w:proofErr w:type="spellEnd"/>
      <w:r w:rsidRPr="56BF1791">
        <w:rPr>
          <w:rFonts w:ascii="Calibri" w:hAnsi="Calibri" w:cs="Calibri"/>
          <w:color w:val="000000" w:themeColor="text1"/>
          <w:lang w:val="en-US"/>
        </w:rPr>
        <w:t>-RNA counts of the B-cell multi-</w:t>
      </w:r>
      <w:proofErr w:type="spellStart"/>
      <w:r w:rsidRPr="56BF1791">
        <w:rPr>
          <w:rFonts w:ascii="Calibri" w:hAnsi="Calibri" w:cs="Calibri"/>
          <w:color w:val="000000" w:themeColor="text1"/>
          <w:lang w:val="en-US"/>
        </w:rPr>
        <w:t>omic</w:t>
      </w:r>
      <w:proofErr w:type="spellEnd"/>
      <w:r w:rsidRPr="56BF1791">
        <w:rPr>
          <w:rFonts w:ascii="Calibri" w:hAnsi="Calibri" w:cs="Calibri"/>
          <w:color w:val="000000" w:themeColor="text1"/>
          <w:lang w:val="en-US"/>
        </w:rPr>
        <w:t xml:space="preserve"> </w:t>
      </w:r>
      <w:r w:rsidRPr="66FF2087">
        <w:rPr>
          <w:rFonts w:ascii="Calibri" w:hAnsi="Calibri" w:cs="Calibri"/>
          <w:color w:val="000000" w:themeColor="text1"/>
          <w:lang w:val="en-US"/>
        </w:rPr>
        <w:t>(</w:t>
      </w:r>
      <w:proofErr w:type="spellStart"/>
      <w:r w:rsidRPr="66FF2087">
        <w:rPr>
          <w:rFonts w:ascii="Calibri" w:hAnsi="Calibri" w:cs="Calibri"/>
          <w:color w:val="000000" w:themeColor="text1"/>
          <w:lang w:val="en-US"/>
        </w:rPr>
        <w:t>scRNA+ATAC</w:t>
      </w:r>
      <w:proofErr w:type="spellEnd"/>
      <w:r w:rsidRPr="66FF2087">
        <w:rPr>
          <w:rFonts w:ascii="Calibri" w:hAnsi="Calibri" w:cs="Calibri"/>
          <w:color w:val="000000" w:themeColor="text1"/>
          <w:lang w:val="en-US"/>
        </w:rPr>
        <w:t xml:space="preserve">) </w:t>
      </w:r>
      <w:r w:rsidRPr="56BF1791">
        <w:rPr>
          <w:rFonts w:ascii="Calibri" w:hAnsi="Calibri" w:cs="Calibri"/>
          <w:color w:val="000000" w:themeColor="text1"/>
          <w:lang w:val="en-US"/>
        </w:rPr>
        <w:t>dataset</w:t>
      </w:r>
      <w:r w:rsidRPr="66FF2087">
        <w:rPr>
          <w:rFonts w:ascii="Calibri" w:hAnsi="Calibri" w:cs="Calibri"/>
          <w:color w:val="000000" w:themeColor="text1"/>
          <w:lang w:val="en-US"/>
        </w:rPr>
        <w:t>.</w:t>
      </w:r>
      <w:r w:rsidRPr="56BF1791">
        <w:rPr>
          <w:rFonts w:ascii="Calibri" w:hAnsi="Calibri" w:cs="Calibri"/>
          <w:color w:val="000000" w:themeColor="text1"/>
          <w:lang w:val="en-US"/>
        </w:rPr>
        <w:t xml:space="preserve"> </w:t>
      </w:r>
      <w:r w:rsidRPr="4D07D1E2">
        <w:rPr>
          <w:rFonts w:ascii="Calibri" w:hAnsi="Calibri" w:cs="Calibri"/>
          <w:color w:val="000000" w:themeColor="text1"/>
          <w:lang w:val="en-US"/>
        </w:rPr>
        <w:t xml:space="preserve">Following standard preprocessing, highly variable features were selected for </w:t>
      </w:r>
      <w:r w:rsidRPr="023FDAF0">
        <w:rPr>
          <w:rFonts w:ascii="Calibri" w:hAnsi="Calibri" w:cs="Calibri"/>
          <w:color w:val="000000" w:themeColor="text1"/>
          <w:lang w:val="en-US"/>
        </w:rPr>
        <w:t>PCA dimensionality</w:t>
      </w:r>
      <w:r w:rsidRPr="4D07D1E2">
        <w:rPr>
          <w:rFonts w:ascii="Calibri" w:hAnsi="Calibri" w:cs="Calibri"/>
          <w:color w:val="000000" w:themeColor="text1"/>
          <w:lang w:val="en-US"/>
        </w:rPr>
        <w:t xml:space="preserve"> reduction. </w:t>
      </w:r>
      <w:r w:rsidRPr="0E492849">
        <w:rPr>
          <w:rFonts w:ascii="Calibri" w:hAnsi="Calibri" w:cs="Calibri"/>
          <w:color w:val="000000" w:themeColor="text1"/>
          <w:lang w:val="en-US"/>
        </w:rPr>
        <w:t xml:space="preserve">10 PC components were </w:t>
      </w:r>
      <w:r w:rsidRPr="4D07D1E2">
        <w:rPr>
          <w:rFonts w:ascii="Calibri" w:hAnsi="Calibri" w:cs="Calibri"/>
          <w:color w:val="000000" w:themeColor="text1"/>
          <w:lang w:val="en-US"/>
        </w:rPr>
        <w:t xml:space="preserve">then </w:t>
      </w:r>
      <w:r w:rsidRPr="0E492849">
        <w:rPr>
          <w:rFonts w:ascii="Calibri" w:hAnsi="Calibri" w:cs="Calibri"/>
          <w:color w:val="000000" w:themeColor="text1"/>
          <w:lang w:val="en-US"/>
        </w:rPr>
        <w:t xml:space="preserve">used to get the </w:t>
      </w:r>
      <w:r w:rsidRPr="138B7747">
        <w:rPr>
          <w:rFonts w:ascii="Calibri" w:hAnsi="Calibri" w:cs="Calibri"/>
          <w:color w:val="000000" w:themeColor="text1"/>
          <w:lang w:val="en-US"/>
        </w:rPr>
        <w:t>Diffusion Maps</w:t>
      </w:r>
      <w:r w:rsidRPr="0E492849">
        <w:rPr>
          <w:rFonts w:ascii="Calibri" w:hAnsi="Calibri" w:cs="Calibri"/>
          <w:color w:val="000000" w:themeColor="text1"/>
          <w:lang w:val="en-US"/>
        </w:rPr>
        <w:t xml:space="preserve"> eigenvector basis </w:t>
      </w:r>
      <w:r w:rsidRPr="32A831AC">
        <w:rPr>
          <w:rFonts w:ascii="Calibri" w:hAnsi="Calibri" w:cs="Calibri"/>
          <w:color w:val="000000" w:themeColor="text1"/>
          <w:lang w:val="en-US"/>
        </w:rPr>
        <w:t xml:space="preserve">and cellular neighborhood </w:t>
      </w:r>
      <w:r w:rsidRPr="0E492849">
        <w:rPr>
          <w:rFonts w:ascii="Calibri" w:hAnsi="Calibri" w:cs="Calibri"/>
          <w:color w:val="000000" w:themeColor="text1"/>
          <w:lang w:val="en-US"/>
        </w:rPr>
        <w:t xml:space="preserve">for the </w:t>
      </w:r>
      <w:r w:rsidRPr="3428E443">
        <w:rPr>
          <w:rFonts w:ascii="Calibri" w:hAnsi="Calibri" w:cs="Calibri"/>
          <w:color w:val="000000" w:themeColor="text1"/>
          <w:lang w:val="en-US"/>
        </w:rPr>
        <w:t>B-</w:t>
      </w:r>
      <w:r w:rsidRPr="0E492849">
        <w:rPr>
          <w:rFonts w:ascii="Calibri" w:hAnsi="Calibri" w:cs="Calibri"/>
          <w:color w:val="000000" w:themeColor="text1"/>
          <w:lang w:val="en-US"/>
        </w:rPr>
        <w:t xml:space="preserve">cell </w:t>
      </w:r>
      <w:r w:rsidRPr="3428E443">
        <w:rPr>
          <w:rFonts w:ascii="Calibri" w:hAnsi="Calibri" w:cs="Calibri"/>
          <w:color w:val="000000" w:themeColor="text1"/>
          <w:lang w:val="en-US"/>
        </w:rPr>
        <w:t xml:space="preserve">states. </w:t>
      </w:r>
      <w:r w:rsidRPr="0A6AAC92">
        <w:rPr>
          <w:rFonts w:ascii="Calibri" w:hAnsi="Calibri" w:cs="Calibri"/>
          <w:color w:val="000000" w:themeColor="text1"/>
          <w:lang w:val="en-US"/>
        </w:rPr>
        <w:t xml:space="preserve">Palantir’s built in MAGIC algorithm was used to impute the gene expression </w:t>
      </w:r>
      <w:r w:rsidRPr="298979C9">
        <w:rPr>
          <w:rFonts w:ascii="Calibri" w:hAnsi="Calibri" w:cs="Calibri"/>
          <w:color w:val="000000" w:themeColor="text1"/>
          <w:lang w:val="en-US"/>
        </w:rPr>
        <w:t>of</w:t>
      </w:r>
      <w:r w:rsidRPr="0A6AAC92">
        <w:rPr>
          <w:rFonts w:ascii="Calibri" w:hAnsi="Calibri" w:cs="Calibri"/>
          <w:color w:val="000000" w:themeColor="text1"/>
          <w:lang w:val="en-US"/>
        </w:rPr>
        <w:t xml:space="preserve"> the </w:t>
      </w:r>
      <w:r w:rsidRPr="298979C9">
        <w:rPr>
          <w:rFonts w:ascii="Calibri" w:hAnsi="Calibri" w:cs="Calibri"/>
          <w:color w:val="000000" w:themeColor="text1"/>
          <w:lang w:val="en-US"/>
        </w:rPr>
        <w:t xml:space="preserve">highly </w:t>
      </w:r>
      <w:r w:rsidRPr="49711027">
        <w:rPr>
          <w:rFonts w:ascii="Calibri" w:hAnsi="Calibri" w:cs="Calibri"/>
          <w:color w:val="000000" w:themeColor="text1"/>
          <w:lang w:val="en-US"/>
        </w:rPr>
        <w:t>variable gene</w:t>
      </w:r>
      <w:r w:rsidRPr="464B2C10">
        <w:rPr>
          <w:rFonts w:ascii="Calibri" w:hAnsi="Calibri" w:cs="Calibri"/>
          <w:lang w:val="en-US"/>
        </w:rPr>
        <w:t>s (n=3018</w:t>
      </w:r>
      <w:r w:rsidRPr="2D0D498F">
        <w:rPr>
          <w:rFonts w:ascii="Calibri" w:hAnsi="Calibri" w:cs="Calibri"/>
          <w:lang w:val="en-US"/>
        </w:rPr>
        <w:t>).</w:t>
      </w:r>
      <w:r w:rsidRPr="464B2C10">
        <w:rPr>
          <w:rFonts w:ascii="Calibri" w:hAnsi="Calibri" w:cs="Calibri"/>
          <w:lang w:val="en-US"/>
        </w:rPr>
        <w:t xml:space="preserve"> The imputed dataset </w:t>
      </w:r>
      <w:r w:rsidRPr="464B2C10">
        <w:rPr>
          <w:rFonts w:ascii="Calibri" w:hAnsi="Calibri" w:cs="Calibri"/>
          <w:lang w:val="en-US"/>
        </w:rPr>
        <w:t>was then filtered to only contain cell states of interest for trajectory inference, dropping ‘Naive’, ‘</w:t>
      </w:r>
      <w:r w:rsidRPr="464B2C10">
        <w:rPr>
          <w:rFonts w:ascii="Menlo" w:hAnsi="Menlo" w:eastAsia="Menlo" w:cs="Menlo"/>
          <w:sz w:val="18"/>
          <w:szCs w:val="18"/>
          <w:lang w:val="en-US"/>
        </w:rPr>
        <w:t>8_UD_2’, ‘11_UD_3’states</w:t>
      </w:r>
      <w:r w:rsidRPr="464B2C10">
        <w:rPr>
          <w:rFonts w:ascii="Calibri" w:hAnsi="Calibri" w:cs="Calibri"/>
          <w:lang w:val="en-US"/>
        </w:rPr>
        <w:t>.</w:t>
      </w:r>
    </w:p>
    <w:p w:rsidRPr="00624F7B" w:rsidR="008515C4" w:rsidP="008515C4" w:rsidRDefault="008515C4" w14:paraId="50CFA520" w14:textId="77777777">
      <w:pPr>
        <w:pStyle w:val="Heading3"/>
        <w:jc w:val="both"/>
        <w:rPr>
          <w:rFonts w:asciiTheme="majorHAnsi" w:hAnsiTheme="majorHAnsi" w:cstheme="majorHAnsi"/>
          <w:b/>
          <w:bCs/>
          <w:color w:val="000000" w:themeColor="text1"/>
          <w:sz w:val="24"/>
          <w:szCs w:val="24"/>
          <w:lang w:val="en-US"/>
        </w:rPr>
      </w:pPr>
      <w:r w:rsidRPr="00624F7B">
        <w:rPr>
          <w:rFonts w:asciiTheme="majorHAnsi" w:hAnsiTheme="majorHAnsi" w:cstheme="majorHAnsi"/>
          <w:b/>
          <w:bCs/>
          <w:color w:val="000000" w:themeColor="text1"/>
          <w:sz w:val="24"/>
          <w:szCs w:val="24"/>
          <w:lang w:val="en-US"/>
        </w:rPr>
        <w:t>Inferring pseudo-time trajectory</w:t>
      </w:r>
    </w:p>
    <w:p w:rsidRPr="00624F7B" w:rsidR="008515C4" w:rsidP="008515C4" w:rsidRDefault="008515C4" w14:paraId="48FE90EB" w14:textId="77777777">
      <w:pPr>
        <w:jc w:val="both"/>
        <w:rPr>
          <w:rFonts w:ascii="Calibri" w:hAnsi="Calibri" w:cs="Calibri"/>
          <w:color w:val="000000" w:themeColor="text1"/>
          <w:lang w:val="en-US"/>
        </w:rPr>
      </w:pPr>
      <w:r w:rsidRPr="2C0C6917">
        <w:rPr>
          <w:rFonts w:ascii="Calibri" w:hAnsi="Calibri" w:cs="Calibri"/>
          <w:color w:val="000000" w:themeColor="text1"/>
          <w:lang w:val="en-US"/>
        </w:rPr>
        <w:t>To</w:t>
      </w:r>
      <w:r w:rsidRPr="266B702C">
        <w:rPr>
          <w:rFonts w:ascii="Calibri" w:hAnsi="Calibri" w:cs="Calibri"/>
          <w:color w:val="000000" w:themeColor="text1"/>
          <w:lang w:val="en-US"/>
        </w:rPr>
        <w:t xml:space="preserve"> reconstruct </w:t>
      </w:r>
      <w:r w:rsidRPr="677FDD44">
        <w:rPr>
          <w:rFonts w:ascii="Calibri" w:hAnsi="Calibri" w:cs="Calibri"/>
          <w:color w:val="000000" w:themeColor="text1"/>
          <w:lang w:val="en-US"/>
        </w:rPr>
        <w:t xml:space="preserve">single-cell differentiation </w:t>
      </w:r>
      <w:r w:rsidRPr="12CCF373">
        <w:rPr>
          <w:rFonts w:ascii="Calibri" w:hAnsi="Calibri" w:cs="Calibri"/>
          <w:color w:val="000000" w:themeColor="text1"/>
          <w:lang w:val="en-US"/>
        </w:rPr>
        <w:t>trajectory</w:t>
      </w:r>
      <w:r w:rsidRPr="677FDD44">
        <w:rPr>
          <w:rFonts w:ascii="Calibri" w:hAnsi="Calibri" w:cs="Calibri"/>
          <w:color w:val="000000" w:themeColor="text1"/>
          <w:lang w:val="en-US"/>
        </w:rPr>
        <w:t xml:space="preserve"> from our </w:t>
      </w:r>
      <w:r w:rsidRPr="2C0C6917">
        <w:rPr>
          <w:rFonts w:ascii="Calibri" w:hAnsi="Calibri" w:cs="Calibri"/>
          <w:color w:val="000000" w:themeColor="text1"/>
          <w:lang w:val="en-US"/>
        </w:rPr>
        <w:t>dataset</w:t>
      </w:r>
      <w:r w:rsidRPr="677FDD44">
        <w:rPr>
          <w:rFonts w:ascii="Calibri" w:hAnsi="Calibri" w:cs="Calibri"/>
          <w:color w:val="000000" w:themeColor="text1"/>
          <w:lang w:val="en-US"/>
        </w:rPr>
        <w:t xml:space="preserve"> of </w:t>
      </w:r>
      <w:r w:rsidRPr="000C479A">
        <w:rPr>
          <w:rFonts w:ascii="Menlo" w:hAnsi="Menlo" w:eastAsia="Menlo" w:cs="Menlo"/>
          <w:color w:val="000000" w:themeColor="text1"/>
          <w:sz w:val="18"/>
          <w:szCs w:val="18"/>
          <w:lang w:val="en-US"/>
        </w:rPr>
        <w:t>28,494</w:t>
      </w:r>
      <w:r>
        <w:rPr>
          <w:rFonts w:ascii="Menlo" w:hAnsi="Menlo" w:eastAsia="Menlo" w:cs="Menlo"/>
          <w:color w:val="000000" w:themeColor="text1"/>
          <w:sz w:val="18"/>
          <w:szCs w:val="18"/>
          <w:lang w:val="en-US"/>
        </w:rPr>
        <w:t xml:space="preserve"> </w:t>
      </w:r>
      <w:r w:rsidRPr="677FDD44">
        <w:rPr>
          <w:rFonts w:ascii="Calibri" w:hAnsi="Calibri" w:cs="Calibri"/>
          <w:color w:val="000000" w:themeColor="text1"/>
          <w:lang w:val="en-US"/>
        </w:rPr>
        <w:t xml:space="preserve">cells in </w:t>
      </w:r>
      <w:r w:rsidRPr="22B370E8">
        <w:rPr>
          <w:rFonts w:ascii="Calibri" w:hAnsi="Calibri" w:cs="Calibri"/>
          <w:color w:val="000000" w:themeColor="text1"/>
          <w:lang w:val="en-US"/>
        </w:rPr>
        <w:t>the B-</w:t>
      </w:r>
      <w:r w:rsidRPr="677FDD44">
        <w:rPr>
          <w:rFonts w:ascii="Calibri" w:hAnsi="Calibri" w:cs="Calibri"/>
          <w:color w:val="000000" w:themeColor="text1"/>
          <w:lang w:val="en-US"/>
        </w:rPr>
        <w:t>cell system</w:t>
      </w:r>
      <w:r w:rsidRPr="1666516D">
        <w:rPr>
          <w:rFonts w:ascii="Calibri" w:hAnsi="Calibri" w:cs="Calibri"/>
          <w:color w:val="000000" w:themeColor="text1"/>
          <w:lang w:val="en-US"/>
        </w:rPr>
        <w:t xml:space="preserve">, we </w:t>
      </w:r>
      <w:r w:rsidRPr="6FE28182">
        <w:rPr>
          <w:rFonts w:ascii="Calibri" w:hAnsi="Calibri" w:cs="Calibri"/>
          <w:color w:val="000000" w:themeColor="text1"/>
          <w:lang w:val="en-US"/>
        </w:rPr>
        <w:t>applied STREAM</w:t>
      </w:r>
      <w:r w:rsidRPr="677FDD44">
        <w:rPr>
          <w:rFonts w:ascii="Calibri" w:hAnsi="Calibri" w:cs="Calibri"/>
          <w:color w:val="000000" w:themeColor="text1"/>
          <w:lang w:val="en-US"/>
        </w:rPr>
        <w:t xml:space="preserve"> </w:t>
      </w:r>
      <w:r w:rsidRPr="60328809">
        <w:rPr>
          <w:rFonts w:ascii="Calibri" w:hAnsi="Calibri" w:cs="Calibri"/>
          <w:color w:val="000000" w:themeColor="text1"/>
          <w:lang w:val="en-US"/>
        </w:rPr>
        <w:t xml:space="preserve">on the MAGIC imputed gene-expression layer </w:t>
      </w:r>
      <w:r w:rsidRPr="0AB1C78F">
        <w:rPr>
          <w:rFonts w:ascii="Calibri" w:hAnsi="Calibri" w:cs="Calibri"/>
          <w:color w:val="000000" w:themeColor="text1"/>
          <w:lang w:val="en-US"/>
        </w:rPr>
        <w:t>with</w:t>
      </w:r>
      <w:r w:rsidRPr="60328809">
        <w:rPr>
          <w:rFonts w:ascii="Calibri" w:hAnsi="Calibri" w:cs="Calibri"/>
          <w:color w:val="000000" w:themeColor="text1"/>
          <w:lang w:val="en-US"/>
        </w:rPr>
        <w:t xml:space="preserve"> ‘all’ highly variable genes</w:t>
      </w:r>
      <w:r w:rsidRPr="2C0C6917">
        <w:rPr>
          <w:rFonts w:ascii="Calibri" w:hAnsi="Calibri" w:cs="Calibri"/>
          <w:color w:val="000000" w:themeColor="text1"/>
          <w:lang w:val="en-US"/>
        </w:rPr>
        <w:t>.</w:t>
      </w:r>
      <w:r w:rsidRPr="133B8DB5">
        <w:rPr>
          <w:rFonts w:ascii="Calibri" w:hAnsi="Calibri" w:cs="Calibri"/>
          <w:color w:val="000000" w:themeColor="text1"/>
          <w:lang w:val="en-US"/>
        </w:rPr>
        <w:t xml:space="preserve"> A</w:t>
      </w:r>
      <w:r w:rsidRPr="677FDD44">
        <w:rPr>
          <w:rFonts w:ascii="Calibri" w:hAnsi="Calibri" w:cs="Calibri"/>
          <w:color w:val="000000" w:themeColor="text1"/>
          <w:lang w:val="en-US"/>
        </w:rPr>
        <w:t xml:space="preserve"> low-dimensional manifold </w:t>
      </w:r>
      <w:r w:rsidRPr="0AB1C78F">
        <w:rPr>
          <w:rFonts w:ascii="Calibri" w:hAnsi="Calibri" w:cs="Calibri"/>
          <w:color w:val="000000" w:themeColor="text1"/>
          <w:lang w:val="en-US"/>
        </w:rPr>
        <w:t xml:space="preserve">of cellular </w:t>
      </w:r>
      <w:r w:rsidRPr="3D86C332">
        <w:rPr>
          <w:rFonts w:ascii="Calibri" w:hAnsi="Calibri" w:cs="Calibri"/>
          <w:color w:val="000000" w:themeColor="text1"/>
          <w:lang w:val="en-US"/>
        </w:rPr>
        <w:t>neighborhood reflective of the continuous differentiation process</w:t>
      </w:r>
      <w:r w:rsidRPr="080D2BBE">
        <w:rPr>
          <w:rFonts w:ascii="Calibri" w:hAnsi="Calibri" w:cs="Calibri"/>
          <w:color w:val="000000" w:themeColor="text1"/>
          <w:lang w:val="en-US"/>
        </w:rPr>
        <w:t xml:space="preserve"> was learnt</w:t>
      </w:r>
      <w:r w:rsidRPr="3D86C332">
        <w:rPr>
          <w:rFonts w:ascii="Calibri" w:hAnsi="Calibri" w:cs="Calibri"/>
          <w:color w:val="000000" w:themeColor="text1"/>
          <w:lang w:val="en-US"/>
        </w:rPr>
        <w:t>, and</w:t>
      </w:r>
      <w:r w:rsidRPr="677FDD44">
        <w:rPr>
          <w:rFonts w:ascii="Calibri" w:hAnsi="Calibri" w:cs="Calibri"/>
          <w:color w:val="000000" w:themeColor="text1"/>
          <w:lang w:val="en-US"/>
        </w:rPr>
        <w:t xml:space="preserve"> branching trajectories </w:t>
      </w:r>
      <w:r w:rsidRPr="080D2BBE">
        <w:rPr>
          <w:rFonts w:ascii="Calibri" w:hAnsi="Calibri" w:cs="Calibri"/>
          <w:color w:val="000000" w:themeColor="text1"/>
          <w:lang w:val="en-US"/>
        </w:rPr>
        <w:t xml:space="preserve">were inferred </w:t>
      </w:r>
      <w:r w:rsidRPr="677FDD44">
        <w:rPr>
          <w:rFonts w:ascii="Calibri" w:hAnsi="Calibri" w:cs="Calibri"/>
          <w:color w:val="000000" w:themeColor="text1"/>
          <w:lang w:val="en-US"/>
        </w:rPr>
        <w:t xml:space="preserve">using </w:t>
      </w:r>
      <w:r w:rsidRPr="080D2BBE">
        <w:rPr>
          <w:rFonts w:ascii="Calibri" w:hAnsi="Calibri" w:cs="Calibri"/>
          <w:color w:val="000000" w:themeColor="text1"/>
          <w:lang w:val="en-US"/>
        </w:rPr>
        <w:t>STREAM’s</w:t>
      </w:r>
      <w:r w:rsidRPr="677FDD44">
        <w:rPr>
          <w:rFonts w:ascii="Calibri" w:hAnsi="Calibri" w:cs="Calibri"/>
          <w:color w:val="000000" w:themeColor="text1"/>
          <w:lang w:val="en-US"/>
        </w:rPr>
        <w:t xml:space="preserve"> </w:t>
      </w:r>
      <w:r w:rsidRPr="131E72C4">
        <w:rPr>
          <w:rFonts w:ascii="Calibri" w:hAnsi="Calibri" w:cs="Calibri"/>
          <w:color w:val="000000" w:themeColor="text1"/>
          <w:lang w:val="en-US"/>
        </w:rPr>
        <w:t xml:space="preserve">standard </w:t>
      </w:r>
      <w:r w:rsidRPr="677FDD44">
        <w:rPr>
          <w:rFonts w:ascii="Calibri" w:hAnsi="Calibri" w:cs="Calibri"/>
          <w:color w:val="000000" w:themeColor="text1"/>
          <w:lang w:val="en-US"/>
        </w:rPr>
        <w:t xml:space="preserve">locally linear embeddings </w:t>
      </w:r>
      <w:r w:rsidRPr="131E72C4">
        <w:rPr>
          <w:rFonts w:ascii="Calibri" w:hAnsi="Calibri" w:cs="Calibri"/>
          <w:color w:val="000000" w:themeColor="text1"/>
          <w:lang w:val="en-US"/>
        </w:rPr>
        <w:t xml:space="preserve">(SE) </w:t>
      </w:r>
      <w:r w:rsidRPr="677FDD44">
        <w:rPr>
          <w:rFonts w:ascii="Calibri" w:hAnsi="Calibri" w:cs="Calibri"/>
          <w:color w:val="000000" w:themeColor="text1"/>
          <w:lang w:val="en-US"/>
        </w:rPr>
        <w:t>and elastic principal graph framework,</w:t>
      </w:r>
      <w:r w:rsidRPr="677FDD44" w:rsidDel="21A13B55">
        <w:rPr>
          <w:rFonts w:ascii="Calibri" w:hAnsi="Calibri" w:cs="Calibri"/>
          <w:color w:val="000000" w:themeColor="text1"/>
          <w:lang w:val="en-US"/>
        </w:rPr>
        <w:t xml:space="preserve"> </w:t>
      </w:r>
      <w:r w:rsidRPr="677FDD44">
        <w:rPr>
          <w:rFonts w:ascii="Calibri" w:hAnsi="Calibri" w:cs="Calibri"/>
          <w:color w:val="000000" w:themeColor="text1"/>
          <w:lang w:val="en-US"/>
        </w:rPr>
        <w:t xml:space="preserve">respectively. </w:t>
      </w:r>
      <w:r w:rsidRPr="1BB77393">
        <w:rPr>
          <w:rFonts w:ascii="Calibri" w:hAnsi="Calibri" w:cs="Calibri"/>
          <w:color w:val="000000" w:themeColor="text1"/>
          <w:lang w:val="en-US"/>
        </w:rPr>
        <w:t xml:space="preserve">We applied STREAM on 2088 cells in the T-cell system </w:t>
      </w:r>
      <w:r w:rsidRPr="26E53CD3">
        <w:rPr>
          <w:rFonts w:ascii="Calibri" w:hAnsi="Calibri" w:cs="Calibri"/>
          <w:color w:val="000000" w:themeColor="text1"/>
          <w:lang w:val="en-US"/>
        </w:rPr>
        <w:t>from</w:t>
      </w:r>
      <w:r w:rsidRPr="1BB77393">
        <w:rPr>
          <w:rFonts w:ascii="Calibri" w:hAnsi="Calibri" w:cs="Calibri"/>
          <w:color w:val="000000" w:themeColor="text1"/>
          <w:lang w:val="en-US"/>
        </w:rPr>
        <w:t xml:space="preserve"> the non-targeted control population </w:t>
      </w:r>
      <w:r w:rsidRPr="26E53CD3">
        <w:rPr>
          <w:rFonts w:ascii="Calibri" w:hAnsi="Calibri" w:cs="Calibri"/>
          <w:color w:val="000000" w:themeColor="text1"/>
          <w:lang w:val="en-US"/>
        </w:rPr>
        <w:t>of the</w:t>
      </w:r>
      <w:r w:rsidRPr="1BB77393">
        <w:rPr>
          <w:rFonts w:ascii="Calibri" w:hAnsi="Calibri" w:cs="Calibri"/>
          <w:color w:val="000000" w:themeColor="text1"/>
          <w:lang w:val="en-US"/>
        </w:rPr>
        <w:t xml:space="preserve"> RBPJ-KO perturb-seq dataset, without imputing gene-expression.</w:t>
      </w:r>
      <w:r w:rsidRPr="6FAB65FC">
        <w:rPr>
          <w:rFonts w:ascii="Calibri" w:hAnsi="Calibri" w:cs="Calibri"/>
          <w:color w:val="000000" w:themeColor="text1"/>
          <w:lang w:val="en-US"/>
        </w:rPr>
        <w:t xml:space="preserve"> </w:t>
      </w:r>
      <w:r w:rsidRPr="127592EC">
        <w:rPr>
          <w:rFonts w:ascii="Calibri" w:hAnsi="Calibri" w:cs="Calibri"/>
          <w:color w:val="000000" w:themeColor="text1"/>
          <w:lang w:val="en-US"/>
        </w:rPr>
        <w:t xml:space="preserve">Raw gene-expression counts were used to </w:t>
      </w:r>
      <w:r w:rsidRPr="26E53CD3">
        <w:rPr>
          <w:rFonts w:ascii="Calibri" w:hAnsi="Calibri" w:cs="Calibri"/>
          <w:color w:val="000000" w:themeColor="text1"/>
          <w:lang w:val="en-US"/>
        </w:rPr>
        <w:t>filter</w:t>
      </w:r>
      <w:r w:rsidRPr="127592EC">
        <w:rPr>
          <w:rFonts w:ascii="Calibri" w:hAnsi="Calibri" w:cs="Calibri"/>
          <w:color w:val="000000" w:themeColor="text1"/>
          <w:lang w:val="en-US"/>
        </w:rPr>
        <w:t xml:space="preserve"> cells and features </w:t>
      </w:r>
      <w:r w:rsidRPr="5153365E">
        <w:rPr>
          <w:rFonts w:ascii="Calibri" w:hAnsi="Calibri" w:cs="Calibri"/>
          <w:color w:val="000000" w:themeColor="text1"/>
          <w:lang w:val="en-US"/>
        </w:rPr>
        <w:t>from the T-cell dataset</w:t>
      </w:r>
      <w:r w:rsidRPr="0C4F9200">
        <w:rPr>
          <w:rFonts w:ascii="Calibri" w:hAnsi="Calibri" w:cs="Calibri"/>
          <w:color w:val="000000" w:themeColor="text1"/>
          <w:lang w:val="en-US"/>
        </w:rPr>
        <w:t>, which were then scaled and normalized. 370 variable genes were selected</w:t>
      </w:r>
      <w:r w:rsidRPr="2AB73C95">
        <w:rPr>
          <w:rFonts w:ascii="Calibri" w:hAnsi="Calibri" w:cs="Calibri"/>
          <w:color w:val="000000" w:themeColor="text1"/>
          <w:lang w:val="en-US"/>
        </w:rPr>
        <w:t xml:space="preserve"> for dimensionality reduction,</w:t>
      </w:r>
      <w:r w:rsidRPr="0C4F9200">
        <w:rPr>
          <w:rFonts w:ascii="Calibri" w:hAnsi="Calibri" w:cs="Calibri"/>
          <w:color w:val="000000" w:themeColor="text1"/>
          <w:lang w:val="en-US"/>
        </w:rPr>
        <w:t xml:space="preserve"> by </w:t>
      </w:r>
      <w:r w:rsidRPr="37F0EC59">
        <w:rPr>
          <w:rFonts w:ascii="Calibri" w:hAnsi="Calibri" w:cs="Calibri"/>
          <w:color w:val="000000" w:themeColor="text1"/>
          <w:lang w:val="en-US"/>
        </w:rPr>
        <w:t>fitting</w:t>
      </w:r>
      <w:r w:rsidRPr="0C4F9200">
        <w:rPr>
          <w:rFonts w:ascii="Calibri" w:hAnsi="Calibri" w:cs="Calibri"/>
          <w:color w:val="000000" w:themeColor="text1"/>
          <w:lang w:val="en-US"/>
        </w:rPr>
        <w:t xml:space="preserve"> a </w:t>
      </w:r>
      <w:r w:rsidRPr="4E6D154E">
        <w:rPr>
          <w:rFonts w:ascii="Calibri" w:hAnsi="Calibri" w:cs="Calibri"/>
          <w:color w:val="000000" w:themeColor="text1"/>
          <w:lang w:val="en-US"/>
        </w:rPr>
        <w:t xml:space="preserve">loess </w:t>
      </w:r>
      <w:r w:rsidRPr="37F0EC59">
        <w:rPr>
          <w:rFonts w:ascii="Calibri" w:hAnsi="Calibri" w:cs="Calibri"/>
          <w:color w:val="000000" w:themeColor="text1"/>
          <w:lang w:val="en-US"/>
        </w:rPr>
        <w:t xml:space="preserve">curve </w:t>
      </w:r>
      <w:r w:rsidRPr="131F4C0B">
        <w:rPr>
          <w:rFonts w:ascii="Calibri" w:hAnsi="Calibri" w:cs="Calibri"/>
          <w:color w:val="000000" w:themeColor="text1"/>
          <w:lang w:val="en-US"/>
        </w:rPr>
        <w:t xml:space="preserve">on the standard deviation and mean values of features </w:t>
      </w:r>
      <w:r w:rsidRPr="37F0EC59">
        <w:rPr>
          <w:rFonts w:ascii="Calibri" w:hAnsi="Calibri" w:cs="Calibri"/>
          <w:color w:val="000000" w:themeColor="text1"/>
          <w:lang w:val="en-US"/>
        </w:rPr>
        <w:t xml:space="preserve">with </w:t>
      </w:r>
      <w:r w:rsidRPr="2AB73C95">
        <w:rPr>
          <w:rFonts w:ascii="Calibri" w:hAnsi="Calibri" w:cs="Calibri"/>
          <w:color w:val="000000" w:themeColor="text1"/>
          <w:lang w:val="en-US"/>
        </w:rPr>
        <w:t xml:space="preserve">a </w:t>
      </w:r>
      <w:r w:rsidRPr="4E6D154E">
        <w:rPr>
          <w:rFonts w:ascii="Calibri" w:hAnsi="Calibri" w:cs="Calibri"/>
          <w:color w:val="000000" w:themeColor="text1"/>
          <w:lang w:val="en-US"/>
        </w:rPr>
        <w:t>fraction of 0.01 and 80</w:t>
      </w:r>
      <w:r w:rsidRPr="4E6D154E">
        <w:rPr>
          <w:rFonts w:ascii="Calibri" w:hAnsi="Calibri" w:cs="Calibri"/>
          <w:color w:val="000000" w:themeColor="text1"/>
          <w:vertAlign w:val="superscript"/>
          <w:lang w:val="en-US"/>
        </w:rPr>
        <w:t>th</w:t>
      </w:r>
      <w:r w:rsidRPr="4E6D154E">
        <w:rPr>
          <w:rFonts w:ascii="Calibri" w:hAnsi="Calibri" w:cs="Calibri"/>
          <w:color w:val="000000" w:themeColor="text1"/>
          <w:lang w:val="en-US"/>
        </w:rPr>
        <w:t xml:space="preserve"> percentile</w:t>
      </w:r>
      <w:r w:rsidRPr="37F0EC59">
        <w:rPr>
          <w:rFonts w:ascii="Calibri" w:hAnsi="Calibri" w:cs="Calibri"/>
          <w:color w:val="000000" w:themeColor="text1"/>
          <w:lang w:val="en-US"/>
        </w:rPr>
        <w:t>.</w:t>
      </w:r>
      <w:r w:rsidRPr="6E2BF48D">
        <w:rPr>
          <w:rFonts w:ascii="Calibri" w:hAnsi="Calibri" w:cs="Calibri"/>
          <w:color w:val="000000" w:themeColor="text1"/>
          <w:lang w:val="en-US"/>
        </w:rPr>
        <w:t xml:space="preserve"> </w:t>
      </w:r>
      <w:r w:rsidRPr="76FBD1C7">
        <w:rPr>
          <w:rFonts w:ascii="Calibri" w:hAnsi="Calibri" w:cs="Calibri"/>
          <w:color w:val="000000" w:themeColor="text1"/>
          <w:lang w:val="en-US"/>
        </w:rPr>
        <w:t>The parameters for fitting the elastic graph on both the T-cell and B-cell trajectories were: ‘</w:t>
      </w:r>
      <w:proofErr w:type="spellStart"/>
      <w:r w:rsidRPr="76FBD1C7">
        <w:rPr>
          <w:rFonts w:ascii="Calibri" w:hAnsi="Calibri" w:cs="Calibri"/>
          <w:color w:val="000000" w:themeColor="text1"/>
          <w:lang w:val="en-US"/>
        </w:rPr>
        <w:t>epg_alpha</w:t>
      </w:r>
      <w:proofErr w:type="spellEnd"/>
      <w:r w:rsidRPr="76FBD1C7">
        <w:rPr>
          <w:rFonts w:ascii="Calibri" w:hAnsi="Calibri" w:cs="Calibri"/>
          <w:color w:val="000000" w:themeColor="text1"/>
          <w:lang w:val="en-US"/>
        </w:rPr>
        <w:t>’ = 0.02, ‘</w:t>
      </w:r>
      <w:proofErr w:type="spellStart"/>
      <w:r w:rsidRPr="76FBD1C7">
        <w:rPr>
          <w:rFonts w:ascii="Calibri" w:hAnsi="Calibri" w:cs="Calibri"/>
          <w:color w:val="000000" w:themeColor="text1"/>
          <w:lang w:val="en-US"/>
        </w:rPr>
        <w:t>epg_mu</w:t>
      </w:r>
      <w:proofErr w:type="spellEnd"/>
      <w:r w:rsidRPr="76FBD1C7">
        <w:rPr>
          <w:rFonts w:ascii="Calibri" w:hAnsi="Calibri" w:cs="Calibri"/>
          <w:color w:val="000000" w:themeColor="text1"/>
          <w:lang w:val="en-US"/>
        </w:rPr>
        <w:t>’ = 0.07,</w:t>
      </w:r>
      <w:r w:rsidRPr="5011FCCA">
        <w:rPr>
          <w:rFonts w:ascii="Calibri" w:hAnsi="Calibri" w:cs="Calibri"/>
          <w:color w:val="000000" w:themeColor="text1"/>
          <w:lang w:val="en-US"/>
        </w:rPr>
        <w:t xml:space="preserve"> '</w:t>
      </w:r>
      <w:proofErr w:type="spellStart"/>
      <w:r w:rsidRPr="5011FCCA">
        <w:rPr>
          <w:rFonts w:ascii="Calibri" w:hAnsi="Calibri" w:cs="Calibri"/>
          <w:color w:val="000000" w:themeColor="text1"/>
          <w:lang w:val="en-US"/>
        </w:rPr>
        <w:t>epg_</w:t>
      </w:r>
      <w:r w:rsidRPr="41CA3634">
        <w:rPr>
          <w:rFonts w:ascii="Calibri" w:hAnsi="Calibri" w:cs="Calibri"/>
          <w:color w:val="000000" w:themeColor="text1"/>
          <w:lang w:val="en-US"/>
        </w:rPr>
        <w:t>lambda</w:t>
      </w:r>
      <w:proofErr w:type="spellEnd"/>
      <w:r w:rsidRPr="41CA3634">
        <w:rPr>
          <w:rFonts w:ascii="Calibri" w:hAnsi="Calibri" w:cs="Calibri"/>
          <w:color w:val="000000" w:themeColor="text1"/>
          <w:lang w:val="en-US"/>
        </w:rPr>
        <w:t>’ = 0.02, ‘</w:t>
      </w:r>
      <w:proofErr w:type="spellStart"/>
      <w:r w:rsidRPr="494DB10E">
        <w:rPr>
          <w:rFonts w:ascii="Calibri" w:hAnsi="Calibri" w:cs="Calibri"/>
          <w:color w:val="000000" w:themeColor="text1"/>
          <w:lang w:val="en-US"/>
        </w:rPr>
        <w:t>epg_trimmingradius</w:t>
      </w:r>
      <w:proofErr w:type="spellEnd"/>
      <w:r w:rsidRPr="494DB10E">
        <w:rPr>
          <w:rFonts w:ascii="Calibri" w:hAnsi="Calibri" w:cs="Calibri"/>
          <w:color w:val="000000" w:themeColor="text1"/>
          <w:lang w:val="en-US"/>
        </w:rPr>
        <w:t xml:space="preserve">’ = 2. </w:t>
      </w:r>
      <w:r w:rsidRPr="5BF8B17A">
        <w:rPr>
          <w:rFonts w:ascii="Calibri" w:hAnsi="Calibri" w:cs="Calibri"/>
          <w:color w:val="000000" w:themeColor="text1"/>
          <w:lang w:val="en-US"/>
        </w:rPr>
        <w:t xml:space="preserve">The method generated bifurcating and linear trajectories, capturing the underlying transient cellular states in both the </w:t>
      </w:r>
      <w:r w:rsidRPr="6FE28182">
        <w:rPr>
          <w:rFonts w:ascii="Calibri" w:hAnsi="Calibri" w:cs="Calibri"/>
          <w:color w:val="000000" w:themeColor="text1"/>
          <w:lang w:val="en-US"/>
        </w:rPr>
        <w:t>differentiating B cells</w:t>
      </w:r>
      <w:r w:rsidRPr="5BF8B17A">
        <w:rPr>
          <w:rFonts w:ascii="Calibri" w:hAnsi="Calibri" w:cs="Calibri"/>
          <w:color w:val="000000" w:themeColor="text1"/>
          <w:lang w:val="en-US"/>
        </w:rPr>
        <w:t xml:space="preserve"> and </w:t>
      </w:r>
      <w:r w:rsidRPr="6FE28182">
        <w:rPr>
          <w:rFonts w:ascii="Calibri" w:hAnsi="Calibri" w:cs="Calibri"/>
          <w:color w:val="000000" w:themeColor="text1"/>
          <w:lang w:val="en-US"/>
        </w:rPr>
        <w:t>state-switching T cells</w:t>
      </w:r>
      <w:r w:rsidRPr="5BF8B17A">
        <w:rPr>
          <w:rFonts w:ascii="Calibri" w:hAnsi="Calibri" w:cs="Calibri"/>
          <w:color w:val="000000" w:themeColor="text1"/>
          <w:lang w:val="en-US"/>
        </w:rPr>
        <w:t xml:space="preserve">, and assigned </w:t>
      </w:r>
      <w:proofErr w:type="spellStart"/>
      <w:r w:rsidRPr="5BF8B17A">
        <w:rPr>
          <w:rFonts w:ascii="Calibri" w:hAnsi="Calibri" w:cs="Calibri"/>
          <w:color w:val="000000" w:themeColor="text1"/>
          <w:lang w:val="en-US"/>
        </w:rPr>
        <w:t>pseudotime</w:t>
      </w:r>
      <w:proofErr w:type="spellEnd"/>
      <w:r w:rsidRPr="5BF8B17A">
        <w:rPr>
          <w:rFonts w:ascii="Calibri" w:hAnsi="Calibri" w:cs="Calibri"/>
          <w:color w:val="000000" w:themeColor="text1"/>
          <w:lang w:val="en-US"/>
        </w:rPr>
        <w:t xml:space="preserve"> values to each cell to order them on the temporal scale. We used STREAM’s visualization modules to inspect trajectory branches, ordering of cell states based on their sequential transitions, and gene expression changes along </w:t>
      </w:r>
      <w:proofErr w:type="spellStart"/>
      <w:r w:rsidRPr="5BF8B17A">
        <w:rPr>
          <w:rFonts w:ascii="Calibri" w:hAnsi="Calibri" w:cs="Calibri"/>
          <w:color w:val="000000" w:themeColor="text1"/>
          <w:lang w:val="en-US"/>
        </w:rPr>
        <w:t>pseudotime</w:t>
      </w:r>
      <w:proofErr w:type="spellEnd"/>
      <w:r w:rsidRPr="5BF8B17A">
        <w:rPr>
          <w:rFonts w:ascii="Calibri" w:hAnsi="Calibri" w:cs="Calibri"/>
          <w:color w:val="000000" w:themeColor="text1"/>
          <w:lang w:val="en-US"/>
        </w:rPr>
        <w:t xml:space="preserve"> branches.  </w:t>
      </w:r>
    </w:p>
    <w:p w:rsidRPr="00624F7B" w:rsidR="008515C4" w:rsidP="3B592578" w:rsidRDefault="008515C4" w14:paraId="690A6E78" w14:textId="77777777">
      <w:pPr>
        <w:jc w:val="both"/>
        <w:rPr>
          <w:rFonts w:ascii="Aptos Display" w:hAnsi="Aptos Display" w:cs="Times New Roman" w:asciiTheme="majorAscii" w:hAnsiTheme="majorAscii" w:cstheme="majorBidi"/>
          <w:b w:val="1"/>
          <w:bCs w:val="1"/>
          <w:color w:val="000000" w:themeColor="text1"/>
          <w:sz w:val="24"/>
          <w:szCs w:val="24"/>
          <w:lang w:val="en-US"/>
        </w:rPr>
      </w:pPr>
    </w:p>
    <w:p w:rsidR="002518E9" w:rsidP="3B592578" w:rsidRDefault="002518E9" w14:paraId="3E8A4D51" w14:textId="5FE1ECE1">
      <w:pPr>
        <w:pStyle w:val="Normal"/>
        <w:suppressLineNumbers w:val="0"/>
        <w:bidi w:val="0"/>
        <w:spacing w:before="0" w:beforeAutospacing="off" w:after="0" w:afterAutospacing="off" w:line="276" w:lineRule="auto"/>
        <w:ind w:left="0" w:right="0"/>
        <w:jc w:val="both"/>
      </w:pPr>
      <w:r w:rsidRPr="3B592578" w:rsidR="002518E9">
        <w:rPr>
          <w:rFonts w:ascii="Aptos Display" w:hAnsi="Aptos Display" w:cs="Times New Roman" w:asciiTheme="majorAscii" w:hAnsiTheme="majorAscii" w:cstheme="majorBidi"/>
          <w:b w:val="1"/>
          <w:bCs w:val="1"/>
          <w:color w:val="000000" w:themeColor="text1" w:themeTint="FF" w:themeShade="FF"/>
          <w:sz w:val="24"/>
          <w:szCs w:val="24"/>
          <w:lang w:val="en-US"/>
        </w:rPr>
        <w:t>Defining dynamic TF Force on a target gene</w:t>
      </w:r>
    </w:p>
    <w:p w:rsidR="55330CB6" w:rsidP="3B592578" w:rsidRDefault="55330CB6" w14:paraId="56EFADCE" w14:textId="15749B50">
      <w:pPr>
        <w:jc w:val="both"/>
      </w:pPr>
      <w:r w:rsidRPr="3B592578" w:rsidR="55330CB6">
        <w:rPr>
          <w:rFonts w:ascii="Calibri" w:hAnsi="Calibri" w:eastAsia="Calibri" w:cs="Calibri"/>
          <w:color w:val="000000" w:themeColor="text1" w:themeTint="FF" w:themeShade="FF"/>
          <w:lang w:val="en-US"/>
        </w:rPr>
        <w:t xml:space="preserve">SDE adaptation to include </w:t>
      </w:r>
      <w:r w:rsidRPr="3B592578" w:rsidR="55330CB6">
        <w:rPr>
          <w:rFonts w:ascii="Calibri" w:hAnsi="Calibri" w:eastAsia="Calibri" w:cs="Calibri"/>
          <w:color w:val="000000" w:themeColor="text1" w:themeTint="FF" w:themeShade="FF"/>
          <w:lang w:val="en-US"/>
        </w:rPr>
        <w:t>atac+rna</w:t>
      </w:r>
      <w:r w:rsidRPr="3B592578" w:rsidR="55330CB6">
        <w:rPr>
          <w:rFonts w:ascii="Calibri" w:hAnsi="Calibri" w:eastAsia="Calibri" w:cs="Calibri"/>
          <w:color w:val="000000" w:themeColor="text1" w:themeTint="FF" w:themeShade="FF"/>
          <w:lang w:val="en-US"/>
        </w:rPr>
        <w:t>/only-</w:t>
      </w:r>
      <w:r w:rsidRPr="3B592578" w:rsidR="55330CB6">
        <w:rPr>
          <w:rFonts w:ascii="Calibri" w:hAnsi="Calibri" w:eastAsia="Calibri" w:cs="Calibri"/>
          <w:color w:val="000000" w:themeColor="text1" w:themeTint="FF" w:themeShade="FF"/>
          <w:lang w:val="en-US"/>
        </w:rPr>
        <w:t>rna</w:t>
      </w:r>
      <w:r w:rsidRPr="3B592578" w:rsidR="55330CB6">
        <w:rPr>
          <w:rFonts w:ascii="Calibri" w:hAnsi="Calibri" w:eastAsia="Calibri" w:cs="Calibri"/>
          <w:color w:val="000000" w:themeColor="text1" w:themeTint="FF" w:themeShade="FF"/>
          <w:lang w:val="en-US"/>
        </w:rPr>
        <w:t xml:space="preserve"> with base </w:t>
      </w:r>
      <w:r w:rsidRPr="3B592578" w:rsidR="55330CB6">
        <w:rPr>
          <w:rFonts w:ascii="Calibri" w:hAnsi="Calibri" w:eastAsia="Calibri" w:cs="Calibri"/>
          <w:color w:val="000000" w:themeColor="text1" w:themeTint="FF" w:themeShade="FF"/>
          <w:lang w:val="en-US"/>
        </w:rPr>
        <w:t>grn</w:t>
      </w:r>
      <w:r w:rsidRPr="3B592578" w:rsidR="55330CB6">
        <w:rPr>
          <w:rFonts w:ascii="Calibri" w:hAnsi="Calibri" w:eastAsia="Calibri" w:cs="Calibri"/>
          <w:color w:val="000000" w:themeColor="text1" w:themeTint="FF" w:themeShade="FF"/>
          <w:lang w:val="en-US"/>
        </w:rPr>
        <w:t>/</w:t>
      </w:r>
      <w:r w:rsidRPr="3B592578" w:rsidR="38CD4430">
        <w:rPr>
          <w:rFonts w:ascii="Calibri" w:hAnsi="Calibri" w:eastAsia="Calibri" w:cs="Calibri"/>
          <w:color w:val="000000" w:themeColor="text1" w:themeTint="FF" w:themeShade="FF"/>
          <w:lang w:val="en-US"/>
        </w:rPr>
        <w:t xml:space="preserve"> + equation derived empirically</w:t>
      </w:r>
    </w:p>
    <w:p w:rsidR="3B592578" w:rsidP="3B592578" w:rsidRDefault="3B592578" w14:paraId="5DC8EB0F" w14:textId="7170A592">
      <w:pPr>
        <w:pStyle w:val="Normal"/>
        <w:jc w:val="both"/>
        <w:rPr>
          <w:rFonts w:ascii="Calibri" w:hAnsi="Calibri" w:eastAsia="Calibri" w:cs="Calibri"/>
          <w:color w:val="000000" w:themeColor="text1" w:themeTint="FF" w:themeShade="FF"/>
          <w:lang w:val="en-US"/>
        </w:rPr>
      </w:pPr>
    </w:p>
    <w:p w:rsidR="55330CB6" w:rsidP="3B592578" w:rsidRDefault="55330CB6" w14:paraId="6D41772A" w14:textId="453782E4">
      <w:pPr>
        <w:pStyle w:val="Normal"/>
        <w:suppressLineNumbers w:val="0"/>
        <w:bidi w:val="0"/>
        <w:spacing w:before="0" w:beforeAutospacing="off" w:after="0" w:afterAutospacing="off" w:line="276" w:lineRule="auto"/>
        <w:ind w:left="0" w:right="0"/>
        <w:jc w:val="both"/>
      </w:pPr>
      <w:r w:rsidRPr="3B592578" w:rsidR="55330CB6">
        <w:rPr>
          <w:rFonts w:ascii="Aptos Display" w:hAnsi="Aptos Display" w:cs="Times New Roman" w:asciiTheme="majorAscii" w:hAnsiTheme="majorAscii" w:cstheme="majorBidi"/>
          <w:b w:val="1"/>
          <w:bCs w:val="1"/>
          <w:color w:val="000000" w:themeColor="text1" w:themeTint="FF" w:themeShade="FF"/>
          <w:sz w:val="24"/>
          <w:szCs w:val="24"/>
          <w:lang w:val="en-US"/>
        </w:rPr>
        <w:t>Construction of gene regulatory networks</w:t>
      </w:r>
      <w:r w:rsidRPr="3B592578" w:rsidR="1F139AD8">
        <w:rPr>
          <w:rFonts w:ascii="Aptos Display" w:hAnsi="Aptos Display" w:cs="Times New Roman" w:asciiTheme="majorAscii" w:hAnsiTheme="majorAscii" w:cstheme="majorBidi"/>
          <w:b w:val="1"/>
          <w:bCs w:val="1"/>
          <w:color w:val="000000" w:themeColor="text1" w:themeTint="FF" w:themeShade="FF"/>
          <w:sz w:val="24"/>
          <w:szCs w:val="24"/>
          <w:lang w:val="en-US"/>
        </w:rPr>
        <w:t xml:space="preserve"> across episodes of state transition trajectories</w:t>
      </w:r>
    </w:p>
    <w:p w:rsidR="34E396ED" w:rsidP="3B592578" w:rsidRDefault="34E396ED" w14:paraId="67394D44" w14:textId="6B2E6E37">
      <w:pPr>
        <w:pStyle w:val="Normal"/>
        <w:jc w:val="both"/>
      </w:pPr>
      <w:r w:rsidRPr="3B592578" w:rsidR="34E396ED">
        <w:rPr>
          <w:rFonts w:ascii="Calibri" w:hAnsi="Calibri" w:eastAsia="Calibri" w:cs="Calibri"/>
          <w:color w:val="000000" w:themeColor="text1" w:themeTint="FF" w:themeShade="FF"/>
          <w:lang w:val="en-US"/>
        </w:rPr>
        <w:t>Llllll</w:t>
      </w:r>
    </w:p>
    <w:p w:rsidR="3B592578" w:rsidP="3B592578" w:rsidRDefault="3B592578" w14:paraId="0C5EACA0" w14:textId="6BD6304F">
      <w:pPr>
        <w:pStyle w:val="Normal"/>
        <w:jc w:val="both"/>
        <w:rPr>
          <w:rFonts w:ascii="Calibri" w:hAnsi="Calibri" w:eastAsia="Calibri" w:cs="Calibri"/>
          <w:color w:val="000000" w:themeColor="text1" w:themeTint="FF" w:themeShade="FF"/>
          <w:lang w:val="en-US"/>
        </w:rPr>
      </w:pPr>
    </w:p>
    <w:p w:rsidR="0CBAF576" w:rsidP="3B592578" w:rsidRDefault="0CBAF576" w14:paraId="3D5D45AD" w14:textId="3A946605">
      <w:pPr>
        <w:pStyle w:val="Normal"/>
        <w:suppressLineNumbers w:val="0"/>
        <w:bidi w:val="0"/>
        <w:spacing w:before="0" w:beforeAutospacing="off" w:after="0" w:afterAutospacing="off" w:line="276" w:lineRule="auto"/>
        <w:ind w:left="0" w:right="0"/>
        <w:jc w:val="both"/>
        <w:rPr>
          <w:rFonts w:ascii="Aptos Display" w:hAnsi="Aptos Display" w:cs="Times New Roman" w:asciiTheme="majorAscii" w:hAnsiTheme="majorAscii" w:cstheme="majorBidi"/>
          <w:b w:val="1"/>
          <w:bCs w:val="1"/>
          <w:color w:val="000000" w:themeColor="text1" w:themeTint="FF" w:themeShade="FF"/>
          <w:sz w:val="24"/>
          <w:szCs w:val="24"/>
          <w:lang w:val="en-US"/>
        </w:rPr>
      </w:pPr>
      <w:r w:rsidRPr="3B592578" w:rsidR="0CBAF576">
        <w:rPr>
          <w:rFonts w:ascii="Aptos Display" w:hAnsi="Aptos Display" w:cs="Times New Roman" w:asciiTheme="majorAscii" w:hAnsiTheme="majorAscii" w:cstheme="majorBidi"/>
          <w:b w:val="1"/>
          <w:bCs w:val="1"/>
          <w:color w:val="000000" w:themeColor="text1" w:themeTint="FF" w:themeShade="FF"/>
          <w:sz w:val="24"/>
          <w:szCs w:val="24"/>
          <w:lang w:val="en-US"/>
        </w:rPr>
        <w:t xml:space="preserve">Enriching for dynamic TF activity in </w:t>
      </w:r>
      <w:r w:rsidRPr="3B592578" w:rsidR="18DDFEEE">
        <w:rPr>
          <w:rFonts w:ascii="Aptos Display" w:hAnsi="Aptos Display" w:cs="Times New Roman" w:asciiTheme="majorAscii" w:hAnsiTheme="majorAscii" w:cstheme="majorBidi"/>
          <w:b w:val="1"/>
          <w:bCs w:val="1"/>
          <w:color w:val="000000" w:themeColor="text1" w:themeTint="FF" w:themeShade="FF"/>
          <w:sz w:val="24"/>
          <w:szCs w:val="24"/>
          <w:lang w:val="en-US"/>
        </w:rPr>
        <w:t>episodic GRNs</w:t>
      </w:r>
    </w:p>
    <w:p w:rsidRPr="009658C3" w:rsidR="008515C4" w:rsidP="008515C4" w:rsidRDefault="008515C4" w14:paraId="12C3DE71" w14:textId="77777777">
      <w:pPr>
        <w:jc w:val="both"/>
        <w:rPr>
          <w:rFonts w:ascii="Calibri" w:hAnsi="Calibri" w:cs="Calibri"/>
          <w:color w:val="000000" w:themeColor="text1"/>
          <w:lang w:val="en-US"/>
        </w:rPr>
      </w:pPr>
      <w:r w:rsidRPr="0A866F8E">
        <w:rPr>
          <w:rFonts w:ascii="Calibri" w:hAnsi="Calibri" w:cs="Calibri"/>
          <w:color w:val="000000" w:themeColor="text1"/>
          <w:lang w:val="en-US"/>
        </w:rPr>
        <w:t>The trajectory branches for both the datasets were broken into episodes</w:t>
      </w:r>
      <w:r w:rsidRPr="476880A2">
        <w:rPr>
          <w:rFonts w:ascii="Calibri" w:hAnsi="Calibri" w:cs="Calibri"/>
          <w:color w:val="000000" w:themeColor="text1"/>
          <w:lang w:val="en-US"/>
        </w:rPr>
        <w:t xml:space="preserve"> of invariant TF activity.</w:t>
      </w:r>
      <w:r w:rsidRPr="16D34113">
        <w:rPr>
          <w:rFonts w:ascii="Calibri" w:hAnsi="Calibri" w:cs="Calibri"/>
          <w:color w:val="000000" w:themeColor="text1"/>
          <w:lang w:val="en-US"/>
        </w:rPr>
        <w:t xml:space="preserve"> T cells have a linear </w:t>
      </w:r>
    </w:p>
    <w:p w:rsidRPr="009658C3" w:rsidR="008515C4" w:rsidP="008515C4" w:rsidRDefault="008515C4" w14:paraId="7F3941EE" w14:textId="77777777">
      <w:pPr>
        <w:jc w:val="both"/>
      </w:pPr>
      <w:r w:rsidRPr="3B592578" w:rsidR="008515C4">
        <w:rPr>
          <w:rFonts w:ascii="Aptos Display" w:hAnsi="Aptos Display" w:cs="Times New Roman" w:asciiTheme="majorAscii" w:hAnsiTheme="majorAscii" w:cstheme="majorBidi"/>
          <w:b w:val="1"/>
          <w:bCs w:val="1"/>
          <w:color w:val="000000" w:themeColor="text1" w:themeTint="FF" w:themeShade="FF"/>
          <w:sz w:val="24"/>
          <w:szCs w:val="24"/>
          <w:lang w:val="en-US"/>
        </w:rPr>
        <w:t>Transient regulatory activity analysis</w:t>
      </w:r>
    </w:p>
    <w:p w:rsidR="3B592578" w:rsidP="3B592578" w:rsidRDefault="3B592578" w14:paraId="6C8169F2" w14:textId="3252A63F">
      <w:pPr>
        <w:jc w:val="both"/>
        <w:rPr>
          <w:rFonts w:ascii="Aptos Display" w:hAnsi="Aptos Display" w:cs="Times New Roman" w:asciiTheme="majorAscii" w:hAnsiTheme="majorAscii" w:cstheme="majorBidi"/>
          <w:b w:val="1"/>
          <w:bCs w:val="1"/>
          <w:color w:val="000000" w:themeColor="text1" w:themeTint="FF" w:themeShade="FF"/>
          <w:sz w:val="24"/>
          <w:szCs w:val="24"/>
          <w:lang w:val="en-US"/>
        </w:rPr>
      </w:pPr>
    </w:p>
    <w:p w:rsidR="44B67EA6" w:rsidP="3B592578" w:rsidRDefault="44B67EA6" w14:paraId="4E779CB7" w14:textId="10C30EA0">
      <w:pPr>
        <w:pStyle w:val="Normal"/>
        <w:suppressLineNumbers w:val="0"/>
        <w:bidi w:val="0"/>
        <w:spacing w:before="0" w:beforeAutospacing="off" w:after="0" w:afterAutospacing="off" w:line="276" w:lineRule="auto"/>
        <w:ind w:left="0" w:right="0"/>
        <w:jc w:val="both"/>
      </w:pPr>
      <w:r w:rsidRPr="3B592578" w:rsidR="44B67EA6">
        <w:rPr>
          <w:rFonts w:ascii="Aptos Display" w:hAnsi="Aptos Display" w:cs="Times New Roman" w:asciiTheme="majorAscii" w:hAnsiTheme="majorAscii" w:cstheme="majorBidi"/>
          <w:b w:val="1"/>
          <w:bCs w:val="1"/>
          <w:color w:val="000000" w:themeColor="text1" w:themeTint="FF" w:themeShade="FF"/>
          <w:sz w:val="24"/>
          <w:szCs w:val="24"/>
          <w:lang w:val="en-US"/>
        </w:rPr>
        <w:t>Validation in-vivo dataset??</w:t>
      </w:r>
    </w:p>
    <w:p w:rsidR="3B592578" w:rsidP="3B592578" w:rsidRDefault="3B592578" w14:paraId="0FEDC4C3" w14:textId="51673D3B">
      <w:pPr>
        <w:jc w:val="both"/>
        <w:rPr>
          <w:rFonts w:ascii="Aptos Display" w:hAnsi="Aptos Display" w:cs="Times New Roman" w:asciiTheme="majorAscii" w:hAnsiTheme="majorAscii" w:cstheme="majorBidi"/>
          <w:b w:val="1"/>
          <w:bCs w:val="1"/>
          <w:color w:val="000000" w:themeColor="text1" w:themeTint="FF" w:themeShade="FF"/>
          <w:sz w:val="24"/>
          <w:szCs w:val="24"/>
          <w:lang w:val="en-US"/>
        </w:rPr>
      </w:pPr>
    </w:p>
    <w:p w:rsidR="44B67EA6" w:rsidP="3B592578" w:rsidRDefault="44B67EA6" w14:paraId="243D81A8" w14:textId="0B325EFF">
      <w:pPr>
        <w:jc w:val="both"/>
      </w:pPr>
      <w:r w:rsidRPr="3B592578" w:rsidR="44B67EA6">
        <w:rPr>
          <w:rFonts w:ascii="Aptos Display" w:hAnsi="Aptos Display" w:cs="Times New Roman" w:asciiTheme="majorAscii" w:hAnsiTheme="majorAscii" w:cstheme="majorBidi"/>
          <w:b w:val="1"/>
          <w:bCs w:val="1"/>
          <w:color w:val="000000" w:themeColor="text1" w:themeTint="FF" w:themeShade="FF"/>
          <w:sz w:val="24"/>
          <w:szCs w:val="24"/>
          <w:lang w:val="en-US"/>
        </w:rPr>
        <w:t xml:space="preserve">Chromatin binding inference across </w:t>
      </w:r>
      <w:bookmarkStart w:name="_Int_j2d8j6V0" w:id="35869860"/>
      <w:r w:rsidRPr="3B592578" w:rsidR="44B67EA6">
        <w:rPr>
          <w:rFonts w:ascii="Aptos Display" w:hAnsi="Aptos Display" w:cs="Times New Roman" w:asciiTheme="majorAscii" w:hAnsiTheme="majorAscii" w:cstheme="majorBidi"/>
          <w:b w:val="1"/>
          <w:bCs w:val="1"/>
          <w:color w:val="000000" w:themeColor="text1" w:themeTint="FF" w:themeShade="FF"/>
          <w:sz w:val="24"/>
          <w:szCs w:val="24"/>
          <w:lang w:val="en-US"/>
        </w:rPr>
        <w:t>pseudotime</w:t>
      </w:r>
      <w:bookmarkEnd w:id="35869860"/>
      <w:r w:rsidRPr="3B592578" w:rsidR="44B67EA6">
        <w:rPr>
          <w:rFonts w:ascii="Aptos Display" w:hAnsi="Aptos Display" w:cs="Times New Roman" w:asciiTheme="majorAscii" w:hAnsiTheme="majorAscii" w:cstheme="majorBidi"/>
          <w:b w:val="1"/>
          <w:bCs w:val="1"/>
          <w:color w:val="000000" w:themeColor="text1" w:themeTint="FF" w:themeShade="FF"/>
          <w:sz w:val="24"/>
          <w:szCs w:val="24"/>
          <w:lang w:val="en-US"/>
        </w:rPr>
        <w:t xml:space="preserve"> trajectories</w:t>
      </w:r>
    </w:p>
    <w:p w:rsidR="3B592578" w:rsidP="3B592578" w:rsidRDefault="3B592578" w14:paraId="14B89F26" w14:textId="1D6C6073">
      <w:pPr>
        <w:jc w:val="both"/>
        <w:rPr>
          <w:rFonts w:ascii="Aptos Display" w:hAnsi="Aptos Display" w:cs="Times New Roman" w:asciiTheme="majorAscii" w:hAnsiTheme="majorAscii" w:cstheme="majorBidi"/>
          <w:b w:val="1"/>
          <w:bCs w:val="1"/>
          <w:color w:val="000000" w:themeColor="text1" w:themeTint="FF" w:themeShade="FF"/>
          <w:sz w:val="24"/>
          <w:szCs w:val="24"/>
          <w:lang w:val="en-US"/>
        </w:rPr>
      </w:pPr>
    </w:p>
    <w:p w:rsidR="2B09CA67" w:rsidP="3B592578" w:rsidRDefault="2B09CA67" w14:paraId="6322609B" w14:textId="5DC96A07">
      <w:pPr>
        <w:jc w:val="both"/>
      </w:pPr>
      <w:r w:rsidRPr="3B592578" w:rsidR="2B09CA67">
        <w:rPr>
          <w:rFonts w:ascii="Aptos Display" w:hAnsi="Aptos Display" w:cs="Times New Roman" w:asciiTheme="majorAscii" w:hAnsiTheme="majorAscii" w:cstheme="majorBidi"/>
          <w:b w:val="1"/>
          <w:bCs w:val="1"/>
          <w:color w:val="000000" w:themeColor="text1" w:themeTint="FF" w:themeShade="FF"/>
          <w:sz w:val="24"/>
          <w:szCs w:val="24"/>
          <w:lang w:val="en-US"/>
        </w:rPr>
        <w:t xml:space="preserve">Deriving phases of </w:t>
      </w:r>
      <w:r w:rsidRPr="3B592578" w:rsidR="202ED076">
        <w:rPr>
          <w:rFonts w:ascii="Aptos Display" w:hAnsi="Aptos Display" w:cs="Times New Roman" w:asciiTheme="majorAscii" w:hAnsiTheme="majorAscii" w:cstheme="majorBidi"/>
          <w:b w:val="1"/>
          <w:bCs w:val="1"/>
          <w:color w:val="000000" w:themeColor="text1" w:themeTint="FF" w:themeShade="FF"/>
          <w:sz w:val="24"/>
          <w:szCs w:val="24"/>
          <w:lang w:val="en-US"/>
        </w:rPr>
        <w:t>gene-regulation governing state switching of cells</w:t>
      </w:r>
    </w:p>
    <w:p w:rsidR="3B592578" w:rsidP="3B592578" w:rsidRDefault="3B592578" w14:paraId="6CE56263" w14:textId="1063CC4C">
      <w:pPr>
        <w:jc w:val="both"/>
        <w:rPr>
          <w:rFonts w:ascii="Aptos Display" w:hAnsi="Aptos Display" w:cs="Times New Roman" w:asciiTheme="majorAscii" w:hAnsiTheme="majorAscii" w:cstheme="majorBidi"/>
          <w:b w:val="1"/>
          <w:bCs w:val="1"/>
          <w:color w:val="000000" w:themeColor="text1" w:themeTint="FF" w:themeShade="FF"/>
          <w:sz w:val="24"/>
          <w:szCs w:val="24"/>
          <w:lang w:val="en-US"/>
        </w:rPr>
      </w:pPr>
    </w:p>
    <w:p w:rsidR="77B14BD3" w:rsidP="3B592578" w:rsidRDefault="77B14BD3" w14:paraId="790EC01C" w14:textId="2A5E2990">
      <w:pPr>
        <w:jc w:val="both"/>
      </w:pPr>
      <w:r w:rsidRPr="3B592578" w:rsidR="77B14BD3">
        <w:rPr>
          <w:rFonts w:ascii="Aptos Display" w:hAnsi="Aptos Display" w:cs="Times New Roman" w:asciiTheme="majorAscii" w:hAnsiTheme="majorAscii" w:cstheme="majorBidi"/>
          <w:b w:val="1"/>
          <w:bCs w:val="1"/>
          <w:color w:val="000000" w:themeColor="text1" w:themeTint="FF" w:themeShade="FF"/>
          <w:sz w:val="24"/>
          <w:szCs w:val="24"/>
          <w:lang w:val="en-US"/>
        </w:rPr>
        <w:t>Utilization</w:t>
      </w:r>
      <w:r w:rsidRPr="3B592578" w:rsidR="77B14BD3">
        <w:rPr>
          <w:rFonts w:ascii="Aptos Display" w:hAnsi="Aptos Display" w:cs="Times New Roman" w:asciiTheme="majorAscii" w:hAnsiTheme="majorAscii" w:cstheme="majorBidi"/>
          <w:b w:val="1"/>
          <w:bCs w:val="1"/>
          <w:color w:val="000000" w:themeColor="text1" w:themeTint="FF" w:themeShade="FF"/>
          <w:sz w:val="24"/>
          <w:szCs w:val="24"/>
          <w:lang w:val="en-US"/>
        </w:rPr>
        <w:t xml:space="preserve"> of Optimal-Transport for validating dynamic TF activity</w:t>
      </w:r>
    </w:p>
    <w:p w:rsidRPr="00624F7B" w:rsidR="008515C4" w:rsidP="008515C4" w:rsidRDefault="008515C4" w14:paraId="52A34018" w14:textId="77777777">
      <w:pPr>
        <w:spacing w:before="320" w:after="80"/>
        <w:jc w:val="both"/>
        <w:outlineLvl w:val="2"/>
        <w:rPr>
          <w:rFonts w:asciiTheme="majorHAnsi" w:hAnsiTheme="majorHAnsi" w:cstheme="majorHAnsi"/>
          <w:b/>
          <w:bCs/>
          <w:color w:val="000000" w:themeColor="text1"/>
          <w:sz w:val="24"/>
          <w:szCs w:val="24"/>
          <w:lang w:val="en-US"/>
        </w:rPr>
      </w:pPr>
      <w:r w:rsidRPr="00624F7B">
        <w:rPr>
          <w:rFonts w:asciiTheme="majorHAnsi" w:hAnsiTheme="majorHAnsi" w:cstheme="majorHAnsi"/>
          <w:b/>
          <w:bCs/>
          <w:color w:val="000000" w:themeColor="text1"/>
          <w:sz w:val="24"/>
          <w:szCs w:val="24"/>
          <w:lang w:val="en-US"/>
        </w:rPr>
        <w:t xml:space="preserve">Fate Prediction of early activated B Cells </w:t>
      </w:r>
    </w:p>
    <w:p w:rsidRPr="009658C3" w:rsidR="008515C4" w:rsidP="008515C4" w:rsidRDefault="008515C4" w14:paraId="5BDEC3A4" w14:textId="77777777">
      <w:pPr>
        <w:jc w:val="both"/>
        <w:rPr>
          <w:rFonts w:ascii="Calibri" w:hAnsi="Calibri" w:cs="Calibri"/>
          <w:color w:val="000000" w:themeColor="text1"/>
        </w:rPr>
      </w:pPr>
      <w:r w:rsidRPr="009658C3">
        <w:rPr>
          <w:rFonts w:ascii="Calibri" w:hAnsi="Calibri" w:cs="Calibri"/>
          <w:color w:val="000000" w:themeColor="text1"/>
          <w:lang w:val="en-US"/>
        </w:rPr>
        <w:t>To predict cell fate bias toward the final lineages, we first evaluated whether transcriptomic features that distinguish TF-KO cells from controls could also serve as informative predictors. We identified key transcriptomic features that differentiate PRDM1- and IRF4-perturbed cells from wild-type controls by training a Lasso logistic regression classification model (</w:t>
      </w:r>
      <w:proofErr w:type="spellStart"/>
      <w:r w:rsidRPr="009658C3">
        <w:rPr>
          <w:rFonts w:ascii="Calibri" w:hAnsi="Calibri" w:cs="Calibri"/>
          <w:color w:val="000000" w:themeColor="text1"/>
          <w:lang w:val="en-US"/>
        </w:rPr>
        <w:t>LogisticRegression</w:t>
      </w:r>
      <w:proofErr w:type="spellEnd"/>
      <w:r>
        <w:rPr>
          <w:rFonts w:ascii="Calibri" w:hAnsi="Calibri" w:cs="Calibri"/>
          <w:color w:val="000000" w:themeColor="text1"/>
          <w:lang w:val="en-US"/>
        </w:rPr>
        <w:t xml:space="preserve"> </w:t>
      </w:r>
      <w:r w:rsidRPr="009658C3">
        <w:rPr>
          <w:rFonts w:ascii="Calibri" w:hAnsi="Calibri" w:cs="Calibri"/>
          <w:color w:val="000000" w:themeColor="text1"/>
          <w:lang w:val="en-US"/>
        </w:rPr>
        <w:t>(penalty='l1', solver='</w:t>
      </w:r>
      <w:proofErr w:type="spellStart"/>
      <w:r w:rsidRPr="009658C3">
        <w:rPr>
          <w:rFonts w:ascii="Calibri" w:hAnsi="Calibri" w:cs="Calibri"/>
          <w:color w:val="000000" w:themeColor="text1"/>
          <w:lang w:val="en-US"/>
        </w:rPr>
        <w:t>liblinear</w:t>
      </w:r>
      <w:proofErr w:type="spellEnd"/>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max_iter</w:t>
      </w:r>
      <w:proofErr w:type="spellEnd"/>
      <w:r w:rsidRPr="009658C3">
        <w:rPr>
          <w:rFonts w:ascii="Calibri" w:hAnsi="Calibri" w:cs="Calibri"/>
          <w:color w:val="000000" w:themeColor="text1"/>
          <w:lang w:val="en-US"/>
        </w:rPr>
        <w:t xml:space="preserve">=10000, </w:t>
      </w:r>
      <w:proofErr w:type="spellStart"/>
      <w:r w:rsidRPr="009658C3">
        <w:rPr>
          <w:rFonts w:ascii="Calibri" w:hAnsi="Calibri" w:cs="Calibri"/>
          <w:color w:val="000000" w:themeColor="text1"/>
          <w:lang w:val="en-US"/>
        </w:rPr>
        <w:t>random_state</w:t>
      </w:r>
      <w:proofErr w:type="spellEnd"/>
      <w:r w:rsidRPr="009658C3">
        <w:rPr>
          <w:rFonts w:ascii="Calibri" w:hAnsi="Calibri" w:cs="Calibri"/>
          <w:color w:val="000000" w:themeColor="text1"/>
          <w:lang w:val="en-US"/>
        </w:rPr>
        <w:t>=42)). The trained model was then applied to early ABCs from the multi-</w:t>
      </w:r>
      <w:proofErr w:type="spellStart"/>
      <w:r w:rsidRPr="009658C3">
        <w:rPr>
          <w:rFonts w:ascii="Calibri" w:hAnsi="Calibri" w:cs="Calibri"/>
          <w:color w:val="000000" w:themeColor="text1"/>
          <w:lang w:val="en-US"/>
        </w:rPr>
        <w:t>omic</w:t>
      </w:r>
      <w:proofErr w:type="spellEnd"/>
      <w:r w:rsidRPr="009658C3">
        <w:rPr>
          <w:rFonts w:ascii="Calibri" w:hAnsi="Calibri" w:cs="Calibri"/>
          <w:color w:val="000000" w:themeColor="text1"/>
          <w:lang w:val="en-US"/>
        </w:rPr>
        <w:t xml:space="preserve"> dataset (days 2 and 4) using the </w:t>
      </w:r>
      <w:proofErr w:type="spellStart"/>
      <w:proofErr w:type="gramStart"/>
      <w:r w:rsidRPr="009658C3">
        <w:rPr>
          <w:rFonts w:ascii="Calibri" w:hAnsi="Calibri" w:cs="Calibri"/>
          <w:color w:val="000000" w:themeColor="text1"/>
          <w:lang w:val="en-US"/>
        </w:rPr>
        <w:t>lasso.predict</w:t>
      </w:r>
      <w:proofErr w:type="spellEnd"/>
      <w:proofErr w:type="gramEnd"/>
      <w:r w:rsidRPr="009658C3">
        <w:rPr>
          <w:rFonts w:ascii="Calibri" w:hAnsi="Calibri" w:cs="Calibri"/>
          <w:color w:val="000000" w:themeColor="text1"/>
          <w:lang w:val="en-US"/>
        </w:rPr>
        <w:t>(...) function to generate predicted probabilities for each cell. Because the response variable is binary, we assigned predicted fates to early ABCs based on whether their predicted probability was above or below a threshold of 0.5.</w:t>
      </w:r>
    </w:p>
    <w:p w:rsidRPr="009658C3" w:rsidR="008515C4" w:rsidP="008515C4" w:rsidRDefault="008515C4" w14:paraId="0C044C23" w14:textId="77777777">
      <w:pPr>
        <w:jc w:val="both"/>
        <w:rPr>
          <w:rFonts w:ascii="Calibri" w:hAnsi="Calibri" w:cs="Calibri"/>
          <w:color w:val="000000" w:themeColor="text1"/>
        </w:rPr>
      </w:pPr>
      <w:r w:rsidRPr="009658C3">
        <w:rPr>
          <w:rFonts w:ascii="Calibri" w:hAnsi="Calibri" w:cs="Calibri"/>
          <w:color w:val="000000" w:themeColor="text1"/>
        </w:rPr>
        <w:br/>
      </w:r>
      <w:r w:rsidRPr="009658C3">
        <w:rPr>
          <w:rFonts w:ascii="Calibri" w:hAnsi="Calibri" w:cs="Calibri"/>
          <w:color w:val="000000" w:themeColor="text1"/>
          <w:lang w:val="en-US"/>
        </w:rPr>
        <w:t>The same procedure was repeated using only the differentially expressed genes from the training datasets. We first performed differential expression analysis between KO and control groups and retained genes with an absolute log₂ fold change greater than 1 and an adjusted p-value below 0.05. The single-cell gene expression matrix was then subset to include only these genes, and a Lasso logistic regression model was trained on this reduced feature set. The trained model was subsequently applied to early ABCs from the multi-</w:t>
      </w:r>
      <w:proofErr w:type="spellStart"/>
      <w:r w:rsidRPr="009658C3">
        <w:rPr>
          <w:rFonts w:ascii="Calibri" w:hAnsi="Calibri" w:cs="Calibri"/>
          <w:color w:val="000000" w:themeColor="text1"/>
          <w:lang w:val="en-US"/>
        </w:rPr>
        <w:t>omic</w:t>
      </w:r>
      <w:proofErr w:type="spellEnd"/>
      <w:r w:rsidRPr="009658C3">
        <w:rPr>
          <w:rFonts w:ascii="Calibri" w:hAnsi="Calibri" w:cs="Calibri"/>
          <w:color w:val="000000" w:themeColor="text1"/>
          <w:lang w:val="en-US"/>
        </w:rPr>
        <w:t xml:space="preserve"> dataset (days 2 and 4) using the same prediction function to generate and project fate probabilities.</w:t>
      </w:r>
    </w:p>
    <w:p w:rsidRPr="009658C3" w:rsidR="008515C4" w:rsidP="008515C4" w:rsidRDefault="008515C4" w14:paraId="1BE9A13A" w14:textId="77777777">
      <w:pPr>
        <w:jc w:val="both"/>
        <w:rPr>
          <w:rFonts w:ascii="Calibri" w:hAnsi="Calibri" w:cs="Calibri"/>
          <w:color w:val="000000" w:themeColor="text1"/>
          <w:lang w:val="en-US"/>
        </w:rPr>
      </w:pPr>
      <w:r w:rsidRPr="009658C3">
        <w:rPr>
          <w:rFonts w:ascii="Calibri" w:hAnsi="Calibri" w:cs="Calibri"/>
          <w:color w:val="000000" w:themeColor="text1"/>
          <w:lang w:val="en-US"/>
        </w:rPr>
        <w:t xml:space="preserve">We then used the inferred cellular programs from single-cell TF Perturb-seq data in the B cell system.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projected these programs onto ABCs (day 2 and day 4) from </w:t>
      </w:r>
      <w:proofErr w:type="gramStart"/>
      <w:r w:rsidRPr="009658C3">
        <w:rPr>
          <w:rFonts w:ascii="Calibri" w:hAnsi="Calibri" w:cs="Calibri"/>
          <w:color w:val="000000" w:themeColor="text1"/>
          <w:lang w:val="en-US"/>
        </w:rPr>
        <w:t>single-cell</w:t>
      </w:r>
      <w:proofErr w:type="gramEnd"/>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multiome</w:t>
      </w:r>
      <w:proofErr w:type="spellEnd"/>
      <w:r w:rsidRPr="009658C3">
        <w:rPr>
          <w:rFonts w:ascii="Calibri" w:hAnsi="Calibri" w:cs="Calibri"/>
          <w:color w:val="000000" w:themeColor="text1"/>
          <w:lang w:val="en-US"/>
        </w:rPr>
        <w:t xml:space="preserve"> data to estimate their transcriptional predisposition toward one of two downstream fates (GC or PB). The latent cellular programs defined a score for each cell, representing the degree to which its expression profile aligned with either the KO or control state. Using these scores, we assessed the discriminative power of each model by examining how well the score distributions separated KO and control cell populations. For each model, we defined an optimal threshold based on the distribution that most effectively distinguished these two groups. We then applied the same trained models to the ABC</w:t>
      </w:r>
      <w:r>
        <w:rPr>
          <w:rFonts w:ascii="Calibri" w:hAnsi="Calibri" w:cs="Calibri"/>
          <w:color w:val="000000" w:themeColor="text1"/>
          <w:lang w:val="en-US"/>
        </w:rPr>
        <w:t>s</w:t>
      </w:r>
      <w:r w:rsidRPr="009658C3">
        <w:rPr>
          <w:rFonts w:ascii="Calibri" w:hAnsi="Calibri" w:cs="Calibri"/>
          <w:color w:val="000000" w:themeColor="text1"/>
          <w:lang w:val="en-US"/>
        </w:rPr>
        <w:t xml:space="preserve"> </w:t>
      </w:r>
      <w:r>
        <w:rPr>
          <w:rFonts w:ascii="Calibri" w:hAnsi="Calibri" w:cs="Calibri"/>
          <w:color w:val="000000" w:themeColor="text1"/>
          <w:lang w:val="en-US"/>
        </w:rPr>
        <w:t xml:space="preserve">at </w:t>
      </w:r>
      <w:r w:rsidRPr="009658C3">
        <w:rPr>
          <w:rFonts w:ascii="Calibri" w:hAnsi="Calibri" w:cs="Calibri"/>
          <w:color w:val="000000" w:themeColor="text1"/>
          <w:lang w:val="en-US"/>
        </w:rPr>
        <w:t xml:space="preserve">day 2 and day 4 </w:t>
      </w:r>
      <w:proofErr w:type="spellStart"/>
      <w:r w:rsidRPr="009658C3">
        <w:rPr>
          <w:rFonts w:ascii="Calibri" w:hAnsi="Calibri" w:cs="Calibri"/>
          <w:color w:val="000000" w:themeColor="text1"/>
          <w:lang w:val="en-US"/>
        </w:rPr>
        <w:t>multiome</w:t>
      </w:r>
      <w:proofErr w:type="spellEnd"/>
      <w:r w:rsidRPr="009658C3">
        <w:rPr>
          <w:rFonts w:ascii="Calibri" w:hAnsi="Calibri" w:cs="Calibri"/>
          <w:color w:val="000000" w:themeColor="text1"/>
          <w:lang w:val="en-US"/>
        </w:rPr>
        <w:t xml:space="preserve"> data using the “</w:t>
      </w:r>
      <w:proofErr w:type="spellStart"/>
      <w:r w:rsidRPr="009658C3">
        <w:rPr>
          <w:rFonts w:ascii="Calibri" w:hAnsi="Calibri" w:cs="Calibri"/>
          <w:color w:val="000000" w:themeColor="text1"/>
          <w:lang w:val="en-US"/>
        </w:rPr>
        <w:t>predZ</w:t>
      </w:r>
      <w:proofErr w:type="spellEnd"/>
      <w:r w:rsidRPr="009658C3">
        <w:rPr>
          <w:rFonts w:ascii="Calibri" w:hAnsi="Calibri" w:cs="Calibri"/>
          <w:color w:val="000000" w:themeColor="text1"/>
          <w:lang w:val="en-US"/>
        </w:rPr>
        <w:t xml:space="preserve">” function in the SLIDE package, generating predicted scores for uncommitted cells. Using the thresholds defined from the perturb-seq models, </w:t>
      </w:r>
      <w:proofErr w:type="spellStart"/>
      <w:r w:rsidRPr="009658C3">
        <w:rPr>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assigned a predicted fate score to each ABC. Cells with predicted scores above or below the KO-control threshold were classified as transcriptionally predisposed toward different downstream fates.</w:t>
      </w:r>
    </w:p>
    <w:p w:rsidRPr="009658C3" w:rsidR="008515C4" w:rsidP="008515C4" w:rsidRDefault="008515C4" w14:paraId="6CDADE9F" w14:textId="77777777">
      <w:pPr>
        <w:jc w:val="both"/>
        <w:rPr>
          <w:rFonts w:ascii="Calibri" w:hAnsi="Calibri" w:cs="Calibri"/>
          <w:color w:val="000000" w:themeColor="text1"/>
          <w:lang w:val="en-US"/>
        </w:rPr>
      </w:pPr>
    </w:p>
    <w:p w:rsidRPr="00587F8D" w:rsidR="008515C4" w:rsidP="008515C4" w:rsidRDefault="008515C4" w14:paraId="239B6E94" w14:textId="77777777">
      <w:pPr>
        <w:jc w:val="both"/>
        <w:rPr>
          <w:rFonts w:ascii="Calibri" w:hAnsi="Calibri" w:cs="Calibri"/>
          <w:color w:val="000000" w:themeColor="text1"/>
        </w:rPr>
      </w:pPr>
      <w:r w:rsidRPr="009658C3">
        <w:rPr>
          <w:rFonts w:ascii="Calibri" w:hAnsi="Calibri" w:cs="Calibri"/>
          <w:color w:val="000000" w:themeColor="text1"/>
          <w:lang w:val="en-US"/>
        </w:rPr>
        <w:t xml:space="preserve">To evaluate the quality of these predictions, we trained a Lasso logistic regression classifier to assess whether the predicted fate could be distinguished from the true fate labels (GC and PB cells from the </w:t>
      </w:r>
      <w:proofErr w:type="gramStart"/>
      <w:r w:rsidRPr="009658C3">
        <w:rPr>
          <w:rFonts w:ascii="Calibri" w:hAnsi="Calibri" w:cs="Calibri"/>
          <w:color w:val="000000" w:themeColor="text1"/>
          <w:lang w:val="en-US"/>
        </w:rPr>
        <w:t>single-cell</w:t>
      </w:r>
      <w:proofErr w:type="gramEnd"/>
      <w:r w:rsidRPr="009658C3">
        <w:rPr>
          <w:rFonts w:ascii="Calibri" w:hAnsi="Calibri" w:cs="Calibri"/>
          <w:color w:val="000000" w:themeColor="text1"/>
          <w:lang w:val="en-US"/>
        </w:rPr>
        <w:t xml:space="preserve"> </w:t>
      </w:r>
      <w:proofErr w:type="spellStart"/>
      <w:r w:rsidRPr="009658C3">
        <w:rPr>
          <w:rFonts w:ascii="Calibri" w:hAnsi="Calibri" w:cs="Calibri"/>
          <w:color w:val="000000" w:themeColor="text1"/>
          <w:lang w:val="en-US"/>
        </w:rPr>
        <w:t>multiome</w:t>
      </w:r>
      <w:proofErr w:type="spellEnd"/>
      <w:r w:rsidRPr="009658C3">
        <w:rPr>
          <w:rFonts w:ascii="Calibri" w:hAnsi="Calibri" w:cs="Calibri"/>
          <w:color w:val="000000" w:themeColor="text1"/>
          <w:lang w:val="en-US"/>
        </w:rPr>
        <w:t xml:space="preserve"> dataset). Two scenarios were defined: first, if a predicted fate could not be distinguished from the </w:t>
      </w:r>
      <w:proofErr w:type="gramStart"/>
      <w:r w:rsidRPr="009658C3">
        <w:rPr>
          <w:rFonts w:ascii="Calibri" w:hAnsi="Calibri" w:cs="Calibri"/>
          <w:color w:val="000000" w:themeColor="text1"/>
          <w:lang w:val="en-US"/>
        </w:rPr>
        <w:t>true identity</w:t>
      </w:r>
      <w:proofErr w:type="gramEnd"/>
      <w:r w:rsidRPr="009658C3">
        <w:rPr>
          <w:rFonts w:ascii="Calibri" w:hAnsi="Calibri" w:cs="Calibri"/>
          <w:color w:val="000000" w:themeColor="text1"/>
          <w:lang w:val="en-US"/>
        </w:rPr>
        <w:t xml:space="preserve"> based on transcriptional features, the cell was assigned to the same identity. Conversely, if the predicted fate could be confidently discriminated from the </w:t>
      </w:r>
      <w:proofErr w:type="gramStart"/>
      <w:r w:rsidRPr="009658C3">
        <w:rPr>
          <w:rFonts w:ascii="Calibri" w:hAnsi="Calibri" w:cs="Calibri"/>
          <w:color w:val="000000" w:themeColor="text1"/>
          <w:lang w:val="en-US"/>
        </w:rPr>
        <w:t>true identity</w:t>
      </w:r>
      <w:proofErr w:type="gramEnd"/>
      <w:r w:rsidRPr="009658C3">
        <w:rPr>
          <w:rFonts w:ascii="Calibri" w:hAnsi="Calibri" w:cs="Calibri"/>
          <w:color w:val="000000" w:themeColor="text1"/>
          <w:lang w:val="en-US"/>
        </w:rPr>
        <w:t xml:space="preserve">, we inferred that </w:t>
      </w:r>
      <w:proofErr w:type="spellStart"/>
      <w:r w:rsidRPr="009658C3">
        <w:rPr>
          <w:rStyle w:val="Strong"/>
          <w:rFonts w:ascii="Calibri" w:hAnsi="Calibri" w:cs="Calibri"/>
          <w:color w:val="000000" w:themeColor="text1"/>
          <w:lang w:val="en-US"/>
        </w:rPr>
        <w:t>FIREFate</w:t>
      </w:r>
      <w:proofErr w:type="spellEnd"/>
      <w:r w:rsidRPr="009658C3">
        <w:rPr>
          <w:rFonts w:ascii="Calibri" w:hAnsi="Calibri" w:cs="Calibri"/>
          <w:color w:val="000000" w:themeColor="text1"/>
          <w:lang w:val="en-US"/>
        </w:rPr>
        <w:t xml:space="preserve"> did not specify the cell as belonging to the predicted fate. This framework produced classification loss scores that quantified the predictive confidence of</w:t>
      </w:r>
      <w:r w:rsidRPr="009658C3">
        <w:rPr>
          <w:rStyle w:val="Strong"/>
          <w:rFonts w:ascii="Calibri" w:hAnsi="Calibri" w:cs="Calibri"/>
          <w:color w:val="000000" w:themeColor="text1"/>
          <w:lang w:val="en-US"/>
        </w:rPr>
        <w:t xml:space="preserve"> rollback analysis</w:t>
      </w:r>
      <w:r w:rsidRPr="009658C3">
        <w:rPr>
          <w:rFonts w:ascii="Calibri" w:hAnsi="Calibri" w:cs="Calibri"/>
          <w:color w:val="000000" w:themeColor="text1"/>
          <w:lang w:val="en-US"/>
        </w:rPr>
        <w:t>, thereby enabling evaluation of the model’s performance in capturing early fate bias.</w:t>
      </w:r>
    </w:p>
    <w:p w:rsidRPr="00624F7B" w:rsidR="008515C4" w:rsidP="008515C4" w:rsidRDefault="008515C4" w14:paraId="1CEDDE23" w14:textId="77777777">
      <w:pPr>
        <w:pStyle w:val="Heading3"/>
        <w:jc w:val="both"/>
        <w:rPr>
          <w:rFonts w:asciiTheme="majorHAnsi" w:hAnsiTheme="majorHAnsi" w:cstheme="majorHAnsi"/>
          <w:sz w:val="24"/>
          <w:szCs w:val="24"/>
        </w:rPr>
      </w:pPr>
      <w:r w:rsidRPr="00624F7B">
        <w:rPr>
          <w:rStyle w:val="Strong"/>
          <w:rFonts w:asciiTheme="majorHAnsi" w:hAnsiTheme="majorHAnsi" w:cstheme="majorHAnsi"/>
          <w:color w:val="000000" w:themeColor="text1"/>
          <w:sz w:val="24"/>
          <w:szCs w:val="24"/>
        </w:rPr>
        <w:t>Gene Set Enrichment Analysis Using ESCAPE</w:t>
      </w:r>
    </w:p>
    <w:p w:rsidRPr="009658C3" w:rsidR="008515C4" w:rsidP="008515C4" w:rsidRDefault="008515C4" w14:paraId="6C6FAB4B" w14:textId="77777777">
      <w:pPr>
        <w:jc w:val="both"/>
        <w:rPr>
          <w:rFonts w:ascii="Calibri" w:hAnsi="Calibri" w:cs="Calibri"/>
          <w:color w:val="000000" w:themeColor="text1"/>
          <w:lang w:val="en-US"/>
        </w:rPr>
      </w:pPr>
      <w:r w:rsidRPr="009658C3">
        <w:rPr>
          <w:rFonts w:ascii="Calibri" w:hAnsi="Calibri" w:cs="Calibri"/>
          <w:color w:val="000000" w:themeColor="text1"/>
        </w:rPr>
        <w:t xml:space="preserve">To interrogate transcriptional heterogeneity and quantify the enrichment of gene expression signatures at the single-cell level, we employed the ESCAPE (Enrichment of Single Cell Analysis by Pathway Expression) framework (Borcherding et al., Bioconductor, https://bioconductor.org/packages/escape). ESCAPE is a single-cell gene set enrichment analysis (GSEA) tool specifically designed to leverage the high dimensionality and variability inherent to </w:t>
      </w:r>
      <w:proofErr w:type="spellStart"/>
      <w:r w:rsidRPr="009658C3">
        <w:rPr>
          <w:rFonts w:ascii="Calibri" w:hAnsi="Calibri" w:cs="Calibri"/>
          <w:color w:val="000000" w:themeColor="text1"/>
        </w:rPr>
        <w:t>scRNA</w:t>
      </w:r>
      <w:proofErr w:type="spellEnd"/>
      <w:r w:rsidRPr="009658C3">
        <w:rPr>
          <w:rFonts w:ascii="Calibri" w:hAnsi="Calibri" w:cs="Calibri"/>
          <w:color w:val="000000" w:themeColor="text1"/>
        </w:rPr>
        <w:t>-seq data. By integrating predefined gene sets or custom marker lists, ESCAPE calculates enrichment scores for individual cells, enabling sensitive detection of transcriptional programs and cellular states within heterogeneous populations. In our study, we applied ESCAPE to assess whether the transcriptional profiles of predicted “KO-like” subsets reflected expected lineage biases. Enrichment was calculated using canonical marker genes representative of progenitor-like exhausted T cells (</w:t>
      </w:r>
      <w:proofErr w:type="spellStart"/>
      <w:r w:rsidRPr="009658C3">
        <w:rPr>
          <w:rFonts w:ascii="Calibri" w:hAnsi="Calibri" w:cs="Calibri"/>
          <w:color w:val="000000" w:themeColor="text1"/>
        </w:rPr>
        <w:t>Tpex</w:t>
      </w:r>
      <w:proofErr w:type="spellEnd"/>
      <w:r w:rsidRPr="009658C3">
        <w:rPr>
          <w:rFonts w:ascii="Calibri" w:hAnsi="Calibri" w:cs="Calibri"/>
          <w:color w:val="000000" w:themeColor="text1"/>
        </w:rPr>
        <w:t xml:space="preserve">: </w:t>
      </w:r>
      <w:r w:rsidRPr="009658C3">
        <w:rPr>
          <w:rStyle w:val="Emphasis"/>
          <w:rFonts w:ascii="Calibri" w:hAnsi="Calibri" w:cs="Calibri"/>
          <w:color w:val="000000" w:themeColor="text1"/>
        </w:rPr>
        <w:t xml:space="preserve">Tcf7, Slamf6, </w:t>
      </w:r>
      <w:proofErr w:type="spellStart"/>
      <w:r w:rsidRPr="009658C3">
        <w:rPr>
          <w:rStyle w:val="Emphasis"/>
          <w:rFonts w:ascii="Calibri" w:hAnsi="Calibri" w:cs="Calibri"/>
          <w:color w:val="000000" w:themeColor="text1"/>
        </w:rPr>
        <w:t>Myb</w:t>
      </w:r>
      <w:proofErr w:type="spellEnd"/>
      <w:r w:rsidRPr="009658C3">
        <w:rPr>
          <w:rStyle w:val="Emphasis"/>
          <w:rFonts w:ascii="Calibri" w:hAnsi="Calibri" w:cs="Calibri"/>
          <w:color w:val="000000" w:themeColor="text1"/>
        </w:rPr>
        <w:t>, Sell, Bach2</w:t>
      </w:r>
      <w:r w:rsidRPr="009658C3">
        <w:rPr>
          <w:rFonts w:ascii="Calibri" w:hAnsi="Calibri" w:cs="Calibri"/>
          <w:color w:val="000000" w:themeColor="text1"/>
        </w:rPr>
        <w:t xml:space="preserve">) and terminally exhausted T cells (Tex: </w:t>
      </w:r>
      <w:r w:rsidRPr="009658C3">
        <w:rPr>
          <w:rStyle w:val="Emphasis"/>
          <w:rFonts w:ascii="Calibri" w:hAnsi="Calibri" w:cs="Calibri"/>
          <w:color w:val="000000" w:themeColor="text1"/>
        </w:rPr>
        <w:t xml:space="preserve">Havcr2, Pdcd1, Entpd1, Cd38, Cd244a, Cxcr6, </w:t>
      </w:r>
      <w:proofErr w:type="spellStart"/>
      <w:r w:rsidRPr="009658C3">
        <w:rPr>
          <w:rStyle w:val="Emphasis"/>
          <w:rFonts w:ascii="Calibri" w:hAnsi="Calibri" w:cs="Calibri"/>
          <w:color w:val="000000" w:themeColor="text1"/>
        </w:rPr>
        <w:t>Ifng</w:t>
      </w:r>
      <w:proofErr w:type="spellEnd"/>
      <w:r w:rsidRPr="009658C3">
        <w:rPr>
          <w:rFonts w:ascii="Calibri" w:hAnsi="Calibri" w:cs="Calibri"/>
          <w:color w:val="000000" w:themeColor="text1"/>
        </w:rPr>
        <w:t>). These analyses allowed us to systematically compare enrichment patterns across subsets and gain insights into the differentiation status and functional states of the populations under investigation.</w:t>
      </w:r>
    </w:p>
    <w:p w:rsidRPr="009658C3" w:rsidR="008515C4" w:rsidP="008515C4" w:rsidRDefault="008515C4" w14:paraId="4CC836B0" w14:textId="77777777">
      <w:pPr>
        <w:pStyle w:val="Heading2"/>
        <w:pBdr>
          <w:bottom w:val="single" w:color="auto" w:sz="4" w:space="1"/>
        </w:pBdr>
        <w:jc w:val="both"/>
        <w:rPr>
          <w:rFonts w:ascii="Calibri" w:hAnsi="Calibri" w:cs="Calibri"/>
          <w:b/>
          <w:bCs/>
          <w:color w:val="000000" w:themeColor="text1"/>
          <w:sz w:val="28"/>
          <w:szCs w:val="28"/>
          <w:lang w:val="en-US"/>
        </w:rPr>
      </w:pPr>
      <w:r w:rsidRPr="009658C3">
        <w:rPr>
          <w:rFonts w:ascii="Calibri" w:hAnsi="Calibri" w:cs="Calibri"/>
          <w:b/>
          <w:bCs/>
          <w:color w:val="000000" w:themeColor="text1"/>
          <w:sz w:val="28"/>
          <w:szCs w:val="28"/>
          <w:lang w:val="en-US"/>
        </w:rPr>
        <w:t>REFERENCES</w:t>
      </w:r>
    </w:p>
    <w:p w:rsidRPr="00631694" w:rsidR="00631694" w:rsidP="00631694" w:rsidRDefault="00631694" w14:paraId="4177CA89" w14:textId="32A3F49E">
      <w:pPr>
        <w:pStyle w:val="Bibliography"/>
        <w:rPr>
          <w:lang w:val="en-US"/>
        </w:rPr>
      </w:pPr>
      <w:r w:rsidRPr="00631694">
        <w:rPr>
          <w:lang w:val="en-US"/>
        </w:rPr>
        <w:t>1.</w:t>
      </w:r>
      <w:r w:rsidRPr="00631694">
        <w:rPr>
          <w:lang w:val="en-US"/>
        </w:rPr>
        <w:tab/>
      </w:r>
      <w:r w:rsidRPr="00631694">
        <w:rPr>
          <w:lang w:val="en-US"/>
        </w:rPr>
        <w:t xml:space="preserve">Chen, H., Liu, Z., Shu, Q. &amp; Zhou, B. Cell Fate Determination and Lineage Tracing: Technological Evolution and Multidimensional Applications. </w:t>
      </w:r>
      <w:r w:rsidRPr="00631694">
        <w:rPr>
          <w:i/>
          <w:iCs/>
          <w:lang w:val="en-US"/>
        </w:rPr>
        <w:t>Adv. Sci.</w:t>
      </w:r>
      <w:r w:rsidRPr="00631694">
        <w:rPr>
          <w:lang w:val="en-US"/>
        </w:rPr>
        <w:t xml:space="preserve"> </w:t>
      </w:r>
      <w:r w:rsidRPr="00631694">
        <w:rPr>
          <w:b/>
          <w:bCs/>
          <w:lang w:val="en-US"/>
        </w:rPr>
        <w:t>12</w:t>
      </w:r>
      <w:r w:rsidRPr="00631694">
        <w:rPr>
          <w:lang w:val="en-US"/>
        </w:rPr>
        <w:t>, e07183 (2025).</w:t>
      </w:r>
    </w:p>
    <w:p w:rsidRPr="00631694" w:rsidR="00631694" w:rsidP="00631694" w:rsidRDefault="00631694" w14:paraId="2BA1D0A6" w14:textId="77777777">
      <w:pPr>
        <w:pStyle w:val="Bibliography"/>
        <w:rPr>
          <w:lang w:val="en-US"/>
        </w:rPr>
      </w:pPr>
      <w:r w:rsidRPr="00631694">
        <w:rPr>
          <w:lang w:val="en-US"/>
        </w:rPr>
        <w:t>2.</w:t>
      </w:r>
      <w:r w:rsidRPr="00631694">
        <w:rPr>
          <w:lang w:val="en-US"/>
        </w:rPr>
        <w:tab/>
      </w:r>
      <w:r w:rsidRPr="00631694">
        <w:rPr>
          <w:lang w:val="en-US"/>
        </w:rPr>
        <w:t xml:space="preserve">Moris, N., Pina, C. &amp; Arias, A. M. Transition states and cell fate decisions in epigenetic landscapes. </w:t>
      </w:r>
      <w:r w:rsidRPr="00631694">
        <w:rPr>
          <w:i/>
          <w:iCs/>
          <w:lang w:val="en-US"/>
        </w:rPr>
        <w:t>Nat. Rev. Genet.</w:t>
      </w:r>
      <w:r w:rsidRPr="00631694">
        <w:rPr>
          <w:lang w:val="en-US"/>
        </w:rPr>
        <w:t xml:space="preserve"> </w:t>
      </w:r>
      <w:r w:rsidRPr="00631694">
        <w:rPr>
          <w:b/>
          <w:bCs/>
          <w:lang w:val="en-US"/>
        </w:rPr>
        <w:t>17</w:t>
      </w:r>
      <w:r w:rsidRPr="00631694">
        <w:rPr>
          <w:lang w:val="en-US"/>
        </w:rPr>
        <w:t>, 693–703 (2016).</w:t>
      </w:r>
    </w:p>
    <w:p w:rsidRPr="00631694" w:rsidR="00631694" w:rsidP="00631694" w:rsidRDefault="00631694" w14:paraId="79CE32D6" w14:textId="77777777">
      <w:pPr>
        <w:pStyle w:val="Bibliography"/>
        <w:rPr>
          <w:lang w:val="en-US"/>
        </w:rPr>
      </w:pPr>
      <w:r w:rsidRPr="00631694">
        <w:rPr>
          <w:lang w:val="en-US"/>
        </w:rPr>
        <w:t>3.</w:t>
      </w:r>
      <w:r w:rsidRPr="00631694">
        <w:rPr>
          <w:lang w:val="en-US"/>
        </w:rPr>
        <w:tab/>
      </w:r>
      <w:r w:rsidRPr="00631694">
        <w:rPr>
          <w:lang w:val="en-US"/>
        </w:rPr>
        <w:t xml:space="preserve">Victora, G. D. &amp; Nussenzweig, M. C. Germinal Centers. </w:t>
      </w:r>
      <w:r w:rsidRPr="00631694">
        <w:rPr>
          <w:i/>
          <w:iCs/>
          <w:lang w:val="en-US"/>
        </w:rPr>
        <w:t>Annu. Rev. Immunol.</w:t>
      </w:r>
      <w:r w:rsidRPr="00631694">
        <w:rPr>
          <w:lang w:val="en-US"/>
        </w:rPr>
        <w:t xml:space="preserve"> </w:t>
      </w:r>
      <w:r w:rsidRPr="00631694">
        <w:rPr>
          <w:b/>
          <w:bCs/>
          <w:lang w:val="en-US"/>
        </w:rPr>
        <w:t>40</w:t>
      </w:r>
      <w:r w:rsidRPr="00631694">
        <w:rPr>
          <w:lang w:val="en-US"/>
        </w:rPr>
        <w:t>, 413–442 (2022).</w:t>
      </w:r>
    </w:p>
    <w:p w:rsidRPr="00631694" w:rsidR="00631694" w:rsidP="00631694" w:rsidRDefault="00631694" w14:paraId="76814755" w14:textId="77777777">
      <w:pPr>
        <w:pStyle w:val="Bibliography"/>
        <w:rPr>
          <w:lang w:val="en-US"/>
        </w:rPr>
      </w:pPr>
      <w:r w:rsidRPr="00631694">
        <w:rPr>
          <w:lang w:val="en-US"/>
        </w:rPr>
        <w:t>4.</w:t>
      </w:r>
      <w:r w:rsidRPr="00631694">
        <w:rPr>
          <w:lang w:val="en-US"/>
        </w:rPr>
        <w:tab/>
      </w:r>
      <w:r w:rsidRPr="00631694">
        <w:rPr>
          <w:lang w:val="en-US"/>
        </w:rPr>
        <w:t xml:space="preserve">Sciammas, R. </w:t>
      </w:r>
      <w:r w:rsidRPr="00631694">
        <w:rPr>
          <w:i/>
          <w:iCs/>
          <w:lang w:val="en-US"/>
        </w:rPr>
        <w:t>et al.</w:t>
      </w:r>
      <w:r w:rsidRPr="00631694">
        <w:rPr>
          <w:lang w:val="en-US"/>
        </w:rPr>
        <w:t xml:space="preserve"> An incoherent regulatory network architecture that orchestrates B cell diversification in response to antigen signaling. </w:t>
      </w:r>
      <w:r w:rsidRPr="00631694">
        <w:rPr>
          <w:i/>
          <w:iCs/>
          <w:lang w:val="en-US"/>
        </w:rPr>
        <w:t>Mol. Syst. Biol.</w:t>
      </w:r>
      <w:r w:rsidRPr="00631694">
        <w:rPr>
          <w:lang w:val="en-US"/>
        </w:rPr>
        <w:t xml:space="preserve"> </w:t>
      </w:r>
      <w:r w:rsidRPr="00631694">
        <w:rPr>
          <w:b/>
          <w:bCs/>
          <w:lang w:val="en-US"/>
        </w:rPr>
        <w:t>7</w:t>
      </w:r>
      <w:r w:rsidRPr="00631694">
        <w:rPr>
          <w:lang w:val="en-US"/>
        </w:rPr>
        <w:t>, 495 (2011).</w:t>
      </w:r>
    </w:p>
    <w:p w:rsidRPr="00631694" w:rsidR="00631694" w:rsidP="00631694" w:rsidRDefault="00631694" w14:paraId="589A7101" w14:textId="77777777">
      <w:pPr>
        <w:pStyle w:val="Bibliography"/>
        <w:rPr>
          <w:lang w:val="en-US"/>
        </w:rPr>
      </w:pPr>
      <w:r w:rsidRPr="00631694">
        <w:rPr>
          <w:lang w:val="en-US"/>
        </w:rPr>
        <w:t>5.</w:t>
      </w:r>
      <w:r w:rsidRPr="00631694">
        <w:rPr>
          <w:lang w:val="en-US"/>
        </w:rPr>
        <w:tab/>
      </w:r>
      <w:r w:rsidRPr="00631694">
        <w:rPr>
          <w:lang w:val="en-US"/>
        </w:rPr>
        <w:t xml:space="preserve">Laslo, P. </w:t>
      </w:r>
      <w:r w:rsidRPr="00631694">
        <w:rPr>
          <w:i/>
          <w:iCs/>
          <w:lang w:val="en-US"/>
        </w:rPr>
        <w:t>et al.</w:t>
      </w:r>
      <w:r w:rsidRPr="00631694">
        <w:rPr>
          <w:lang w:val="en-US"/>
        </w:rPr>
        <w:t xml:space="preserve"> Multilineage Transcriptional Priming and Determination of Alternate Hematopoietic Cell Fates. </w:t>
      </w:r>
      <w:r w:rsidRPr="00631694">
        <w:rPr>
          <w:i/>
          <w:iCs/>
          <w:lang w:val="en-US"/>
        </w:rPr>
        <w:t>Cell</w:t>
      </w:r>
      <w:r w:rsidRPr="00631694">
        <w:rPr>
          <w:lang w:val="en-US"/>
        </w:rPr>
        <w:t xml:space="preserve"> </w:t>
      </w:r>
      <w:r w:rsidRPr="00631694">
        <w:rPr>
          <w:b/>
          <w:bCs/>
          <w:lang w:val="en-US"/>
        </w:rPr>
        <w:t>126</w:t>
      </w:r>
      <w:r w:rsidRPr="00631694">
        <w:rPr>
          <w:lang w:val="en-US"/>
        </w:rPr>
        <w:t>, 755–766 (2006).</w:t>
      </w:r>
    </w:p>
    <w:p w:rsidRPr="00631694" w:rsidR="00631694" w:rsidP="00631694" w:rsidRDefault="00631694" w14:paraId="37EE0735" w14:textId="77777777">
      <w:pPr>
        <w:pStyle w:val="Bibliography"/>
        <w:rPr>
          <w:lang w:val="en-US"/>
        </w:rPr>
      </w:pPr>
      <w:r w:rsidRPr="00631694">
        <w:rPr>
          <w:lang w:val="en-US"/>
        </w:rPr>
        <w:t>6.</w:t>
      </w:r>
      <w:r w:rsidRPr="00631694">
        <w:rPr>
          <w:lang w:val="en-US"/>
        </w:rPr>
        <w:tab/>
      </w:r>
      <w:r w:rsidRPr="00631694">
        <w:rPr>
          <w:lang w:val="en-US"/>
        </w:rPr>
        <w:t xml:space="preserve">Singh, H., Medina, K. L. &amp; Pongubala, J. M. R. Contingent gene regulatory networks and B cell fate specification. </w:t>
      </w:r>
      <w:r w:rsidRPr="00631694">
        <w:rPr>
          <w:i/>
          <w:iCs/>
          <w:lang w:val="en-US"/>
        </w:rPr>
        <w:t>Proc. Natl. Acad. Sci.</w:t>
      </w:r>
      <w:r w:rsidRPr="00631694">
        <w:rPr>
          <w:lang w:val="en-US"/>
        </w:rPr>
        <w:t xml:space="preserve"> </w:t>
      </w:r>
      <w:r w:rsidRPr="00631694">
        <w:rPr>
          <w:b/>
          <w:bCs/>
          <w:lang w:val="en-US"/>
        </w:rPr>
        <w:t>102</w:t>
      </w:r>
      <w:r w:rsidRPr="00631694">
        <w:rPr>
          <w:lang w:val="en-US"/>
        </w:rPr>
        <w:t>, 4949–4953 (2005).</w:t>
      </w:r>
    </w:p>
    <w:p w:rsidRPr="00631694" w:rsidR="00631694" w:rsidP="00631694" w:rsidRDefault="00631694" w14:paraId="41975FE9" w14:textId="77777777">
      <w:pPr>
        <w:pStyle w:val="Bibliography"/>
        <w:rPr>
          <w:lang w:val="en-US"/>
        </w:rPr>
      </w:pPr>
      <w:r w:rsidRPr="00631694">
        <w:rPr>
          <w:lang w:val="en-US"/>
        </w:rPr>
        <w:t>7.</w:t>
      </w:r>
      <w:r w:rsidRPr="00631694">
        <w:rPr>
          <w:lang w:val="en-US"/>
        </w:rPr>
        <w:tab/>
      </w:r>
      <w:r w:rsidRPr="00631694">
        <w:rPr>
          <w:lang w:val="en-US"/>
        </w:rPr>
        <w:t>Kingma, D. P. &amp; Welling, M. Auto-Encoding Variational Bayes. Preprint at https://doi.org/10.48550/ARXIV.1312.6114 (2013).</w:t>
      </w:r>
    </w:p>
    <w:p w:rsidRPr="00631694" w:rsidR="00631694" w:rsidP="00631694" w:rsidRDefault="00631694" w14:paraId="67473772" w14:textId="77777777">
      <w:pPr>
        <w:pStyle w:val="Bibliography"/>
        <w:rPr>
          <w:lang w:val="en-US"/>
        </w:rPr>
      </w:pPr>
      <w:r w:rsidRPr="00631694">
        <w:rPr>
          <w:lang w:val="en-US"/>
        </w:rPr>
        <w:t>8.</w:t>
      </w:r>
      <w:r w:rsidRPr="00631694">
        <w:rPr>
          <w:lang w:val="en-US"/>
        </w:rPr>
        <w:tab/>
      </w:r>
      <w:r w:rsidRPr="00631694">
        <w:rPr>
          <w:lang w:val="en-US"/>
        </w:rPr>
        <w:t xml:space="preserve">Huang, C. Y. &amp; Ferrell, J. E. Ultrasensitivity in the mitogen-activated protein kinase cascade. </w:t>
      </w:r>
      <w:r w:rsidRPr="00631694">
        <w:rPr>
          <w:i/>
          <w:iCs/>
          <w:lang w:val="en-US"/>
        </w:rPr>
        <w:t>Proc. Natl. Acad. Sci.</w:t>
      </w:r>
      <w:r w:rsidRPr="00631694">
        <w:rPr>
          <w:lang w:val="en-US"/>
        </w:rPr>
        <w:t xml:space="preserve"> </w:t>
      </w:r>
      <w:r w:rsidRPr="00631694">
        <w:rPr>
          <w:b/>
          <w:bCs/>
          <w:lang w:val="en-US"/>
        </w:rPr>
        <w:t>93</w:t>
      </w:r>
      <w:r w:rsidRPr="00631694">
        <w:rPr>
          <w:lang w:val="en-US"/>
        </w:rPr>
        <w:t>, 10078–10083 (1996).</w:t>
      </w:r>
    </w:p>
    <w:p w:rsidRPr="00631694" w:rsidR="00631694" w:rsidP="00631694" w:rsidRDefault="00631694" w14:paraId="32270D65" w14:textId="77777777">
      <w:pPr>
        <w:pStyle w:val="Bibliography"/>
        <w:rPr>
          <w:lang w:val="en-US"/>
        </w:rPr>
      </w:pPr>
      <w:r w:rsidRPr="00631694">
        <w:rPr>
          <w:lang w:val="en-US"/>
        </w:rPr>
        <w:t>9.</w:t>
      </w:r>
      <w:r w:rsidRPr="00631694">
        <w:rPr>
          <w:lang w:val="en-US"/>
        </w:rPr>
        <w:tab/>
      </w:r>
      <w:r w:rsidRPr="00631694">
        <w:rPr>
          <w:lang w:val="en-US"/>
        </w:rPr>
        <w:t xml:space="preserve">Tyson, J. J. Modeling the cell division cycle: cdc2 and cyclin interactions. </w:t>
      </w:r>
      <w:r w:rsidRPr="00631694">
        <w:rPr>
          <w:i/>
          <w:iCs/>
          <w:lang w:val="en-US"/>
        </w:rPr>
        <w:t>Proc. Natl. Acad. Sci.</w:t>
      </w:r>
      <w:r w:rsidRPr="00631694">
        <w:rPr>
          <w:lang w:val="en-US"/>
        </w:rPr>
        <w:t xml:space="preserve"> </w:t>
      </w:r>
      <w:r w:rsidRPr="00631694">
        <w:rPr>
          <w:b/>
          <w:bCs/>
          <w:lang w:val="en-US"/>
        </w:rPr>
        <w:t>88</w:t>
      </w:r>
      <w:r w:rsidRPr="00631694">
        <w:rPr>
          <w:lang w:val="en-US"/>
        </w:rPr>
        <w:t>, 7328–7332 (1991).</w:t>
      </w:r>
    </w:p>
    <w:p w:rsidRPr="00631694" w:rsidR="00631694" w:rsidP="00631694" w:rsidRDefault="00631694" w14:paraId="1F39B4A2" w14:textId="77777777">
      <w:pPr>
        <w:pStyle w:val="Bibliography"/>
        <w:rPr>
          <w:lang w:val="en-US"/>
        </w:rPr>
      </w:pPr>
      <w:r w:rsidRPr="00631694">
        <w:rPr>
          <w:lang w:val="en-US"/>
        </w:rPr>
        <w:t>10.</w:t>
      </w:r>
      <w:r w:rsidRPr="00631694">
        <w:rPr>
          <w:lang w:val="en-US"/>
        </w:rPr>
        <w:tab/>
      </w:r>
      <w:r w:rsidRPr="00631694">
        <w:rPr>
          <w:lang w:val="en-US"/>
        </w:rPr>
        <w:t xml:space="preserve">Brigandt, I. Systems biology and the integration of mechanistic explanation and mathematical explanation. </w:t>
      </w:r>
      <w:r w:rsidRPr="00631694">
        <w:rPr>
          <w:i/>
          <w:iCs/>
          <w:lang w:val="en-US"/>
        </w:rPr>
        <w:t>Stud. Hist. Philos. Sci. Part C Stud. Hist. Philos. Biol. Biomed. Sci.</w:t>
      </w:r>
      <w:r w:rsidRPr="00631694">
        <w:rPr>
          <w:lang w:val="en-US"/>
        </w:rPr>
        <w:t xml:space="preserve"> </w:t>
      </w:r>
      <w:r w:rsidRPr="00631694">
        <w:rPr>
          <w:b/>
          <w:bCs/>
          <w:lang w:val="en-US"/>
        </w:rPr>
        <w:t>44</w:t>
      </w:r>
      <w:r w:rsidRPr="00631694">
        <w:rPr>
          <w:lang w:val="en-US"/>
        </w:rPr>
        <w:t>, 477–492 (2013).</w:t>
      </w:r>
    </w:p>
    <w:p w:rsidRPr="00631694" w:rsidR="00631694" w:rsidP="00631694" w:rsidRDefault="00631694" w14:paraId="03D375A2" w14:textId="77777777">
      <w:pPr>
        <w:pStyle w:val="Bibliography"/>
        <w:rPr>
          <w:lang w:val="en-US"/>
        </w:rPr>
      </w:pPr>
      <w:r w:rsidRPr="00631694">
        <w:rPr>
          <w:lang w:val="en-US"/>
        </w:rPr>
        <w:t>11.</w:t>
      </w:r>
      <w:r w:rsidRPr="00631694">
        <w:rPr>
          <w:lang w:val="en-US"/>
        </w:rPr>
        <w:tab/>
      </w:r>
      <w:r w:rsidRPr="00631694">
        <w:rPr>
          <w:lang w:val="en-US"/>
        </w:rPr>
        <w:t xml:space="preserve">Kehrer, K., Weiser, M. &amp; Conrad, T. Hybrid PDE–ODE models for efficient simulation of infection spread in epidemiology. </w:t>
      </w:r>
      <w:r w:rsidRPr="00631694">
        <w:rPr>
          <w:i/>
          <w:iCs/>
          <w:lang w:val="en-US"/>
        </w:rPr>
        <w:t>Proc. R. Soc. Math. Phys. Eng. Sci.</w:t>
      </w:r>
      <w:r w:rsidRPr="00631694">
        <w:rPr>
          <w:lang w:val="en-US"/>
        </w:rPr>
        <w:t xml:space="preserve"> </w:t>
      </w:r>
      <w:r w:rsidRPr="00631694">
        <w:rPr>
          <w:b/>
          <w:bCs/>
          <w:lang w:val="en-US"/>
        </w:rPr>
        <w:t>481</w:t>
      </w:r>
      <w:r w:rsidRPr="00631694">
        <w:rPr>
          <w:lang w:val="en-US"/>
        </w:rPr>
        <w:t>, 20240421 (2025).</w:t>
      </w:r>
    </w:p>
    <w:p w:rsidRPr="00631694" w:rsidR="00631694" w:rsidP="00631694" w:rsidRDefault="00631694" w14:paraId="625485F7" w14:textId="77777777">
      <w:pPr>
        <w:pStyle w:val="Bibliography"/>
        <w:rPr>
          <w:lang w:val="en-US"/>
        </w:rPr>
      </w:pPr>
      <w:r w:rsidRPr="00631694">
        <w:rPr>
          <w:lang w:val="en-US"/>
        </w:rPr>
        <w:t>12.</w:t>
      </w:r>
      <w:r w:rsidRPr="00631694">
        <w:rPr>
          <w:lang w:val="en-US"/>
        </w:rPr>
        <w:tab/>
      </w:r>
      <w:r w:rsidRPr="00631694">
        <w:rPr>
          <w:lang w:val="en-US"/>
        </w:rPr>
        <w:t xml:space="preserve">Maus, C., Rybacki, S. &amp; Uhrmacher, A. M. Rule-based multi-level modeling of cell biological systems. </w:t>
      </w:r>
      <w:r w:rsidRPr="00631694">
        <w:rPr>
          <w:i/>
          <w:iCs/>
          <w:lang w:val="en-US"/>
        </w:rPr>
        <w:t>BMC Syst. Biol.</w:t>
      </w:r>
      <w:r w:rsidRPr="00631694">
        <w:rPr>
          <w:lang w:val="en-US"/>
        </w:rPr>
        <w:t xml:space="preserve"> </w:t>
      </w:r>
      <w:r w:rsidRPr="00631694">
        <w:rPr>
          <w:b/>
          <w:bCs/>
          <w:lang w:val="en-US"/>
        </w:rPr>
        <w:t>5</w:t>
      </w:r>
      <w:r w:rsidRPr="00631694">
        <w:rPr>
          <w:lang w:val="en-US"/>
        </w:rPr>
        <w:t>, 166 (2011).</w:t>
      </w:r>
    </w:p>
    <w:p w:rsidRPr="00631694" w:rsidR="00631694" w:rsidP="00631694" w:rsidRDefault="00631694" w14:paraId="5FA444D2" w14:textId="77777777">
      <w:pPr>
        <w:pStyle w:val="Bibliography"/>
        <w:rPr>
          <w:lang w:val="en-US"/>
        </w:rPr>
      </w:pPr>
      <w:r w:rsidRPr="00631694">
        <w:rPr>
          <w:lang w:val="en-US"/>
        </w:rPr>
        <w:t>13.</w:t>
      </w:r>
      <w:r w:rsidRPr="00631694">
        <w:rPr>
          <w:lang w:val="en-US"/>
        </w:rPr>
        <w:tab/>
      </w:r>
      <w:r w:rsidRPr="00631694">
        <w:rPr>
          <w:lang w:val="en-US"/>
        </w:rPr>
        <w:t xml:space="preserve">Chylek, L. A. </w:t>
      </w:r>
      <w:r w:rsidRPr="00631694">
        <w:rPr>
          <w:i/>
          <w:iCs/>
          <w:lang w:val="en-US"/>
        </w:rPr>
        <w:t>et al.</w:t>
      </w:r>
      <w:r w:rsidRPr="00631694">
        <w:rPr>
          <w:lang w:val="en-US"/>
        </w:rPr>
        <w:t xml:space="preserve"> Rule</w:t>
      </w:r>
      <w:r w:rsidRPr="00631694">
        <w:rPr>
          <w:rFonts w:ascii="Cambria Math" w:hAnsi="Cambria Math" w:cs="Cambria Math"/>
          <w:lang w:val="en-US"/>
        </w:rPr>
        <w:t>‐</w:t>
      </w:r>
      <w:r w:rsidRPr="00631694">
        <w:rPr>
          <w:lang w:val="en-US"/>
        </w:rPr>
        <w:t xml:space="preserve">based modeling: a computational approach for studying biomolecular site dynamics in cell signaling systems. </w:t>
      </w:r>
      <w:r w:rsidRPr="00631694">
        <w:rPr>
          <w:i/>
          <w:iCs/>
          <w:lang w:val="en-US"/>
        </w:rPr>
        <w:t>WIREs Syst. Biol. Med.</w:t>
      </w:r>
      <w:r w:rsidRPr="00631694">
        <w:rPr>
          <w:lang w:val="en-US"/>
        </w:rPr>
        <w:t xml:space="preserve"> </w:t>
      </w:r>
      <w:r w:rsidRPr="00631694">
        <w:rPr>
          <w:b/>
          <w:bCs/>
          <w:lang w:val="en-US"/>
        </w:rPr>
        <w:t>6</w:t>
      </w:r>
      <w:r w:rsidRPr="00631694">
        <w:rPr>
          <w:lang w:val="en-US"/>
        </w:rPr>
        <w:t>, 13–36 (2014).</w:t>
      </w:r>
    </w:p>
    <w:p w:rsidRPr="00631694" w:rsidR="00631694" w:rsidP="00631694" w:rsidRDefault="00631694" w14:paraId="3BF1224D" w14:textId="77777777">
      <w:pPr>
        <w:pStyle w:val="Bibliography"/>
        <w:rPr>
          <w:lang w:val="en-US"/>
        </w:rPr>
      </w:pPr>
      <w:r w:rsidRPr="00631694">
        <w:rPr>
          <w:lang w:val="en-US"/>
        </w:rPr>
        <w:t>14.</w:t>
      </w:r>
      <w:r w:rsidRPr="00631694">
        <w:rPr>
          <w:lang w:val="en-US"/>
        </w:rPr>
        <w:tab/>
      </w:r>
      <w:r w:rsidRPr="00631694">
        <w:rPr>
          <w:lang w:val="en-US"/>
        </w:rPr>
        <w:t>An, G., Mi, Q., Dutta</w:t>
      </w:r>
      <w:r w:rsidRPr="00631694">
        <w:rPr>
          <w:rFonts w:ascii="Cambria Math" w:hAnsi="Cambria Math" w:cs="Cambria Math"/>
          <w:lang w:val="en-US"/>
        </w:rPr>
        <w:t>‐</w:t>
      </w:r>
      <w:r w:rsidRPr="00631694">
        <w:rPr>
          <w:lang w:val="en-US"/>
        </w:rPr>
        <w:t>Moscato, J. &amp; Vodovotz, Y. Agent</w:t>
      </w:r>
      <w:r w:rsidRPr="00631694">
        <w:rPr>
          <w:rFonts w:ascii="Cambria Math" w:hAnsi="Cambria Math" w:cs="Cambria Math"/>
          <w:lang w:val="en-US"/>
        </w:rPr>
        <w:t>‐</w:t>
      </w:r>
      <w:r w:rsidRPr="00631694">
        <w:rPr>
          <w:lang w:val="en-US"/>
        </w:rPr>
        <w:t xml:space="preserve">based models in translational systems biology. </w:t>
      </w:r>
      <w:r w:rsidRPr="00631694">
        <w:rPr>
          <w:i/>
          <w:iCs/>
          <w:lang w:val="en-US"/>
        </w:rPr>
        <w:t>WIREs Syst. Biol. Med.</w:t>
      </w:r>
      <w:r w:rsidRPr="00631694">
        <w:rPr>
          <w:lang w:val="en-US"/>
        </w:rPr>
        <w:t xml:space="preserve"> </w:t>
      </w:r>
      <w:r w:rsidRPr="00631694">
        <w:rPr>
          <w:b/>
          <w:bCs/>
          <w:lang w:val="en-US"/>
        </w:rPr>
        <w:t>1</w:t>
      </w:r>
      <w:r w:rsidRPr="00631694">
        <w:rPr>
          <w:lang w:val="en-US"/>
        </w:rPr>
        <w:t>, 159–171 (2009).</w:t>
      </w:r>
    </w:p>
    <w:p w:rsidRPr="00631694" w:rsidR="00631694" w:rsidP="00631694" w:rsidRDefault="00631694" w14:paraId="2CBDC109" w14:textId="77777777">
      <w:pPr>
        <w:pStyle w:val="Bibliography"/>
        <w:rPr>
          <w:lang w:val="en-US"/>
        </w:rPr>
      </w:pPr>
      <w:r w:rsidRPr="00631694">
        <w:rPr>
          <w:lang w:val="en-US"/>
        </w:rPr>
        <w:t>15.</w:t>
      </w:r>
      <w:r w:rsidRPr="00631694">
        <w:rPr>
          <w:lang w:val="en-US"/>
        </w:rPr>
        <w:tab/>
      </w:r>
      <w:r w:rsidRPr="00631694">
        <w:rPr>
          <w:lang w:val="en-US"/>
        </w:rPr>
        <w:t>Soheilypour, M. &amp; Mofrad, M. R. K. Agent</w:t>
      </w:r>
      <w:r w:rsidRPr="00631694">
        <w:rPr>
          <w:rFonts w:ascii="Cambria Math" w:hAnsi="Cambria Math" w:cs="Cambria Math"/>
          <w:lang w:val="en-US"/>
        </w:rPr>
        <w:t>‐</w:t>
      </w:r>
      <w:r w:rsidRPr="00631694">
        <w:rPr>
          <w:lang w:val="en-US"/>
        </w:rPr>
        <w:t xml:space="preserve">Based Modeling in Molecular Systems Biology. </w:t>
      </w:r>
      <w:r w:rsidRPr="00631694">
        <w:rPr>
          <w:i/>
          <w:iCs/>
          <w:lang w:val="en-US"/>
        </w:rPr>
        <w:t>BioEssays</w:t>
      </w:r>
      <w:r w:rsidRPr="00631694">
        <w:rPr>
          <w:lang w:val="en-US"/>
        </w:rPr>
        <w:t xml:space="preserve"> </w:t>
      </w:r>
      <w:r w:rsidRPr="00631694">
        <w:rPr>
          <w:b/>
          <w:bCs/>
          <w:lang w:val="en-US"/>
        </w:rPr>
        <w:t>40</w:t>
      </w:r>
      <w:r w:rsidRPr="00631694">
        <w:rPr>
          <w:lang w:val="en-US"/>
        </w:rPr>
        <w:t>, 1800020 (2018).</w:t>
      </w:r>
    </w:p>
    <w:p w:rsidRPr="00631694" w:rsidR="00631694" w:rsidP="00631694" w:rsidRDefault="00631694" w14:paraId="06A340AD" w14:textId="77777777">
      <w:pPr>
        <w:pStyle w:val="Bibliography"/>
        <w:rPr>
          <w:lang w:val="en-US"/>
        </w:rPr>
      </w:pPr>
      <w:r w:rsidRPr="00631694">
        <w:rPr>
          <w:lang w:val="en-US"/>
        </w:rPr>
        <w:t>16.</w:t>
      </w:r>
      <w:r w:rsidRPr="00631694">
        <w:rPr>
          <w:lang w:val="en-US"/>
        </w:rPr>
        <w:tab/>
      </w:r>
      <w:r w:rsidRPr="00631694">
        <w:rPr>
          <w:lang w:val="en-US"/>
        </w:rPr>
        <w:t xml:space="preserve">Johnson, J. A. I. </w:t>
      </w:r>
      <w:r w:rsidRPr="00631694">
        <w:rPr>
          <w:i/>
          <w:iCs/>
          <w:lang w:val="en-US"/>
        </w:rPr>
        <w:t>et al.</w:t>
      </w:r>
      <w:r w:rsidRPr="00631694">
        <w:rPr>
          <w:lang w:val="en-US"/>
        </w:rPr>
        <w:t xml:space="preserve"> Human interpretable grammar encodes multicellular systems biology models to democratize virtual cell laboratories. </w:t>
      </w:r>
      <w:r w:rsidRPr="00631694">
        <w:rPr>
          <w:i/>
          <w:iCs/>
          <w:lang w:val="en-US"/>
        </w:rPr>
        <w:t>Cell</w:t>
      </w:r>
      <w:r w:rsidRPr="00631694">
        <w:rPr>
          <w:lang w:val="en-US"/>
        </w:rPr>
        <w:t xml:space="preserve"> </w:t>
      </w:r>
      <w:r w:rsidRPr="00631694">
        <w:rPr>
          <w:b/>
          <w:bCs/>
          <w:lang w:val="en-US"/>
        </w:rPr>
        <w:t>188</w:t>
      </w:r>
      <w:r w:rsidRPr="00631694">
        <w:rPr>
          <w:lang w:val="en-US"/>
        </w:rPr>
        <w:t>, 4711-4733.e37 (2025).</w:t>
      </w:r>
    </w:p>
    <w:p w:rsidRPr="00631694" w:rsidR="00631694" w:rsidP="00631694" w:rsidRDefault="00631694" w14:paraId="3FF4EE7C" w14:textId="77777777">
      <w:pPr>
        <w:pStyle w:val="Bibliography"/>
        <w:rPr>
          <w:lang w:val="en-US"/>
        </w:rPr>
      </w:pPr>
      <w:r w:rsidRPr="00631694">
        <w:rPr>
          <w:lang w:val="en-US"/>
        </w:rPr>
        <w:t>17.</w:t>
      </w:r>
      <w:r w:rsidRPr="00631694">
        <w:rPr>
          <w:lang w:val="en-US"/>
        </w:rPr>
        <w:tab/>
      </w:r>
      <w:r w:rsidRPr="00631694">
        <w:rPr>
          <w:lang w:val="en-US"/>
        </w:rPr>
        <w:t xml:space="preserve">Kamimoto, K. </w:t>
      </w:r>
      <w:r w:rsidRPr="00631694">
        <w:rPr>
          <w:i/>
          <w:iCs/>
          <w:lang w:val="en-US"/>
        </w:rPr>
        <w:t>et al.</w:t>
      </w:r>
      <w:r w:rsidRPr="00631694">
        <w:rPr>
          <w:lang w:val="en-US"/>
        </w:rPr>
        <w:t xml:space="preserve"> Dissecting cell identity via network inference and in silico gene perturbation. </w:t>
      </w:r>
      <w:r w:rsidRPr="00631694">
        <w:rPr>
          <w:i/>
          <w:iCs/>
          <w:lang w:val="en-US"/>
        </w:rPr>
        <w:t>Nature</w:t>
      </w:r>
      <w:r w:rsidRPr="00631694">
        <w:rPr>
          <w:lang w:val="en-US"/>
        </w:rPr>
        <w:t xml:space="preserve"> </w:t>
      </w:r>
      <w:r w:rsidRPr="00631694">
        <w:rPr>
          <w:b/>
          <w:bCs/>
          <w:lang w:val="en-US"/>
        </w:rPr>
        <w:t>614</w:t>
      </w:r>
      <w:r w:rsidRPr="00631694">
        <w:rPr>
          <w:lang w:val="en-US"/>
        </w:rPr>
        <w:t>, 742–751 (2023).</w:t>
      </w:r>
    </w:p>
    <w:p w:rsidRPr="00631694" w:rsidR="00631694" w:rsidP="00631694" w:rsidRDefault="00631694" w14:paraId="326DE962" w14:textId="77777777">
      <w:pPr>
        <w:pStyle w:val="Bibliography"/>
        <w:rPr>
          <w:lang w:val="en-US"/>
        </w:rPr>
      </w:pPr>
      <w:r w:rsidRPr="00631694">
        <w:rPr>
          <w:lang w:val="en-US"/>
        </w:rPr>
        <w:t>18.</w:t>
      </w:r>
      <w:r w:rsidRPr="00631694">
        <w:rPr>
          <w:lang w:val="en-US"/>
        </w:rPr>
        <w:tab/>
      </w:r>
      <w:r w:rsidRPr="00631694">
        <w:rPr>
          <w:lang w:val="en-US"/>
        </w:rPr>
        <w:t xml:space="preserve">Wang, L. </w:t>
      </w:r>
      <w:r w:rsidRPr="00631694">
        <w:rPr>
          <w:i/>
          <w:iCs/>
          <w:lang w:val="en-US"/>
        </w:rPr>
        <w:t>et al.</w:t>
      </w:r>
      <w:r w:rsidRPr="00631694">
        <w:rPr>
          <w:lang w:val="en-US"/>
        </w:rPr>
        <w:t xml:space="preserve"> Dictys: dynamic gene regulatory network dissects developmental continuum with single-cell multiomics. </w:t>
      </w:r>
      <w:r w:rsidRPr="00631694">
        <w:rPr>
          <w:i/>
          <w:iCs/>
          <w:lang w:val="en-US"/>
        </w:rPr>
        <w:t>Nat. Methods</w:t>
      </w:r>
      <w:r w:rsidRPr="00631694">
        <w:rPr>
          <w:lang w:val="en-US"/>
        </w:rPr>
        <w:t xml:space="preserve"> </w:t>
      </w:r>
      <w:r w:rsidRPr="00631694">
        <w:rPr>
          <w:b/>
          <w:bCs/>
          <w:lang w:val="en-US"/>
        </w:rPr>
        <w:t>20</w:t>
      </w:r>
      <w:r w:rsidRPr="00631694">
        <w:rPr>
          <w:lang w:val="en-US"/>
        </w:rPr>
        <w:t>, 1368–1378 (2023).</w:t>
      </w:r>
    </w:p>
    <w:p w:rsidRPr="00631694" w:rsidR="00631694" w:rsidP="00631694" w:rsidRDefault="00631694" w14:paraId="3D9F2261" w14:textId="77777777">
      <w:pPr>
        <w:pStyle w:val="Bibliography"/>
        <w:rPr>
          <w:lang w:val="en-US"/>
        </w:rPr>
      </w:pPr>
      <w:r w:rsidRPr="00631694">
        <w:rPr>
          <w:lang w:val="en-US"/>
        </w:rPr>
        <w:t>19.</w:t>
      </w:r>
      <w:r w:rsidRPr="00631694">
        <w:rPr>
          <w:lang w:val="en-US"/>
        </w:rPr>
        <w:tab/>
      </w:r>
      <w:r w:rsidRPr="00631694">
        <w:rPr>
          <w:lang w:val="en-US"/>
        </w:rPr>
        <w:t xml:space="preserve">Bravo González-Blas, C. </w:t>
      </w:r>
      <w:r w:rsidRPr="00631694">
        <w:rPr>
          <w:i/>
          <w:iCs/>
          <w:lang w:val="en-US"/>
        </w:rPr>
        <w:t>et al.</w:t>
      </w:r>
      <w:r w:rsidRPr="00631694">
        <w:rPr>
          <w:lang w:val="en-US"/>
        </w:rPr>
        <w:t xml:space="preserve"> SCENIC+: single-cell multiomic inference of enhancers and gene regulatory networks. </w:t>
      </w:r>
      <w:r w:rsidRPr="00631694">
        <w:rPr>
          <w:i/>
          <w:iCs/>
          <w:lang w:val="en-US"/>
        </w:rPr>
        <w:t>Nat. Methods</w:t>
      </w:r>
      <w:r w:rsidRPr="00631694">
        <w:rPr>
          <w:lang w:val="en-US"/>
        </w:rPr>
        <w:t xml:space="preserve"> </w:t>
      </w:r>
      <w:r w:rsidRPr="00631694">
        <w:rPr>
          <w:b/>
          <w:bCs/>
          <w:lang w:val="en-US"/>
        </w:rPr>
        <w:t>20</w:t>
      </w:r>
      <w:r w:rsidRPr="00631694">
        <w:rPr>
          <w:lang w:val="en-US"/>
        </w:rPr>
        <w:t>, 1355–1367 (2023).</w:t>
      </w:r>
    </w:p>
    <w:p w:rsidRPr="00631694" w:rsidR="00631694" w:rsidP="00631694" w:rsidRDefault="00631694" w14:paraId="1CF6AB8C" w14:textId="77777777">
      <w:pPr>
        <w:pStyle w:val="Bibliography"/>
        <w:rPr>
          <w:lang w:val="en-US"/>
        </w:rPr>
      </w:pPr>
      <w:r w:rsidRPr="00631694">
        <w:rPr>
          <w:lang w:val="en-US"/>
        </w:rPr>
        <w:t>20.</w:t>
      </w:r>
      <w:r w:rsidRPr="00631694">
        <w:rPr>
          <w:lang w:val="en-US"/>
        </w:rPr>
        <w:tab/>
      </w:r>
      <w:r w:rsidRPr="00631694">
        <w:rPr>
          <w:lang w:val="en-US"/>
        </w:rPr>
        <w:t xml:space="preserve">Zhang, J. </w:t>
      </w:r>
      <w:r w:rsidRPr="00631694">
        <w:rPr>
          <w:i/>
          <w:iCs/>
          <w:lang w:val="en-US"/>
        </w:rPr>
        <w:t>et al.</w:t>
      </w:r>
      <w:r w:rsidRPr="00631694">
        <w:rPr>
          <w:lang w:val="en-US"/>
        </w:rPr>
        <w:t xml:space="preserve"> Combining mechanistic and machine learning models for predictive engineering and optimization of tryptophan metabolism. </w:t>
      </w:r>
      <w:r w:rsidRPr="00631694">
        <w:rPr>
          <w:i/>
          <w:iCs/>
          <w:lang w:val="en-US"/>
        </w:rPr>
        <w:t>Nat. Commun.</w:t>
      </w:r>
      <w:r w:rsidRPr="00631694">
        <w:rPr>
          <w:lang w:val="en-US"/>
        </w:rPr>
        <w:t xml:space="preserve"> </w:t>
      </w:r>
      <w:r w:rsidRPr="00631694">
        <w:rPr>
          <w:b/>
          <w:bCs/>
          <w:lang w:val="en-US"/>
        </w:rPr>
        <w:t>11</w:t>
      </w:r>
      <w:r w:rsidRPr="00631694">
        <w:rPr>
          <w:lang w:val="en-US"/>
        </w:rPr>
        <w:t>, 4880 (2020).</w:t>
      </w:r>
    </w:p>
    <w:p w:rsidRPr="00631694" w:rsidR="00631694" w:rsidP="00631694" w:rsidRDefault="00631694" w14:paraId="3E1FD833" w14:textId="77777777">
      <w:pPr>
        <w:pStyle w:val="Bibliography"/>
        <w:rPr>
          <w:lang w:val="en-US"/>
        </w:rPr>
      </w:pPr>
      <w:r w:rsidRPr="00631694">
        <w:rPr>
          <w:lang w:val="en-US"/>
        </w:rPr>
        <w:t>21.</w:t>
      </w:r>
      <w:r w:rsidRPr="00631694">
        <w:rPr>
          <w:lang w:val="en-US"/>
        </w:rPr>
        <w:tab/>
      </w:r>
      <w:r w:rsidRPr="00631694">
        <w:rPr>
          <w:lang w:val="en-US"/>
        </w:rPr>
        <w:t xml:space="preserve">Achar, S. R. </w:t>
      </w:r>
      <w:r w:rsidRPr="00631694">
        <w:rPr>
          <w:i/>
          <w:iCs/>
          <w:lang w:val="en-US"/>
        </w:rPr>
        <w:t>et al.</w:t>
      </w:r>
      <w:r w:rsidRPr="00631694">
        <w:rPr>
          <w:lang w:val="en-US"/>
        </w:rPr>
        <w:t xml:space="preserve"> Universal antigen encoding of T cell activation from high-dimensional cytokine dynamics. </w:t>
      </w:r>
      <w:r w:rsidRPr="00631694">
        <w:rPr>
          <w:i/>
          <w:iCs/>
          <w:lang w:val="en-US"/>
        </w:rPr>
        <w:t>Science</w:t>
      </w:r>
      <w:r w:rsidRPr="00631694">
        <w:rPr>
          <w:lang w:val="en-US"/>
        </w:rPr>
        <w:t xml:space="preserve"> </w:t>
      </w:r>
      <w:r w:rsidRPr="00631694">
        <w:rPr>
          <w:b/>
          <w:bCs/>
          <w:lang w:val="en-US"/>
        </w:rPr>
        <w:t>376</w:t>
      </w:r>
      <w:r w:rsidRPr="00631694">
        <w:rPr>
          <w:lang w:val="en-US"/>
        </w:rPr>
        <w:t>, 880–884 (2022).</w:t>
      </w:r>
    </w:p>
    <w:p w:rsidRPr="00631694" w:rsidR="00631694" w:rsidP="00631694" w:rsidRDefault="00631694" w14:paraId="66B5FB29" w14:textId="77777777">
      <w:pPr>
        <w:pStyle w:val="Bibliography"/>
        <w:rPr>
          <w:lang w:val="en-US"/>
        </w:rPr>
      </w:pPr>
      <w:r w:rsidRPr="00631694">
        <w:rPr>
          <w:lang w:val="en-US"/>
        </w:rPr>
        <w:t>22.</w:t>
      </w:r>
      <w:r w:rsidRPr="00631694">
        <w:rPr>
          <w:lang w:val="en-US"/>
        </w:rPr>
        <w:tab/>
      </w:r>
      <w:r w:rsidRPr="00631694">
        <w:rPr>
          <w:lang w:val="en-US"/>
        </w:rPr>
        <w:t xml:space="preserve">Rahimikollu, J. </w:t>
      </w:r>
      <w:r w:rsidRPr="00631694">
        <w:rPr>
          <w:i/>
          <w:iCs/>
          <w:lang w:val="en-US"/>
        </w:rPr>
        <w:t>et al.</w:t>
      </w:r>
      <w:r w:rsidRPr="00631694">
        <w:rPr>
          <w:lang w:val="en-US"/>
        </w:rPr>
        <w:t xml:space="preserve"> SLIDE: Significant Latent Factor Interaction Discovery and Exploration across biological domains. </w:t>
      </w:r>
      <w:r w:rsidRPr="00631694">
        <w:rPr>
          <w:i/>
          <w:iCs/>
          <w:lang w:val="en-US"/>
        </w:rPr>
        <w:t>Nat. Methods</w:t>
      </w:r>
      <w:r w:rsidRPr="00631694">
        <w:rPr>
          <w:lang w:val="en-US"/>
        </w:rPr>
        <w:t xml:space="preserve"> </w:t>
      </w:r>
      <w:r w:rsidRPr="00631694">
        <w:rPr>
          <w:b/>
          <w:bCs/>
          <w:lang w:val="en-US"/>
        </w:rPr>
        <w:t>21</w:t>
      </w:r>
      <w:r w:rsidRPr="00631694">
        <w:rPr>
          <w:lang w:val="en-US"/>
        </w:rPr>
        <w:t>, 835–845 (2024).</w:t>
      </w:r>
    </w:p>
    <w:p w:rsidRPr="00631694" w:rsidR="00631694" w:rsidP="00631694" w:rsidRDefault="00631694" w14:paraId="6E713D8A" w14:textId="77777777">
      <w:pPr>
        <w:pStyle w:val="Bibliography"/>
        <w:rPr>
          <w:lang w:val="en-US"/>
        </w:rPr>
      </w:pPr>
      <w:r w:rsidRPr="00631694">
        <w:rPr>
          <w:lang w:val="en-US"/>
        </w:rPr>
        <w:t>23.</w:t>
      </w:r>
      <w:r w:rsidRPr="00631694">
        <w:rPr>
          <w:lang w:val="en-US"/>
        </w:rPr>
        <w:tab/>
      </w:r>
      <w:r w:rsidRPr="00631694">
        <w:rPr>
          <w:lang w:val="en-US"/>
        </w:rPr>
        <w:t xml:space="preserve">Hu, M. </w:t>
      </w:r>
      <w:r w:rsidRPr="00631694">
        <w:rPr>
          <w:i/>
          <w:iCs/>
          <w:lang w:val="en-US"/>
        </w:rPr>
        <w:t>et al.</w:t>
      </w:r>
      <w:r w:rsidRPr="00631694">
        <w:rPr>
          <w:lang w:val="en-US"/>
        </w:rPr>
        <w:t xml:space="preserve"> Evaluation of large language models for discovery of gene set function. </w:t>
      </w:r>
      <w:r w:rsidRPr="00631694">
        <w:rPr>
          <w:i/>
          <w:iCs/>
          <w:lang w:val="en-US"/>
        </w:rPr>
        <w:t>Res. Sq.</w:t>
      </w:r>
      <w:r w:rsidRPr="00631694">
        <w:rPr>
          <w:lang w:val="en-US"/>
        </w:rPr>
        <w:t xml:space="preserve"> rs.3.rs-3270331 (2023) doi:10.21203/rs.3.rs-3270331/v1.</w:t>
      </w:r>
    </w:p>
    <w:p w:rsidRPr="00631694" w:rsidR="00631694" w:rsidP="00631694" w:rsidRDefault="00631694" w14:paraId="0952DBAF" w14:textId="77777777">
      <w:pPr>
        <w:pStyle w:val="Bibliography"/>
        <w:rPr>
          <w:lang w:val="en-US"/>
        </w:rPr>
      </w:pPr>
      <w:r w:rsidRPr="00631694">
        <w:rPr>
          <w:lang w:val="en-US"/>
        </w:rPr>
        <w:t>24.</w:t>
      </w:r>
      <w:r w:rsidRPr="00631694">
        <w:rPr>
          <w:lang w:val="en-US"/>
        </w:rPr>
        <w:tab/>
      </w:r>
      <w:r w:rsidRPr="00631694">
        <w:rPr>
          <w:lang w:val="en-US"/>
        </w:rPr>
        <w:t xml:space="preserve">Nutt, S. L., Hodgkin, P. D., Tarlinton, D. M. &amp; Corcoran, L. M. The generation of antibody-secreting plasma cells. </w:t>
      </w:r>
      <w:r w:rsidRPr="00631694">
        <w:rPr>
          <w:i/>
          <w:iCs/>
          <w:lang w:val="en-US"/>
        </w:rPr>
        <w:t>Nat. Rev. Immunol.</w:t>
      </w:r>
      <w:r w:rsidRPr="00631694">
        <w:rPr>
          <w:lang w:val="en-US"/>
        </w:rPr>
        <w:t xml:space="preserve"> </w:t>
      </w:r>
      <w:r w:rsidRPr="00631694">
        <w:rPr>
          <w:b/>
          <w:bCs/>
          <w:lang w:val="en-US"/>
        </w:rPr>
        <w:t>15</w:t>
      </w:r>
      <w:r w:rsidRPr="00631694">
        <w:rPr>
          <w:lang w:val="en-US"/>
        </w:rPr>
        <w:t>, 160–171 (2015).</w:t>
      </w:r>
    </w:p>
    <w:p w:rsidRPr="00631694" w:rsidR="00631694" w:rsidP="00631694" w:rsidRDefault="00631694" w14:paraId="4AC2887D" w14:textId="77777777">
      <w:pPr>
        <w:pStyle w:val="Bibliography"/>
        <w:rPr>
          <w:lang w:val="en-US"/>
        </w:rPr>
      </w:pPr>
      <w:r w:rsidRPr="00631694">
        <w:rPr>
          <w:lang w:val="en-US"/>
        </w:rPr>
        <w:t>25.</w:t>
      </w:r>
      <w:r w:rsidRPr="00631694">
        <w:rPr>
          <w:lang w:val="en-US"/>
        </w:rPr>
        <w:tab/>
      </w:r>
      <w:r w:rsidRPr="00631694">
        <w:rPr>
          <w:lang w:val="en-US"/>
        </w:rPr>
        <w:t xml:space="preserve">Elsner, R. A. &amp; Shlomchik, M. J. Germinal Center and Extrafollicular B Cell Responses in Vaccination, Immunity, and Autoimmunity. </w:t>
      </w:r>
      <w:r w:rsidRPr="00631694">
        <w:rPr>
          <w:i/>
          <w:iCs/>
          <w:lang w:val="en-US"/>
        </w:rPr>
        <w:t>Immunity</w:t>
      </w:r>
      <w:r w:rsidRPr="00631694">
        <w:rPr>
          <w:lang w:val="en-US"/>
        </w:rPr>
        <w:t xml:space="preserve"> </w:t>
      </w:r>
      <w:r w:rsidRPr="00631694">
        <w:rPr>
          <w:b/>
          <w:bCs/>
          <w:lang w:val="en-US"/>
        </w:rPr>
        <w:t>53</w:t>
      </w:r>
      <w:r w:rsidRPr="00631694">
        <w:rPr>
          <w:lang w:val="en-US"/>
        </w:rPr>
        <w:t>, 1136–1150 (2020).</w:t>
      </w:r>
    </w:p>
    <w:p w:rsidRPr="00631694" w:rsidR="00631694" w:rsidP="00631694" w:rsidRDefault="00631694" w14:paraId="23FAFAEE" w14:textId="77777777">
      <w:pPr>
        <w:pStyle w:val="Bibliography"/>
        <w:rPr>
          <w:lang w:val="en-US"/>
        </w:rPr>
      </w:pPr>
      <w:r w:rsidRPr="00631694">
        <w:rPr>
          <w:lang w:val="en-US"/>
        </w:rPr>
        <w:t>26.</w:t>
      </w:r>
      <w:r w:rsidRPr="00631694">
        <w:rPr>
          <w:lang w:val="en-US"/>
        </w:rPr>
        <w:tab/>
      </w:r>
      <w:r w:rsidRPr="00631694">
        <w:rPr>
          <w:lang w:val="en-US"/>
        </w:rPr>
        <w:t xml:space="preserve">Pease, N. A. </w:t>
      </w:r>
      <w:r w:rsidRPr="00631694">
        <w:rPr>
          <w:i/>
          <w:iCs/>
          <w:lang w:val="en-US"/>
        </w:rPr>
        <w:t>et al.</w:t>
      </w:r>
      <w:r w:rsidRPr="00631694">
        <w:rPr>
          <w:lang w:val="en-US"/>
        </w:rPr>
        <w:t xml:space="preserve"> Cell cycle-coupled transcriptional network orchestrates human B cell fate bifurcation. Preprint at https://doi.org/10.1101/2025.04.23.649973 (2025).</w:t>
      </w:r>
    </w:p>
    <w:p w:rsidRPr="00631694" w:rsidR="00631694" w:rsidP="00631694" w:rsidRDefault="00631694" w14:paraId="6E7935EE" w14:textId="77777777">
      <w:pPr>
        <w:pStyle w:val="Bibliography"/>
        <w:rPr>
          <w:lang w:val="en-US"/>
        </w:rPr>
      </w:pPr>
      <w:r w:rsidRPr="00631694">
        <w:rPr>
          <w:lang w:val="en-US"/>
        </w:rPr>
        <w:t>27.</w:t>
      </w:r>
      <w:r w:rsidRPr="00631694">
        <w:rPr>
          <w:lang w:val="en-US"/>
        </w:rPr>
        <w:tab/>
      </w:r>
      <w:r w:rsidRPr="00631694">
        <w:rPr>
          <w:lang w:val="en-US"/>
        </w:rPr>
        <w:t>OpenAI. (2025). ChatGPT5.1 [Large language model]. https://chat.openai.com/.</w:t>
      </w:r>
    </w:p>
    <w:p w:rsidRPr="00631694" w:rsidR="00631694" w:rsidP="00631694" w:rsidRDefault="00631694" w14:paraId="3B16D184" w14:textId="77777777">
      <w:pPr>
        <w:pStyle w:val="Bibliography"/>
        <w:rPr>
          <w:lang w:val="en-US"/>
        </w:rPr>
      </w:pPr>
      <w:r w:rsidRPr="00631694">
        <w:rPr>
          <w:lang w:val="en-US"/>
        </w:rPr>
        <w:t>28.</w:t>
      </w:r>
      <w:r w:rsidRPr="00631694">
        <w:rPr>
          <w:lang w:val="en-US"/>
        </w:rPr>
        <w:tab/>
      </w:r>
      <w:r w:rsidRPr="00631694">
        <w:rPr>
          <w:lang w:val="en-US"/>
        </w:rPr>
        <w:t xml:space="preserve">Cattoretti, G. </w:t>
      </w:r>
      <w:r w:rsidRPr="00631694">
        <w:rPr>
          <w:i/>
          <w:iCs/>
          <w:lang w:val="en-US"/>
        </w:rPr>
        <w:t>et al.</w:t>
      </w:r>
      <w:r w:rsidRPr="00631694">
        <w:rPr>
          <w:lang w:val="en-US"/>
        </w:rPr>
        <w:t xml:space="preserve"> PRDM1/Blimp</w:t>
      </w:r>
      <w:r w:rsidRPr="00631694">
        <w:rPr>
          <w:rFonts w:ascii="Cambria Math" w:hAnsi="Cambria Math" w:cs="Cambria Math"/>
          <w:lang w:val="en-US"/>
        </w:rPr>
        <w:t>‐</w:t>
      </w:r>
      <w:r w:rsidRPr="00631694">
        <w:rPr>
          <w:lang w:val="en-US"/>
        </w:rPr>
        <w:t>1 is expressed in human B</w:t>
      </w:r>
      <w:r w:rsidRPr="00631694">
        <w:rPr>
          <w:rFonts w:ascii="Cambria Math" w:hAnsi="Cambria Math" w:cs="Cambria Math"/>
          <w:lang w:val="en-US"/>
        </w:rPr>
        <w:t>‐</w:t>
      </w:r>
      <w:r w:rsidRPr="00631694">
        <w:rPr>
          <w:lang w:val="en-US"/>
        </w:rPr>
        <w:t xml:space="preserve">lymphocytes committed to the plasma cell lineage. </w:t>
      </w:r>
      <w:r w:rsidRPr="00631694">
        <w:rPr>
          <w:i/>
          <w:iCs/>
          <w:lang w:val="en-US"/>
        </w:rPr>
        <w:t>J. Pathol.</w:t>
      </w:r>
      <w:r w:rsidRPr="00631694">
        <w:rPr>
          <w:lang w:val="en-US"/>
        </w:rPr>
        <w:t xml:space="preserve"> </w:t>
      </w:r>
      <w:r w:rsidRPr="00631694">
        <w:rPr>
          <w:b/>
          <w:bCs/>
          <w:lang w:val="en-US"/>
        </w:rPr>
        <w:t>206</w:t>
      </w:r>
      <w:r w:rsidRPr="00631694">
        <w:rPr>
          <w:lang w:val="en-US"/>
        </w:rPr>
        <w:t>, 76–86 (2005).</w:t>
      </w:r>
    </w:p>
    <w:p w:rsidRPr="00631694" w:rsidR="00631694" w:rsidP="00631694" w:rsidRDefault="00631694" w14:paraId="757077B6" w14:textId="77777777">
      <w:pPr>
        <w:pStyle w:val="Bibliography"/>
        <w:rPr>
          <w:lang w:val="en-US"/>
        </w:rPr>
      </w:pPr>
      <w:r w:rsidRPr="00631694">
        <w:rPr>
          <w:lang w:val="en-US"/>
        </w:rPr>
        <w:t>29.</w:t>
      </w:r>
      <w:r w:rsidRPr="00631694">
        <w:rPr>
          <w:lang w:val="en-US"/>
        </w:rPr>
        <w:tab/>
      </w:r>
      <w:r w:rsidRPr="00631694">
        <w:rPr>
          <w:lang w:val="en-US"/>
        </w:rPr>
        <w:t xml:space="preserve">Recaldin, T. &amp; Fear, D. J. Transcription factors regulating B cell fate in the germinal centre. </w:t>
      </w:r>
      <w:r w:rsidRPr="00631694">
        <w:rPr>
          <w:i/>
          <w:iCs/>
          <w:lang w:val="en-US"/>
        </w:rPr>
        <w:t>Clin. Exp. Immunol.</w:t>
      </w:r>
      <w:r w:rsidRPr="00631694">
        <w:rPr>
          <w:lang w:val="en-US"/>
        </w:rPr>
        <w:t xml:space="preserve"> </w:t>
      </w:r>
      <w:r w:rsidRPr="00631694">
        <w:rPr>
          <w:b/>
          <w:bCs/>
          <w:lang w:val="en-US"/>
        </w:rPr>
        <w:t>183</w:t>
      </w:r>
      <w:r w:rsidRPr="00631694">
        <w:rPr>
          <w:lang w:val="en-US"/>
        </w:rPr>
        <w:t>, 65–75 (2015).</w:t>
      </w:r>
    </w:p>
    <w:p w:rsidRPr="00631694" w:rsidR="00631694" w:rsidP="00631694" w:rsidRDefault="00631694" w14:paraId="76AD7B3F" w14:textId="77777777">
      <w:pPr>
        <w:pStyle w:val="Bibliography"/>
        <w:rPr>
          <w:lang w:val="en-US"/>
        </w:rPr>
      </w:pPr>
      <w:r w:rsidRPr="00631694">
        <w:rPr>
          <w:lang w:val="en-US"/>
        </w:rPr>
        <w:t>30.</w:t>
      </w:r>
      <w:r w:rsidRPr="00631694">
        <w:rPr>
          <w:lang w:val="en-US"/>
        </w:rPr>
        <w:tab/>
      </w:r>
      <w:r w:rsidRPr="00631694">
        <w:rPr>
          <w:lang w:val="en-US"/>
        </w:rPr>
        <w:t xml:space="preserve">Cocco, M. </w:t>
      </w:r>
      <w:r w:rsidRPr="00631694">
        <w:rPr>
          <w:i/>
          <w:iCs/>
          <w:lang w:val="en-US"/>
        </w:rPr>
        <w:t>et al.</w:t>
      </w:r>
      <w:r w:rsidRPr="00631694">
        <w:rPr>
          <w:lang w:val="en-US"/>
        </w:rPr>
        <w:t xml:space="preserve"> A dichotomy of gene regulatory associations during the activated B-cell to plasmablast transition. </w:t>
      </w:r>
      <w:r w:rsidRPr="00631694">
        <w:rPr>
          <w:i/>
          <w:iCs/>
          <w:lang w:val="en-US"/>
        </w:rPr>
        <w:t>Life Sci. Alliance</w:t>
      </w:r>
      <w:r w:rsidRPr="00631694">
        <w:rPr>
          <w:lang w:val="en-US"/>
        </w:rPr>
        <w:t xml:space="preserve"> </w:t>
      </w:r>
      <w:r w:rsidRPr="00631694">
        <w:rPr>
          <w:b/>
          <w:bCs/>
          <w:lang w:val="en-US"/>
        </w:rPr>
        <w:t>3</w:t>
      </w:r>
      <w:r w:rsidRPr="00631694">
        <w:rPr>
          <w:lang w:val="en-US"/>
        </w:rPr>
        <w:t>, e202000654 (2020).</w:t>
      </w:r>
    </w:p>
    <w:p w:rsidRPr="00631694" w:rsidR="00631694" w:rsidP="00631694" w:rsidRDefault="00631694" w14:paraId="785E2315" w14:textId="77777777">
      <w:pPr>
        <w:pStyle w:val="Bibliography"/>
        <w:rPr>
          <w:lang w:val="en-US"/>
        </w:rPr>
      </w:pPr>
      <w:r w:rsidRPr="00631694">
        <w:rPr>
          <w:lang w:val="en-US"/>
        </w:rPr>
        <w:t>31.</w:t>
      </w:r>
      <w:r w:rsidRPr="00631694">
        <w:rPr>
          <w:lang w:val="en-US"/>
        </w:rPr>
        <w:tab/>
      </w:r>
      <w:r w:rsidRPr="00631694">
        <w:rPr>
          <w:lang w:val="en-US"/>
        </w:rPr>
        <w:t xml:space="preserve">Lau, L. C., Manakkat Vijay, G. K., Hall, D. R. &amp; Singh, H. Non-canonical unfolded protein response transcription factor CREB3L2 regulates survival of long-lived plasma cells. </w:t>
      </w:r>
      <w:r w:rsidRPr="00631694">
        <w:rPr>
          <w:i/>
          <w:iCs/>
          <w:lang w:val="en-US"/>
        </w:rPr>
        <w:t>J. Immunol.</w:t>
      </w:r>
      <w:r w:rsidRPr="00631694">
        <w:rPr>
          <w:lang w:val="en-US"/>
        </w:rPr>
        <w:t xml:space="preserve"> </w:t>
      </w:r>
      <w:r w:rsidRPr="00631694">
        <w:rPr>
          <w:b/>
          <w:bCs/>
          <w:lang w:val="en-US"/>
        </w:rPr>
        <w:t>210</w:t>
      </w:r>
      <w:r w:rsidRPr="00631694">
        <w:rPr>
          <w:lang w:val="en-US"/>
        </w:rPr>
        <w:t>, 162.09-162.09 (2023).</w:t>
      </w:r>
    </w:p>
    <w:p w:rsidRPr="00631694" w:rsidR="00631694" w:rsidP="00631694" w:rsidRDefault="00631694" w14:paraId="4E74DEEE" w14:textId="77777777">
      <w:pPr>
        <w:pStyle w:val="Bibliography"/>
        <w:rPr>
          <w:lang w:val="en-US"/>
        </w:rPr>
      </w:pPr>
      <w:r w:rsidRPr="00631694">
        <w:rPr>
          <w:lang w:val="en-US"/>
        </w:rPr>
        <w:t>32.</w:t>
      </w:r>
      <w:r w:rsidRPr="00631694">
        <w:rPr>
          <w:lang w:val="en-US"/>
        </w:rPr>
        <w:tab/>
      </w:r>
      <w:r w:rsidRPr="00631694">
        <w:rPr>
          <w:lang w:val="en-US"/>
        </w:rPr>
        <w:t xml:space="preserve">Morman, R. E., Schweickert, P. G., Konieczny, S. F. &amp; Taparowsky, E. J. BATF regulates the expression of </w:t>
      </w:r>
      <w:r w:rsidRPr="00631694">
        <w:rPr>
          <w:i/>
          <w:iCs/>
          <w:lang w:val="en-US"/>
        </w:rPr>
        <w:t>Nfil3</w:t>
      </w:r>
      <w:r w:rsidRPr="00631694">
        <w:rPr>
          <w:lang w:val="en-US"/>
        </w:rPr>
        <w:t xml:space="preserve"> , </w:t>
      </w:r>
      <w:r w:rsidRPr="00631694">
        <w:rPr>
          <w:i/>
          <w:iCs/>
          <w:lang w:val="en-US"/>
        </w:rPr>
        <w:t>Wnt10a</w:t>
      </w:r>
      <w:r w:rsidRPr="00631694">
        <w:rPr>
          <w:lang w:val="en-US"/>
        </w:rPr>
        <w:t xml:space="preserve"> and </w:t>
      </w:r>
      <w:r w:rsidRPr="00631694">
        <w:rPr>
          <w:i/>
          <w:iCs/>
          <w:lang w:val="en-US"/>
        </w:rPr>
        <w:t>miR155hg</w:t>
      </w:r>
      <w:r w:rsidRPr="00631694">
        <w:rPr>
          <w:lang w:val="en-US"/>
        </w:rPr>
        <w:t xml:space="preserve"> for efficient induction of antibody class switch recombination in mice. </w:t>
      </w:r>
      <w:r w:rsidRPr="00631694">
        <w:rPr>
          <w:i/>
          <w:iCs/>
          <w:lang w:val="en-US"/>
        </w:rPr>
        <w:t>Eur. J. Immunol.</w:t>
      </w:r>
      <w:r w:rsidRPr="00631694">
        <w:rPr>
          <w:lang w:val="en-US"/>
        </w:rPr>
        <w:t xml:space="preserve"> </w:t>
      </w:r>
      <w:r w:rsidRPr="00631694">
        <w:rPr>
          <w:b/>
          <w:bCs/>
          <w:lang w:val="en-US"/>
        </w:rPr>
        <w:t>48</w:t>
      </w:r>
      <w:r w:rsidRPr="00631694">
        <w:rPr>
          <w:lang w:val="en-US"/>
        </w:rPr>
        <w:t>, 1492–1505 (2018).</w:t>
      </w:r>
    </w:p>
    <w:p w:rsidRPr="00631694" w:rsidR="00631694" w:rsidP="00631694" w:rsidRDefault="00631694" w14:paraId="74992580" w14:textId="77777777">
      <w:pPr>
        <w:pStyle w:val="Bibliography"/>
        <w:rPr>
          <w:lang w:val="en-US"/>
        </w:rPr>
      </w:pPr>
      <w:r w:rsidRPr="00631694">
        <w:rPr>
          <w:lang w:val="en-US"/>
        </w:rPr>
        <w:t>33.</w:t>
      </w:r>
      <w:r w:rsidRPr="00631694">
        <w:rPr>
          <w:lang w:val="en-US"/>
        </w:rPr>
        <w:tab/>
      </w:r>
      <w:r w:rsidRPr="00631694">
        <w:rPr>
          <w:lang w:val="en-US"/>
        </w:rPr>
        <w:t xml:space="preserve">Muto, A. </w:t>
      </w:r>
      <w:r w:rsidRPr="00631694">
        <w:rPr>
          <w:i/>
          <w:iCs/>
          <w:lang w:val="en-US"/>
        </w:rPr>
        <w:t>et al.</w:t>
      </w:r>
      <w:r w:rsidRPr="00631694">
        <w:rPr>
          <w:lang w:val="en-US"/>
        </w:rPr>
        <w:t xml:space="preserve"> Bach2 represses plasma cell gene regulatory network in B cells to promote antibody class switch. </w:t>
      </w:r>
      <w:r w:rsidRPr="00631694">
        <w:rPr>
          <w:i/>
          <w:iCs/>
          <w:lang w:val="en-US"/>
        </w:rPr>
        <w:t>EMBO J.</w:t>
      </w:r>
      <w:r w:rsidRPr="00631694">
        <w:rPr>
          <w:lang w:val="en-US"/>
        </w:rPr>
        <w:t xml:space="preserve"> </w:t>
      </w:r>
      <w:r w:rsidRPr="00631694">
        <w:rPr>
          <w:b/>
          <w:bCs/>
          <w:lang w:val="en-US"/>
        </w:rPr>
        <w:t>29</w:t>
      </w:r>
      <w:r w:rsidRPr="00631694">
        <w:rPr>
          <w:lang w:val="en-US"/>
        </w:rPr>
        <w:t>, 4048–4061 (2010).</w:t>
      </w:r>
    </w:p>
    <w:p w:rsidRPr="00631694" w:rsidR="00631694" w:rsidP="00631694" w:rsidRDefault="00631694" w14:paraId="3240A5EC" w14:textId="77777777">
      <w:pPr>
        <w:pStyle w:val="Bibliography"/>
        <w:rPr>
          <w:lang w:val="en-US"/>
        </w:rPr>
      </w:pPr>
      <w:r w:rsidRPr="00631694">
        <w:rPr>
          <w:lang w:val="en-US"/>
        </w:rPr>
        <w:t>34.</w:t>
      </w:r>
      <w:r w:rsidRPr="00631694">
        <w:rPr>
          <w:lang w:val="en-US"/>
        </w:rPr>
        <w:tab/>
      </w:r>
      <w:r w:rsidRPr="00631694">
        <w:rPr>
          <w:lang w:val="en-US"/>
        </w:rPr>
        <w:t xml:space="preserve">Roy, K., Chakraborty, M., Kumar, A., Manna, A. K. &amp; Roy, N. S. The NFκB signaling system in the generation of B-cell subsets: from germinal center B cells to memory B cells and plasma cells. </w:t>
      </w:r>
      <w:r w:rsidRPr="00631694">
        <w:rPr>
          <w:i/>
          <w:iCs/>
          <w:lang w:val="en-US"/>
        </w:rPr>
        <w:t>Front. Immunol.</w:t>
      </w:r>
      <w:r w:rsidRPr="00631694">
        <w:rPr>
          <w:lang w:val="en-US"/>
        </w:rPr>
        <w:t xml:space="preserve"> </w:t>
      </w:r>
      <w:r w:rsidRPr="00631694">
        <w:rPr>
          <w:b/>
          <w:bCs/>
          <w:lang w:val="en-US"/>
        </w:rPr>
        <w:t>14</w:t>
      </w:r>
      <w:r w:rsidRPr="00631694">
        <w:rPr>
          <w:lang w:val="en-US"/>
        </w:rPr>
        <w:t>, 1185597 (2023).</w:t>
      </w:r>
    </w:p>
    <w:p w:rsidRPr="00631694" w:rsidR="00631694" w:rsidP="00631694" w:rsidRDefault="00631694" w14:paraId="752A237A" w14:textId="77777777">
      <w:pPr>
        <w:pStyle w:val="Bibliography"/>
        <w:rPr>
          <w:lang w:val="en-US"/>
        </w:rPr>
      </w:pPr>
      <w:r w:rsidRPr="00631694">
        <w:rPr>
          <w:lang w:val="en-US"/>
        </w:rPr>
        <w:t>35.</w:t>
      </w:r>
      <w:r w:rsidRPr="00631694">
        <w:rPr>
          <w:lang w:val="en-US"/>
        </w:rPr>
        <w:tab/>
      </w:r>
      <w:r w:rsidRPr="00631694">
        <w:rPr>
          <w:lang w:val="en-US"/>
        </w:rPr>
        <w:t xml:space="preserve">Liao, M. &amp; Wang, J. Tcf12 balances the reconstitution and differentiation capacity of hematopoietic stem cell. </w:t>
      </w:r>
      <w:r w:rsidRPr="00631694">
        <w:rPr>
          <w:i/>
          <w:iCs/>
          <w:lang w:val="en-US"/>
        </w:rPr>
        <w:t>Blood Sci.</w:t>
      </w:r>
      <w:r w:rsidRPr="00631694">
        <w:rPr>
          <w:lang w:val="en-US"/>
        </w:rPr>
        <w:t xml:space="preserve"> </w:t>
      </w:r>
      <w:r w:rsidRPr="00631694">
        <w:rPr>
          <w:b/>
          <w:bCs/>
          <w:lang w:val="en-US"/>
        </w:rPr>
        <w:t>3</w:t>
      </w:r>
      <w:r w:rsidRPr="00631694">
        <w:rPr>
          <w:lang w:val="en-US"/>
        </w:rPr>
        <w:t>, 14–19 (2021).</w:t>
      </w:r>
    </w:p>
    <w:p w:rsidRPr="00631694" w:rsidR="00631694" w:rsidP="00631694" w:rsidRDefault="00631694" w14:paraId="6C9FE9DE" w14:textId="77777777">
      <w:pPr>
        <w:pStyle w:val="Bibliography"/>
        <w:rPr>
          <w:lang w:val="en-US"/>
        </w:rPr>
      </w:pPr>
      <w:r w:rsidRPr="00631694">
        <w:rPr>
          <w:lang w:val="en-US"/>
        </w:rPr>
        <w:t>36.</w:t>
      </w:r>
      <w:r w:rsidRPr="00631694">
        <w:rPr>
          <w:lang w:val="en-US"/>
        </w:rPr>
        <w:tab/>
      </w:r>
      <w:r w:rsidRPr="00631694">
        <w:rPr>
          <w:lang w:val="en-US"/>
        </w:rPr>
        <w:t xml:space="preserve">Pliner, H. A. </w:t>
      </w:r>
      <w:r w:rsidRPr="00631694">
        <w:rPr>
          <w:i/>
          <w:iCs/>
          <w:lang w:val="en-US"/>
        </w:rPr>
        <w:t>et al.</w:t>
      </w:r>
      <w:r w:rsidRPr="00631694">
        <w:rPr>
          <w:lang w:val="en-US"/>
        </w:rPr>
        <w:t xml:space="preserve"> Cicero Predicts cis-Regulatory DNA Interactions from Single-Cell Chromatin Accessibility Data. </w:t>
      </w:r>
      <w:r w:rsidRPr="00631694">
        <w:rPr>
          <w:i/>
          <w:iCs/>
          <w:lang w:val="en-US"/>
        </w:rPr>
        <w:t>Mol. Cell</w:t>
      </w:r>
      <w:r w:rsidRPr="00631694">
        <w:rPr>
          <w:lang w:val="en-US"/>
        </w:rPr>
        <w:t xml:space="preserve"> </w:t>
      </w:r>
      <w:r w:rsidRPr="00631694">
        <w:rPr>
          <w:b/>
          <w:bCs/>
          <w:lang w:val="en-US"/>
        </w:rPr>
        <w:t>71</w:t>
      </w:r>
      <w:r w:rsidRPr="00631694">
        <w:rPr>
          <w:lang w:val="en-US"/>
        </w:rPr>
        <w:t>, 858-871.e8 (2018).</w:t>
      </w:r>
    </w:p>
    <w:p w:rsidRPr="00631694" w:rsidR="00631694" w:rsidP="00631694" w:rsidRDefault="00631694" w14:paraId="4DDBCEE0" w14:textId="77777777">
      <w:pPr>
        <w:pStyle w:val="Bibliography"/>
        <w:rPr>
          <w:lang w:val="en-US"/>
        </w:rPr>
      </w:pPr>
      <w:r w:rsidRPr="00631694">
        <w:rPr>
          <w:lang w:val="en-US"/>
        </w:rPr>
        <w:t>37.</w:t>
      </w:r>
      <w:r w:rsidRPr="00631694">
        <w:rPr>
          <w:lang w:val="en-US"/>
        </w:rPr>
        <w:tab/>
      </w:r>
      <w:r w:rsidRPr="00631694">
        <w:rPr>
          <w:lang w:val="en-US"/>
        </w:rPr>
        <w:t xml:space="preserve">Zander, R. &amp; Cui, W. Exhausted CD8+ T cells face a developmental fork in the road. </w:t>
      </w:r>
      <w:r w:rsidRPr="00631694">
        <w:rPr>
          <w:i/>
          <w:iCs/>
          <w:lang w:val="en-US"/>
        </w:rPr>
        <w:t>Trends Immunol.</w:t>
      </w:r>
      <w:r w:rsidRPr="00631694">
        <w:rPr>
          <w:lang w:val="en-US"/>
        </w:rPr>
        <w:t xml:space="preserve"> </w:t>
      </w:r>
      <w:r w:rsidRPr="00631694">
        <w:rPr>
          <w:b/>
          <w:bCs/>
          <w:lang w:val="en-US"/>
        </w:rPr>
        <w:t>44</w:t>
      </w:r>
      <w:r w:rsidRPr="00631694">
        <w:rPr>
          <w:lang w:val="en-US"/>
        </w:rPr>
        <w:t>, 276–286 (2023).</w:t>
      </w:r>
    </w:p>
    <w:p w:rsidRPr="00631694" w:rsidR="00631694" w:rsidP="00631694" w:rsidRDefault="00631694" w14:paraId="049C5081" w14:textId="77777777">
      <w:pPr>
        <w:pStyle w:val="Bibliography"/>
        <w:rPr>
          <w:lang w:val="en-US"/>
        </w:rPr>
      </w:pPr>
      <w:r w:rsidRPr="00631694">
        <w:rPr>
          <w:lang w:val="en-US"/>
        </w:rPr>
        <w:t>38.</w:t>
      </w:r>
      <w:r w:rsidRPr="00631694">
        <w:rPr>
          <w:lang w:val="en-US"/>
        </w:rPr>
        <w:tab/>
      </w:r>
      <w:r w:rsidRPr="00631694">
        <w:rPr>
          <w:lang w:val="en-US"/>
        </w:rPr>
        <w:t xml:space="preserve">Zhang, J., Lei, F. &amp; Tan, H. The development of CD8 T-cell exhaustion heterogeneity and the therapeutic potentials in cancer. </w:t>
      </w:r>
      <w:r w:rsidRPr="00631694">
        <w:rPr>
          <w:i/>
          <w:iCs/>
          <w:lang w:val="en-US"/>
        </w:rPr>
        <w:t>Front. Immunol.</w:t>
      </w:r>
      <w:r w:rsidRPr="00631694">
        <w:rPr>
          <w:lang w:val="en-US"/>
        </w:rPr>
        <w:t xml:space="preserve"> </w:t>
      </w:r>
      <w:r w:rsidRPr="00631694">
        <w:rPr>
          <w:b/>
          <w:bCs/>
          <w:lang w:val="en-US"/>
        </w:rPr>
        <w:t>14</w:t>
      </w:r>
      <w:r w:rsidRPr="00631694">
        <w:rPr>
          <w:lang w:val="en-US"/>
        </w:rPr>
        <w:t>, 1166128 (2023).</w:t>
      </w:r>
    </w:p>
    <w:p w:rsidRPr="00631694" w:rsidR="00631694" w:rsidP="00631694" w:rsidRDefault="00631694" w14:paraId="7BC91244" w14:textId="77777777">
      <w:pPr>
        <w:pStyle w:val="Bibliography"/>
        <w:rPr>
          <w:lang w:val="en-US"/>
        </w:rPr>
      </w:pPr>
      <w:r w:rsidRPr="00631694">
        <w:rPr>
          <w:lang w:val="en-US"/>
        </w:rPr>
        <w:t>39.</w:t>
      </w:r>
      <w:r w:rsidRPr="00631694">
        <w:rPr>
          <w:lang w:val="en-US"/>
        </w:rPr>
        <w:tab/>
      </w:r>
      <w:r w:rsidRPr="00631694">
        <w:rPr>
          <w:lang w:val="en-US"/>
        </w:rPr>
        <w:t xml:space="preserve">Daniel, B. </w:t>
      </w:r>
      <w:r w:rsidRPr="00631694">
        <w:rPr>
          <w:i/>
          <w:iCs/>
          <w:lang w:val="en-US"/>
        </w:rPr>
        <w:t>et al.</w:t>
      </w:r>
      <w:r w:rsidRPr="00631694">
        <w:rPr>
          <w:lang w:val="en-US"/>
        </w:rPr>
        <w:t xml:space="preserve"> Divergent clonal differentiation trajectories of T cell exhaustion. </w:t>
      </w:r>
      <w:r w:rsidRPr="00631694">
        <w:rPr>
          <w:i/>
          <w:iCs/>
          <w:lang w:val="en-US"/>
        </w:rPr>
        <w:t>Nat. Immunol.</w:t>
      </w:r>
      <w:r w:rsidRPr="00631694">
        <w:rPr>
          <w:lang w:val="en-US"/>
        </w:rPr>
        <w:t xml:space="preserve"> </w:t>
      </w:r>
      <w:r w:rsidRPr="00631694">
        <w:rPr>
          <w:b/>
          <w:bCs/>
          <w:lang w:val="en-US"/>
        </w:rPr>
        <w:t>23</w:t>
      </w:r>
      <w:r w:rsidRPr="00631694">
        <w:rPr>
          <w:lang w:val="en-US"/>
        </w:rPr>
        <w:t>, 1614–1627 (2022).</w:t>
      </w:r>
    </w:p>
    <w:p w:rsidRPr="00631694" w:rsidR="00631694" w:rsidP="00631694" w:rsidRDefault="00631694" w14:paraId="6BCEBDC0" w14:textId="77777777">
      <w:pPr>
        <w:pStyle w:val="Bibliography"/>
        <w:rPr>
          <w:lang w:val="en-US"/>
        </w:rPr>
      </w:pPr>
      <w:r w:rsidRPr="00631694">
        <w:rPr>
          <w:lang w:val="en-US"/>
        </w:rPr>
        <w:t>40.</w:t>
      </w:r>
      <w:r w:rsidRPr="00631694">
        <w:rPr>
          <w:lang w:val="en-US"/>
        </w:rPr>
        <w:tab/>
      </w:r>
      <w:r w:rsidRPr="00631694">
        <w:rPr>
          <w:lang w:val="en-US"/>
        </w:rPr>
        <w:t xml:space="preserve">Seo, H. </w:t>
      </w:r>
      <w:r w:rsidRPr="00631694">
        <w:rPr>
          <w:i/>
          <w:iCs/>
          <w:lang w:val="en-US"/>
        </w:rPr>
        <w:t>et al.</w:t>
      </w:r>
      <w:r w:rsidRPr="00631694">
        <w:rPr>
          <w:lang w:val="en-US"/>
        </w:rPr>
        <w:t xml:space="preserve"> TOX and TOX2 transcription factors cooperate with NR4A transcription factors to impose CD8</w:t>
      </w:r>
      <w:r w:rsidRPr="00631694">
        <w:rPr>
          <w:vertAlign w:val="superscript"/>
          <w:lang w:val="en-US"/>
        </w:rPr>
        <w:t>+</w:t>
      </w:r>
      <w:r w:rsidRPr="00631694">
        <w:rPr>
          <w:lang w:val="en-US"/>
        </w:rPr>
        <w:t xml:space="preserve"> T cell exhaustion. </w:t>
      </w:r>
      <w:r w:rsidRPr="00631694">
        <w:rPr>
          <w:i/>
          <w:iCs/>
          <w:lang w:val="en-US"/>
        </w:rPr>
        <w:t>Proc. Natl. Acad. Sci.</w:t>
      </w:r>
      <w:r w:rsidRPr="00631694">
        <w:rPr>
          <w:lang w:val="en-US"/>
        </w:rPr>
        <w:t xml:space="preserve"> </w:t>
      </w:r>
      <w:r w:rsidRPr="00631694">
        <w:rPr>
          <w:b/>
          <w:bCs/>
          <w:lang w:val="en-US"/>
        </w:rPr>
        <w:t>116</w:t>
      </w:r>
      <w:r w:rsidRPr="00631694">
        <w:rPr>
          <w:lang w:val="en-US"/>
        </w:rPr>
        <w:t>, 12410–12415 (2019).</w:t>
      </w:r>
    </w:p>
    <w:p w:rsidRPr="00631694" w:rsidR="00631694" w:rsidP="00631694" w:rsidRDefault="00631694" w14:paraId="7552631C" w14:textId="77777777">
      <w:pPr>
        <w:pStyle w:val="Bibliography"/>
        <w:rPr>
          <w:lang w:val="en-US"/>
        </w:rPr>
      </w:pPr>
      <w:r w:rsidRPr="00631694">
        <w:rPr>
          <w:lang w:val="en-US"/>
        </w:rPr>
        <w:t>41.</w:t>
      </w:r>
      <w:r w:rsidRPr="00631694">
        <w:rPr>
          <w:lang w:val="en-US"/>
        </w:rPr>
        <w:tab/>
      </w:r>
      <w:r w:rsidRPr="00631694">
        <w:rPr>
          <w:lang w:val="en-US"/>
        </w:rPr>
        <w:t xml:space="preserve">Kao, C. </w:t>
      </w:r>
      <w:r w:rsidRPr="00631694">
        <w:rPr>
          <w:i/>
          <w:iCs/>
          <w:lang w:val="en-US"/>
        </w:rPr>
        <w:t>et al.</w:t>
      </w:r>
      <w:r w:rsidRPr="00631694">
        <w:rPr>
          <w:lang w:val="en-US"/>
        </w:rPr>
        <w:t xml:space="preserve"> Transcription factor T-bet represses expression of the inhibitory receptor PD-1 and sustains virus-specific CD8+ T cell responses during chronic infection. </w:t>
      </w:r>
      <w:r w:rsidRPr="00631694">
        <w:rPr>
          <w:i/>
          <w:iCs/>
          <w:lang w:val="en-US"/>
        </w:rPr>
        <w:t>Nat. Immunol.</w:t>
      </w:r>
      <w:r w:rsidRPr="00631694">
        <w:rPr>
          <w:lang w:val="en-US"/>
        </w:rPr>
        <w:t xml:space="preserve"> </w:t>
      </w:r>
      <w:r w:rsidRPr="00631694">
        <w:rPr>
          <w:b/>
          <w:bCs/>
          <w:lang w:val="en-US"/>
        </w:rPr>
        <w:t>12</w:t>
      </w:r>
      <w:r w:rsidRPr="00631694">
        <w:rPr>
          <w:lang w:val="en-US"/>
        </w:rPr>
        <w:t>, 663–671 (2011).</w:t>
      </w:r>
    </w:p>
    <w:p w:rsidRPr="00631694" w:rsidR="00631694" w:rsidP="00631694" w:rsidRDefault="00631694" w14:paraId="74B12CD1" w14:textId="77777777">
      <w:pPr>
        <w:pStyle w:val="Bibliography"/>
        <w:rPr>
          <w:lang w:val="en-US"/>
        </w:rPr>
      </w:pPr>
      <w:r w:rsidRPr="00631694">
        <w:rPr>
          <w:lang w:val="en-US"/>
        </w:rPr>
        <w:t>42.</w:t>
      </w:r>
      <w:r w:rsidRPr="00631694">
        <w:rPr>
          <w:lang w:val="en-US"/>
        </w:rPr>
        <w:tab/>
      </w:r>
      <w:r w:rsidRPr="00631694">
        <w:rPr>
          <w:lang w:val="en-US"/>
        </w:rPr>
        <w:t xml:space="preserve">Lynn, R. C. </w:t>
      </w:r>
      <w:r w:rsidRPr="00631694">
        <w:rPr>
          <w:i/>
          <w:iCs/>
          <w:lang w:val="en-US"/>
        </w:rPr>
        <w:t>et al.</w:t>
      </w:r>
      <w:r w:rsidRPr="00631694">
        <w:rPr>
          <w:lang w:val="en-US"/>
        </w:rPr>
        <w:t xml:space="preserve"> c-Jun overexpression in CAR T cells induces exhaustion resistance. </w:t>
      </w:r>
      <w:r w:rsidRPr="00631694">
        <w:rPr>
          <w:i/>
          <w:iCs/>
          <w:lang w:val="en-US"/>
        </w:rPr>
        <w:t>Nature</w:t>
      </w:r>
      <w:r w:rsidRPr="00631694">
        <w:rPr>
          <w:lang w:val="en-US"/>
        </w:rPr>
        <w:t xml:space="preserve"> </w:t>
      </w:r>
      <w:r w:rsidRPr="00631694">
        <w:rPr>
          <w:b/>
          <w:bCs/>
          <w:lang w:val="en-US"/>
        </w:rPr>
        <w:t>576</w:t>
      </w:r>
      <w:r w:rsidRPr="00631694">
        <w:rPr>
          <w:lang w:val="en-US"/>
        </w:rPr>
        <w:t>, 293–300 (2019).</w:t>
      </w:r>
    </w:p>
    <w:p w:rsidRPr="00631694" w:rsidR="00631694" w:rsidP="00631694" w:rsidRDefault="00631694" w14:paraId="4C1153AC" w14:textId="77777777">
      <w:pPr>
        <w:pStyle w:val="Bibliography"/>
        <w:rPr>
          <w:lang w:val="en-US"/>
        </w:rPr>
      </w:pPr>
      <w:r w:rsidRPr="00631694">
        <w:rPr>
          <w:lang w:val="en-US"/>
        </w:rPr>
        <w:t>43.</w:t>
      </w:r>
      <w:r w:rsidRPr="00631694">
        <w:rPr>
          <w:lang w:val="en-US"/>
        </w:rPr>
        <w:tab/>
      </w:r>
      <w:r w:rsidRPr="00631694">
        <w:rPr>
          <w:lang w:val="en-US"/>
        </w:rPr>
        <w:t xml:space="preserve">Malin, J. </w:t>
      </w:r>
      <w:r w:rsidRPr="00631694">
        <w:rPr>
          <w:i/>
          <w:iCs/>
          <w:lang w:val="en-US"/>
        </w:rPr>
        <w:t>et al.</w:t>
      </w:r>
      <w:r w:rsidRPr="00631694">
        <w:rPr>
          <w:lang w:val="en-US"/>
        </w:rPr>
        <w:t xml:space="preserve"> Expression of the transcription factor Klf6 by thymic epithelial cells is required for thymus development. </w:t>
      </w:r>
      <w:r w:rsidRPr="00631694">
        <w:rPr>
          <w:i/>
          <w:iCs/>
          <w:lang w:val="en-US"/>
        </w:rPr>
        <w:t>Sci. Adv.</w:t>
      </w:r>
      <w:r w:rsidRPr="00631694">
        <w:rPr>
          <w:lang w:val="en-US"/>
        </w:rPr>
        <w:t xml:space="preserve"> </w:t>
      </w:r>
      <w:r w:rsidRPr="00631694">
        <w:rPr>
          <w:b/>
          <w:bCs/>
          <w:lang w:val="en-US"/>
        </w:rPr>
        <w:t>9</w:t>
      </w:r>
      <w:r w:rsidRPr="00631694">
        <w:rPr>
          <w:lang w:val="en-US"/>
        </w:rPr>
        <w:t>, eadg8126 (2023).</w:t>
      </w:r>
    </w:p>
    <w:p w:rsidRPr="00631694" w:rsidR="00631694" w:rsidP="00631694" w:rsidRDefault="00631694" w14:paraId="4FC3D02A" w14:textId="77777777">
      <w:pPr>
        <w:pStyle w:val="Bibliography"/>
        <w:rPr>
          <w:lang w:val="en-US"/>
        </w:rPr>
      </w:pPr>
      <w:r w:rsidRPr="00631694">
        <w:rPr>
          <w:lang w:val="en-US"/>
        </w:rPr>
        <w:t>44.</w:t>
      </w:r>
      <w:r w:rsidRPr="00631694">
        <w:rPr>
          <w:lang w:val="en-US"/>
        </w:rPr>
        <w:tab/>
      </w:r>
      <w:r w:rsidRPr="00631694">
        <w:rPr>
          <w:lang w:val="en-US"/>
        </w:rPr>
        <w:t xml:space="preserve">Yin, P. </w:t>
      </w:r>
      <w:r w:rsidRPr="00631694">
        <w:rPr>
          <w:i/>
          <w:iCs/>
          <w:lang w:val="en-US"/>
        </w:rPr>
        <w:t>et al.</w:t>
      </w:r>
      <w:r w:rsidRPr="00631694">
        <w:rPr>
          <w:lang w:val="en-US"/>
        </w:rPr>
        <w:t xml:space="preserve"> Enhanced FOS expression improves tumor clearance and resists exhaustion in NR4A3-deficient CAR T cells under chronic antigen exposure. </w:t>
      </w:r>
      <w:r w:rsidRPr="00631694">
        <w:rPr>
          <w:i/>
          <w:iCs/>
          <w:lang w:val="en-US"/>
        </w:rPr>
        <w:t>Sci. Adv.</w:t>
      </w:r>
      <w:r w:rsidRPr="00631694">
        <w:rPr>
          <w:lang w:val="en-US"/>
        </w:rPr>
        <w:t xml:space="preserve"> </w:t>
      </w:r>
      <w:r w:rsidRPr="00631694">
        <w:rPr>
          <w:b/>
          <w:bCs/>
          <w:lang w:val="en-US"/>
        </w:rPr>
        <w:t>11</w:t>
      </w:r>
      <w:r w:rsidRPr="00631694">
        <w:rPr>
          <w:lang w:val="en-US"/>
        </w:rPr>
        <w:t>, eadw3571 (2025).</w:t>
      </w:r>
    </w:p>
    <w:p w:rsidRPr="00631694" w:rsidR="00631694" w:rsidP="00631694" w:rsidRDefault="00631694" w14:paraId="2615BD91" w14:textId="77777777">
      <w:pPr>
        <w:pStyle w:val="Bibliography"/>
        <w:rPr>
          <w:lang w:val="en-US"/>
        </w:rPr>
      </w:pPr>
      <w:r w:rsidRPr="00631694">
        <w:rPr>
          <w:lang w:val="en-US"/>
        </w:rPr>
        <w:t>45.</w:t>
      </w:r>
      <w:r w:rsidRPr="00631694">
        <w:rPr>
          <w:lang w:val="en-US"/>
        </w:rPr>
        <w:tab/>
      </w:r>
      <w:r w:rsidRPr="00631694">
        <w:rPr>
          <w:lang w:val="en-US"/>
        </w:rPr>
        <w:t xml:space="preserve">Wu, B., Koehler, A. N. &amp; Westcott, P. M. K. New opportunities to overcome T cell dysfunction: the role of transcription factors and how to target them. </w:t>
      </w:r>
      <w:r w:rsidRPr="00631694">
        <w:rPr>
          <w:i/>
          <w:iCs/>
          <w:lang w:val="en-US"/>
        </w:rPr>
        <w:t>Trends Biochem. Sci.</w:t>
      </w:r>
      <w:r w:rsidRPr="00631694">
        <w:rPr>
          <w:lang w:val="en-US"/>
        </w:rPr>
        <w:t xml:space="preserve"> </w:t>
      </w:r>
      <w:r w:rsidRPr="00631694">
        <w:rPr>
          <w:b/>
          <w:bCs/>
          <w:lang w:val="en-US"/>
        </w:rPr>
        <w:t>49</w:t>
      </w:r>
      <w:r w:rsidRPr="00631694">
        <w:rPr>
          <w:lang w:val="en-US"/>
        </w:rPr>
        <w:t>, 1014–1029 (2024).</w:t>
      </w:r>
    </w:p>
    <w:p w:rsidRPr="00631694" w:rsidR="00631694" w:rsidP="00631694" w:rsidRDefault="00631694" w14:paraId="2B162324" w14:textId="77777777">
      <w:pPr>
        <w:pStyle w:val="Bibliography"/>
        <w:rPr>
          <w:lang w:val="en-US"/>
        </w:rPr>
      </w:pPr>
      <w:r w:rsidRPr="00631694">
        <w:rPr>
          <w:lang w:val="en-US"/>
        </w:rPr>
        <w:t>46.</w:t>
      </w:r>
      <w:r w:rsidRPr="00631694">
        <w:rPr>
          <w:lang w:val="en-US"/>
        </w:rPr>
        <w:tab/>
      </w:r>
      <w:r w:rsidRPr="00631694">
        <w:rPr>
          <w:lang w:val="en-US"/>
        </w:rPr>
        <w:t xml:space="preserve">Robert, C., Prista Von Bonhorst, F., Dupont, G., Gonze, D. &amp; De Decker, Y. Role of tristability in the robustness of the differentiation mechanism. </w:t>
      </w:r>
      <w:r w:rsidRPr="00631694">
        <w:rPr>
          <w:i/>
          <w:iCs/>
          <w:lang w:val="en-US"/>
        </w:rPr>
        <w:t>PLOS ONE</w:t>
      </w:r>
      <w:r w:rsidRPr="00631694">
        <w:rPr>
          <w:lang w:val="en-US"/>
        </w:rPr>
        <w:t xml:space="preserve"> </w:t>
      </w:r>
      <w:r w:rsidRPr="00631694">
        <w:rPr>
          <w:b/>
          <w:bCs/>
          <w:lang w:val="en-US"/>
        </w:rPr>
        <w:t>20</w:t>
      </w:r>
      <w:r w:rsidRPr="00631694">
        <w:rPr>
          <w:lang w:val="en-US"/>
        </w:rPr>
        <w:t>, e0316666 (2025).</w:t>
      </w:r>
    </w:p>
    <w:p w:rsidRPr="00631694" w:rsidR="00631694" w:rsidP="00631694" w:rsidRDefault="00631694" w14:paraId="0B4EF027" w14:textId="77777777">
      <w:pPr>
        <w:pStyle w:val="Bibliography"/>
        <w:rPr>
          <w:lang w:val="en-US"/>
        </w:rPr>
      </w:pPr>
      <w:r w:rsidRPr="00631694">
        <w:rPr>
          <w:lang w:val="en-US"/>
        </w:rPr>
        <w:t>47.</w:t>
      </w:r>
      <w:r w:rsidRPr="00631694">
        <w:rPr>
          <w:lang w:val="en-US"/>
        </w:rPr>
        <w:tab/>
      </w:r>
      <w:r w:rsidRPr="00631694">
        <w:rPr>
          <w:lang w:val="en-US"/>
        </w:rPr>
        <w:t xml:space="preserve">Ghobrial, A., Flick, N., Daly, R., Hoffman, M. &amp; Milcarek, C. ELL2 Influences Transcription Elongation, Splicing, Ig Secretion and Growth. </w:t>
      </w:r>
      <w:r w:rsidRPr="00631694">
        <w:rPr>
          <w:i/>
          <w:iCs/>
          <w:lang w:val="en-US"/>
        </w:rPr>
        <w:t>J. Mucosal Immunol. Res.</w:t>
      </w:r>
      <w:r w:rsidRPr="00631694">
        <w:rPr>
          <w:lang w:val="en-US"/>
        </w:rPr>
        <w:t xml:space="preserve"> </w:t>
      </w:r>
      <w:r w:rsidRPr="00631694">
        <w:rPr>
          <w:b/>
          <w:bCs/>
          <w:lang w:val="en-US"/>
        </w:rPr>
        <w:t>3</w:t>
      </w:r>
      <w:r w:rsidRPr="00631694">
        <w:rPr>
          <w:lang w:val="en-US"/>
        </w:rPr>
        <w:t>, 112 (2019).</w:t>
      </w:r>
    </w:p>
    <w:p w:rsidRPr="00631694" w:rsidR="00631694" w:rsidP="00631694" w:rsidRDefault="00631694" w14:paraId="6E5FB400" w14:textId="77777777">
      <w:pPr>
        <w:pStyle w:val="Bibliography"/>
        <w:rPr>
          <w:lang w:val="en-US"/>
        </w:rPr>
      </w:pPr>
      <w:r w:rsidRPr="00631694">
        <w:rPr>
          <w:lang w:val="en-US"/>
        </w:rPr>
        <w:t>48.</w:t>
      </w:r>
      <w:r w:rsidRPr="00631694">
        <w:rPr>
          <w:lang w:val="en-US"/>
        </w:rPr>
        <w:tab/>
      </w:r>
      <w:r w:rsidRPr="00631694">
        <w:rPr>
          <w:lang w:val="en-US"/>
        </w:rPr>
        <w:t xml:space="preserve">Swift, J. &amp; Coruzzi, G. M. A matter of time - How transient transcription factor interactions create dynamic gene regulatory networks. </w:t>
      </w:r>
      <w:r w:rsidRPr="00631694">
        <w:rPr>
          <w:i/>
          <w:iCs/>
          <w:lang w:val="en-US"/>
        </w:rPr>
        <w:t>Biochim. Biophys. Acta Gene Regul. Mech.</w:t>
      </w:r>
      <w:r w:rsidRPr="00631694">
        <w:rPr>
          <w:lang w:val="en-US"/>
        </w:rPr>
        <w:t xml:space="preserve"> </w:t>
      </w:r>
      <w:r w:rsidRPr="00631694">
        <w:rPr>
          <w:b/>
          <w:bCs/>
          <w:lang w:val="en-US"/>
        </w:rPr>
        <w:t>1860</w:t>
      </w:r>
      <w:r w:rsidRPr="00631694">
        <w:rPr>
          <w:lang w:val="en-US"/>
        </w:rPr>
        <w:t>, 75–83 (2017).</w:t>
      </w:r>
    </w:p>
    <w:p w:rsidRPr="00631694" w:rsidR="00631694" w:rsidP="00631694" w:rsidRDefault="00631694" w14:paraId="688947CD" w14:textId="77777777">
      <w:pPr>
        <w:pStyle w:val="Bibliography"/>
        <w:rPr>
          <w:lang w:val="en-US"/>
        </w:rPr>
      </w:pPr>
      <w:r w:rsidRPr="00631694">
        <w:rPr>
          <w:lang w:val="en-US"/>
        </w:rPr>
        <w:t>49.</w:t>
      </w:r>
      <w:r w:rsidRPr="00631694">
        <w:rPr>
          <w:lang w:val="en-US"/>
        </w:rPr>
        <w:tab/>
      </w:r>
      <w:r w:rsidRPr="00631694">
        <w:rPr>
          <w:lang w:val="en-US"/>
        </w:rPr>
        <w:t xml:space="preserve">Liu, A. </w:t>
      </w:r>
      <w:r w:rsidRPr="00631694">
        <w:rPr>
          <w:i/>
          <w:iCs/>
          <w:lang w:val="en-US"/>
        </w:rPr>
        <w:t>et al.</w:t>
      </w:r>
      <w:r w:rsidRPr="00631694">
        <w:rPr>
          <w:lang w:val="en-US"/>
        </w:rPr>
        <w:t xml:space="preserve"> Cell Fate Programming by Transcription Factors and Epigenetic Machinery in Stomatal Development. </w:t>
      </w:r>
      <w:r w:rsidRPr="00631694">
        <w:rPr>
          <w:i/>
          <w:iCs/>
          <w:lang w:val="en-US"/>
        </w:rPr>
        <w:t>BioRxiv Prepr. Serv. Biol.</w:t>
      </w:r>
      <w:r w:rsidRPr="00631694">
        <w:rPr>
          <w:lang w:val="en-US"/>
        </w:rPr>
        <w:t xml:space="preserve"> 2023.08.23.554515 (2023) doi:10.1101/2023.08.23.554515.</w:t>
      </w:r>
    </w:p>
    <w:p w:rsidRPr="00631694" w:rsidR="00631694" w:rsidP="00631694" w:rsidRDefault="00631694" w14:paraId="75948193" w14:textId="77777777">
      <w:pPr>
        <w:pStyle w:val="Bibliography"/>
        <w:rPr>
          <w:lang w:val="en-US"/>
        </w:rPr>
      </w:pPr>
      <w:r w:rsidRPr="00631694">
        <w:rPr>
          <w:lang w:val="en-US"/>
        </w:rPr>
        <w:t>50.</w:t>
      </w:r>
      <w:r w:rsidRPr="00631694">
        <w:rPr>
          <w:lang w:val="en-US"/>
        </w:rPr>
        <w:tab/>
      </w:r>
      <w:r w:rsidRPr="00631694">
        <w:rPr>
          <w:lang w:val="en-US"/>
        </w:rPr>
        <w:t xml:space="preserve">Espinoza, D. A. </w:t>
      </w:r>
      <w:r w:rsidRPr="00631694">
        <w:rPr>
          <w:i/>
          <w:iCs/>
          <w:lang w:val="en-US"/>
        </w:rPr>
        <w:t>et al.</w:t>
      </w:r>
      <w:r w:rsidRPr="00631694">
        <w:rPr>
          <w:lang w:val="en-US"/>
        </w:rPr>
        <w:t xml:space="preserve"> Distinct stage-specific transcriptional states of B cells derived from human tonsillar tissue. </w:t>
      </w:r>
      <w:r w:rsidRPr="00631694">
        <w:rPr>
          <w:i/>
          <w:iCs/>
          <w:lang w:val="en-US"/>
        </w:rPr>
        <w:t>JCI Insight</w:t>
      </w:r>
      <w:r w:rsidRPr="00631694">
        <w:rPr>
          <w:lang w:val="en-US"/>
        </w:rPr>
        <w:t xml:space="preserve"> </w:t>
      </w:r>
      <w:r w:rsidRPr="00631694">
        <w:rPr>
          <w:b/>
          <w:bCs/>
          <w:lang w:val="en-US"/>
        </w:rPr>
        <w:t>8</w:t>
      </w:r>
      <w:r w:rsidRPr="00631694">
        <w:rPr>
          <w:lang w:val="en-US"/>
        </w:rPr>
        <w:t>, e155199 (2023).</w:t>
      </w:r>
    </w:p>
    <w:p w:rsidRPr="00631694" w:rsidR="00631694" w:rsidP="00631694" w:rsidRDefault="00631694" w14:paraId="5D3BD924" w14:textId="77777777">
      <w:pPr>
        <w:pStyle w:val="Bibliography"/>
        <w:rPr>
          <w:lang w:val="en-US"/>
        </w:rPr>
      </w:pPr>
      <w:r w:rsidRPr="00631694">
        <w:rPr>
          <w:lang w:val="en-US"/>
        </w:rPr>
        <w:t>51.</w:t>
      </w:r>
      <w:r w:rsidRPr="00631694">
        <w:rPr>
          <w:lang w:val="en-US"/>
        </w:rPr>
        <w:tab/>
      </w:r>
      <w:r w:rsidRPr="00631694">
        <w:rPr>
          <w:lang w:val="en-US"/>
        </w:rPr>
        <w:t xml:space="preserve">Horiuchi, S. </w:t>
      </w:r>
      <w:r w:rsidRPr="00631694">
        <w:rPr>
          <w:i/>
          <w:iCs/>
          <w:lang w:val="en-US"/>
        </w:rPr>
        <w:t>et al.</w:t>
      </w:r>
      <w:r w:rsidRPr="00631694">
        <w:rPr>
          <w:lang w:val="en-US"/>
        </w:rPr>
        <w:t xml:space="preserve"> SpiB regulates the expression of B-cell-related genes and increases the longevity of memory B cells. </w:t>
      </w:r>
      <w:r w:rsidRPr="00631694">
        <w:rPr>
          <w:i/>
          <w:iCs/>
          <w:lang w:val="en-US"/>
        </w:rPr>
        <w:t>Front. Immunol.</w:t>
      </w:r>
      <w:r w:rsidRPr="00631694">
        <w:rPr>
          <w:lang w:val="en-US"/>
        </w:rPr>
        <w:t xml:space="preserve"> </w:t>
      </w:r>
      <w:r w:rsidRPr="00631694">
        <w:rPr>
          <w:b/>
          <w:bCs/>
          <w:lang w:val="en-US"/>
        </w:rPr>
        <w:t>14</w:t>
      </w:r>
      <w:r w:rsidRPr="00631694">
        <w:rPr>
          <w:lang w:val="en-US"/>
        </w:rPr>
        <w:t>, 1250719 (2023).</w:t>
      </w:r>
    </w:p>
    <w:p w:rsidRPr="00631694" w:rsidR="00631694" w:rsidP="00631694" w:rsidRDefault="00631694" w14:paraId="5C0613EA" w14:textId="77777777">
      <w:pPr>
        <w:pStyle w:val="Bibliography"/>
        <w:rPr>
          <w:lang w:val="en-US"/>
        </w:rPr>
      </w:pPr>
      <w:r w:rsidRPr="00631694">
        <w:rPr>
          <w:lang w:val="en-US"/>
        </w:rPr>
        <w:t>52.</w:t>
      </w:r>
      <w:r w:rsidRPr="00631694">
        <w:rPr>
          <w:lang w:val="en-US"/>
        </w:rPr>
        <w:tab/>
      </w:r>
      <w:r w:rsidRPr="00631694">
        <w:rPr>
          <w:lang w:val="en-US"/>
        </w:rPr>
        <w:t xml:space="preserve">Musa, J., Aynaud, M.-M., Mirabeau, O., Delattre, O. &amp; Grünewald, T. G. MYBL2 (B-Myb): a central regulator of cell proliferation, cell survival and differentiation involved in tumorigenesis. </w:t>
      </w:r>
      <w:r w:rsidRPr="00631694">
        <w:rPr>
          <w:i/>
          <w:iCs/>
          <w:lang w:val="en-US"/>
        </w:rPr>
        <w:t>Cell Death Dis.</w:t>
      </w:r>
      <w:r w:rsidRPr="00631694">
        <w:rPr>
          <w:lang w:val="en-US"/>
        </w:rPr>
        <w:t xml:space="preserve"> </w:t>
      </w:r>
      <w:r w:rsidRPr="00631694">
        <w:rPr>
          <w:b/>
          <w:bCs/>
          <w:lang w:val="en-US"/>
        </w:rPr>
        <w:t>8</w:t>
      </w:r>
      <w:r w:rsidRPr="00631694">
        <w:rPr>
          <w:lang w:val="en-US"/>
        </w:rPr>
        <w:t>, e2895 (2017).</w:t>
      </w:r>
    </w:p>
    <w:p w:rsidRPr="00631694" w:rsidR="00631694" w:rsidP="00631694" w:rsidRDefault="00631694" w14:paraId="7036F00A" w14:textId="77777777">
      <w:pPr>
        <w:pStyle w:val="Bibliography"/>
        <w:rPr>
          <w:lang w:val="en-US"/>
        </w:rPr>
      </w:pPr>
      <w:r w:rsidRPr="00631694">
        <w:rPr>
          <w:lang w:val="en-US"/>
        </w:rPr>
        <w:t>53.</w:t>
      </w:r>
      <w:r w:rsidRPr="00631694">
        <w:rPr>
          <w:lang w:val="en-US"/>
        </w:rPr>
        <w:tab/>
      </w:r>
      <w:r w:rsidRPr="00631694">
        <w:rPr>
          <w:lang w:val="en-US"/>
        </w:rPr>
        <w:t xml:space="preserve">Tamayo, E., Alvarez, P. &amp; Merino, R. TGFβ Superfamily Members as Regulators of B Cell Development and Function-Implications for Autoimmunity. </w:t>
      </w:r>
      <w:r w:rsidRPr="00631694">
        <w:rPr>
          <w:i/>
          <w:iCs/>
          <w:lang w:val="en-US"/>
        </w:rPr>
        <w:t>Int. J. Mol. Sci.</w:t>
      </w:r>
      <w:r w:rsidRPr="00631694">
        <w:rPr>
          <w:lang w:val="en-US"/>
        </w:rPr>
        <w:t xml:space="preserve"> </w:t>
      </w:r>
      <w:r w:rsidRPr="00631694">
        <w:rPr>
          <w:b/>
          <w:bCs/>
          <w:lang w:val="en-US"/>
        </w:rPr>
        <w:t>19</w:t>
      </w:r>
      <w:r w:rsidRPr="00631694">
        <w:rPr>
          <w:lang w:val="en-US"/>
        </w:rPr>
        <w:t>, 3928 (2018).</w:t>
      </w:r>
    </w:p>
    <w:p w:rsidRPr="00631694" w:rsidR="00631694" w:rsidP="00631694" w:rsidRDefault="00631694" w14:paraId="06A3AF64" w14:textId="77777777">
      <w:pPr>
        <w:pStyle w:val="Bibliography"/>
        <w:rPr>
          <w:lang w:val="en-US"/>
        </w:rPr>
      </w:pPr>
      <w:r w:rsidRPr="00631694">
        <w:rPr>
          <w:lang w:val="en-US"/>
        </w:rPr>
        <w:t>54.</w:t>
      </w:r>
      <w:r w:rsidRPr="00631694">
        <w:rPr>
          <w:lang w:val="en-US"/>
        </w:rPr>
        <w:tab/>
      </w:r>
      <w:r w:rsidRPr="00631694">
        <w:rPr>
          <w:lang w:val="en-US"/>
        </w:rPr>
        <w:t xml:space="preserve">Pappu, R. </w:t>
      </w:r>
      <w:r w:rsidRPr="00631694">
        <w:rPr>
          <w:i/>
          <w:iCs/>
          <w:lang w:val="en-US"/>
        </w:rPr>
        <w:t>et al.</w:t>
      </w:r>
      <w:r w:rsidRPr="00631694">
        <w:rPr>
          <w:lang w:val="en-US"/>
        </w:rPr>
        <w:t xml:space="preserve"> Requirement for B Cell Linker Protein (BLNK) in B Cell Development. </w:t>
      </w:r>
      <w:r w:rsidRPr="00631694">
        <w:rPr>
          <w:i/>
          <w:iCs/>
          <w:lang w:val="en-US"/>
        </w:rPr>
        <w:t>Science</w:t>
      </w:r>
      <w:r w:rsidRPr="00631694">
        <w:rPr>
          <w:lang w:val="en-US"/>
        </w:rPr>
        <w:t xml:space="preserve"> </w:t>
      </w:r>
      <w:r w:rsidRPr="00631694">
        <w:rPr>
          <w:b/>
          <w:bCs/>
          <w:lang w:val="en-US"/>
        </w:rPr>
        <w:t>286</w:t>
      </w:r>
      <w:r w:rsidRPr="00631694">
        <w:rPr>
          <w:lang w:val="en-US"/>
        </w:rPr>
        <w:t>, 1949–1954 (1999).</w:t>
      </w:r>
    </w:p>
    <w:p w:rsidRPr="00631694" w:rsidR="00631694" w:rsidP="00631694" w:rsidRDefault="00631694" w14:paraId="508C3744" w14:textId="77777777">
      <w:pPr>
        <w:pStyle w:val="Bibliography"/>
        <w:rPr>
          <w:lang w:val="en-US"/>
        </w:rPr>
      </w:pPr>
      <w:r w:rsidRPr="00631694">
        <w:rPr>
          <w:lang w:val="en-US"/>
        </w:rPr>
        <w:t>55.</w:t>
      </w:r>
      <w:r w:rsidRPr="00631694">
        <w:rPr>
          <w:lang w:val="en-US"/>
        </w:rPr>
        <w:tab/>
      </w:r>
      <w:r w:rsidRPr="00631694">
        <w:rPr>
          <w:lang w:val="en-US"/>
        </w:rPr>
        <w:t xml:space="preserve">Leu, C.-M. Nck, a missing adaptor between the B-cell receptor complex and the BCAP/PI3K/Akt pathway. </w:t>
      </w:r>
      <w:r w:rsidRPr="00631694">
        <w:rPr>
          <w:i/>
          <w:iCs/>
          <w:lang w:val="en-US"/>
        </w:rPr>
        <w:t>Cell. Mol. Immunol.</w:t>
      </w:r>
      <w:r w:rsidRPr="00631694">
        <w:rPr>
          <w:lang w:val="en-US"/>
        </w:rPr>
        <w:t xml:space="preserve"> </w:t>
      </w:r>
      <w:r w:rsidRPr="00631694">
        <w:rPr>
          <w:b/>
          <w:bCs/>
          <w:lang w:val="en-US"/>
        </w:rPr>
        <w:t>11</w:t>
      </w:r>
      <w:r w:rsidRPr="00631694">
        <w:rPr>
          <w:lang w:val="en-US"/>
        </w:rPr>
        <w:t>, 120–122 (2014).</w:t>
      </w:r>
    </w:p>
    <w:p w:rsidRPr="00631694" w:rsidR="00631694" w:rsidP="00631694" w:rsidRDefault="00631694" w14:paraId="2E30FE6D" w14:textId="77777777">
      <w:pPr>
        <w:pStyle w:val="Bibliography"/>
        <w:rPr>
          <w:lang w:val="en-US"/>
        </w:rPr>
      </w:pPr>
      <w:r w:rsidRPr="00631694">
        <w:rPr>
          <w:lang w:val="en-US"/>
        </w:rPr>
        <w:t>56.</w:t>
      </w:r>
      <w:r w:rsidRPr="00631694">
        <w:rPr>
          <w:lang w:val="en-US"/>
        </w:rPr>
        <w:tab/>
      </w:r>
      <w:r w:rsidRPr="00631694">
        <w:rPr>
          <w:lang w:val="en-US"/>
        </w:rPr>
        <w:t xml:space="preserve">Dovat, S. </w:t>
      </w:r>
      <w:r w:rsidRPr="00631694">
        <w:rPr>
          <w:i/>
          <w:iCs/>
          <w:lang w:val="en-US"/>
        </w:rPr>
        <w:t>et al.</w:t>
      </w:r>
      <w:r w:rsidRPr="00631694">
        <w:rPr>
          <w:lang w:val="en-US"/>
        </w:rPr>
        <w:t xml:space="preserve"> Transgenic Expression of Helios in B Lineage Cells Alters B Cell Properties and Promotes Lymphomagenesis. </w:t>
      </w:r>
      <w:r w:rsidRPr="00631694">
        <w:rPr>
          <w:i/>
          <w:iCs/>
          <w:lang w:val="en-US"/>
        </w:rPr>
        <w:t>J. Immunol.</w:t>
      </w:r>
      <w:r w:rsidRPr="00631694">
        <w:rPr>
          <w:lang w:val="en-US"/>
        </w:rPr>
        <w:t xml:space="preserve"> </w:t>
      </w:r>
      <w:r w:rsidRPr="00631694">
        <w:rPr>
          <w:b/>
          <w:bCs/>
          <w:lang w:val="en-US"/>
        </w:rPr>
        <w:t>175</w:t>
      </w:r>
      <w:r w:rsidRPr="00631694">
        <w:rPr>
          <w:lang w:val="en-US"/>
        </w:rPr>
        <w:t>, 3508–3515 (2005).</w:t>
      </w:r>
    </w:p>
    <w:p w:rsidRPr="00631694" w:rsidR="00631694" w:rsidP="00631694" w:rsidRDefault="00631694" w14:paraId="289D6375" w14:textId="77777777">
      <w:pPr>
        <w:pStyle w:val="Bibliography"/>
        <w:rPr>
          <w:lang w:val="en-US"/>
        </w:rPr>
      </w:pPr>
      <w:r w:rsidRPr="00631694">
        <w:rPr>
          <w:lang w:val="en-US"/>
        </w:rPr>
        <w:t>57.</w:t>
      </w:r>
      <w:r w:rsidRPr="00631694">
        <w:rPr>
          <w:lang w:val="en-US"/>
        </w:rPr>
        <w:tab/>
      </w:r>
      <w:r w:rsidRPr="00631694">
        <w:rPr>
          <w:lang w:val="en-US"/>
        </w:rPr>
        <w:t xml:space="preserve">Tanigaki, K., Kuroda, K., Han, H. &amp; Honjo, T. Regulation of B cell development by Notch/RBP-J signaling. </w:t>
      </w:r>
      <w:r w:rsidRPr="00631694">
        <w:rPr>
          <w:i/>
          <w:iCs/>
          <w:lang w:val="en-US"/>
        </w:rPr>
        <w:t>Semin. Immunol.</w:t>
      </w:r>
      <w:r w:rsidRPr="00631694">
        <w:rPr>
          <w:lang w:val="en-US"/>
        </w:rPr>
        <w:t xml:space="preserve"> </w:t>
      </w:r>
      <w:r w:rsidRPr="00631694">
        <w:rPr>
          <w:b/>
          <w:bCs/>
          <w:lang w:val="en-US"/>
        </w:rPr>
        <w:t>15</w:t>
      </w:r>
      <w:r w:rsidRPr="00631694">
        <w:rPr>
          <w:lang w:val="en-US"/>
        </w:rPr>
        <w:t>, 113–119 (2003).</w:t>
      </w:r>
    </w:p>
    <w:p w:rsidRPr="00631694" w:rsidR="00631694" w:rsidP="00631694" w:rsidRDefault="00631694" w14:paraId="38FD3A66" w14:textId="77777777">
      <w:pPr>
        <w:pStyle w:val="Bibliography"/>
        <w:rPr>
          <w:lang w:val="en-US"/>
        </w:rPr>
      </w:pPr>
      <w:r w:rsidRPr="00631694">
        <w:rPr>
          <w:lang w:val="en-US"/>
        </w:rPr>
        <w:t>58.</w:t>
      </w:r>
      <w:r w:rsidRPr="00631694">
        <w:rPr>
          <w:lang w:val="en-US"/>
        </w:rPr>
        <w:tab/>
      </w:r>
      <w:r w:rsidRPr="00631694">
        <w:rPr>
          <w:lang w:val="en-US"/>
        </w:rPr>
        <w:t xml:space="preserve">Lambert, S. A. </w:t>
      </w:r>
      <w:r w:rsidRPr="00631694">
        <w:rPr>
          <w:i/>
          <w:iCs/>
          <w:lang w:val="en-US"/>
        </w:rPr>
        <w:t>et al.</w:t>
      </w:r>
      <w:r w:rsidRPr="00631694">
        <w:rPr>
          <w:lang w:val="en-US"/>
        </w:rPr>
        <w:t xml:space="preserve"> The human transcription factors. </w:t>
      </w:r>
      <w:r w:rsidRPr="00631694">
        <w:rPr>
          <w:i/>
          <w:iCs/>
          <w:lang w:val="en-US"/>
        </w:rPr>
        <w:t>Cell</w:t>
      </w:r>
      <w:r w:rsidRPr="00631694">
        <w:rPr>
          <w:lang w:val="en-US"/>
        </w:rPr>
        <w:t xml:space="preserve"> </w:t>
      </w:r>
      <w:r w:rsidRPr="00631694">
        <w:rPr>
          <w:b/>
          <w:bCs/>
          <w:lang w:val="en-US"/>
        </w:rPr>
        <w:t>172</w:t>
      </w:r>
      <w:r w:rsidRPr="00631694">
        <w:rPr>
          <w:lang w:val="en-US"/>
        </w:rPr>
        <w:t>, 650–665 (2018).</w:t>
      </w:r>
    </w:p>
    <w:p w:rsidRPr="00631694" w:rsidR="00631694" w:rsidP="00631694" w:rsidRDefault="00631694" w14:paraId="65B62C0D" w14:textId="77777777">
      <w:pPr>
        <w:pStyle w:val="Bibliography"/>
        <w:rPr>
          <w:lang w:val="en-US"/>
        </w:rPr>
      </w:pPr>
      <w:r w:rsidRPr="00631694">
        <w:rPr>
          <w:lang w:val="en-US"/>
        </w:rPr>
        <w:t>59.</w:t>
      </w:r>
      <w:r w:rsidRPr="00631694">
        <w:rPr>
          <w:lang w:val="en-US"/>
        </w:rPr>
        <w:tab/>
      </w:r>
      <w:r w:rsidRPr="00631694">
        <w:rPr>
          <w:lang w:val="en-US"/>
        </w:rPr>
        <w:t xml:space="preserve">Zhou, P. </w:t>
      </w:r>
      <w:r w:rsidRPr="00631694">
        <w:rPr>
          <w:i/>
          <w:iCs/>
          <w:lang w:val="en-US"/>
        </w:rPr>
        <w:t>et al.</w:t>
      </w:r>
      <w:r w:rsidRPr="00631694">
        <w:rPr>
          <w:lang w:val="en-US"/>
        </w:rPr>
        <w:t xml:space="preserve"> Single-cell CRISPR screens in vivo map T cell fate regulomes in cancer. </w:t>
      </w:r>
      <w:r w:rsidRPr="00631694">
        <w:rPr>
          <w:i/>
          <w:iCs/>
          <w:lang w:val="en-US"/>
        </w:rPr>
        <w:t>Nature</w:t>
      </w:r>
      <w:r w:rsidRPr="00631694">
        <w:rPr>
          <w:lang w:val="en-US"/>
        </w:rPr>
        <w:t xml:space="preserve"> </w:t>
      </w:r>
      <w:r w:rsidRPr="00631694">
        <w:rPr>
          <w:b/>
          <w:bCs/>
          <w:lang w:val="en-US"/>
        </w:rPr>
        <w:t>624</w:t>
      </w:r>
      <w:r w:rsidRPr="00631694">
        <w:rPr>
          <w:lang w:val="en-US"/>
        </w:rPr>
        <w:t>, 154–163 (2023).</w:t>
      </w:r>
    </w:p>
    <w:p w:rsidRPr="00631694" w:rsidR="00631694" w:rsidP="00631694" w:rsidRDefault="00631694" w14:paraId="18C4D620" w14:textId="77777777">
      <w:pPr>
        <w:pStyle w:val="Bibliography"/>
        <w:rPr>
          <w:lang w:val="en-US"/>
        </w:rPr>
      </w:pPr>
      <w:r w:rsidRPr="00631694">
        <w:rPr>
          <w:lang w:val="en-US"/>
        </w:rPr>
        <w:t>60.</w:t>
      </w:r>
      <w:r w:rsidRPr="00631694">
        <w:rPr>
          <w:lang w:val="en-US"/>
        </w:rPr>
        <w:tab/>
      </w:r>
      <w:r w:rsidRPr="00631694">
        <w:rPr>
          <w:lang w:val="en-US"/>
        </w:rPr>
        <w:t xml:space="preserve">Kallies, A., Zehn, D. &amp; Utzschneider, D. T. Precursor exhausted T cells: key to successful immunotherapy? </w:t>
      </w:r>
      <w:r w:rsidRPr="00631694">
        <w:rPr>
          <w:i/>
          <w:iCs/>
          <w:lang w:val="en-US"/>
        </w:rPr>
        <w:t>Nat. Rev. Immunol.</w:t>
      </w:r>
      <w:r w:rsidRPr="00631694">
        <w:rPr>
          <w:lang w:val="en-US"/>
        </w:rPr>
        <w:t xml:space="preserve"> </w:t>
      </w:r>
      <w:r w:rsidRPr="00631694">
        <w:rPr>
          <w:b/>
          <w:bCs/>
          <w:lang w:val="en-US"/>
        </w:rPr>
        <w:t>20</w:t>
      </w:r>
      <w:r w:rsidRPr="00631694">
        <w:rPr>
          <w:lang w:val="en-US"/>
        </w:rPr>
        <w:t>, 128–136 (2020).</w:t>
      </w:r>
    </w:p>
    <w:p w:rsidRPr="00631694" w:rsidR="00631694" w:rsidP="00631694" w:rsidRDefault="00631694" w14:paraId="52575693" w14:textId="77777777">
      <w:pPr>
        <w:pStyle w:val="Bibliography"/>
        <w:rPr>
          <w:lang w:val="en-US"/>
        </w:rPr>
      </w:pPr>
      <w:r w:rsidRPr="00631694">
        <w:rPr>
          <w:lang w:val="en-US"/>
        </w:rPr>
        <w:t>61.</w:t>
      </w:r>
      <w:r w:rsidRPr="00631694">
        <w:rPr>
          <w:lang w:val="en-US"/>
        </w:rPr>
        <w:tab/>
      </w:r>
      <w:r w:rsidRPr="00631694">
        <w:rPr>
          <w:lang w:val="en-US"/>
        </w:rPr>
        <w:t xml:space="preserve">Han, Y. </w:t>
      </w:r>
      <w:r w:rsidRPr="00631694">
        <w:rPr>
          <w:i/>
          <w:iCs/>
          <w:lang w:val="en-US"/>
        </w:rPr>
        <w:t>et al.</w:t>
      </w:r>
      <w:r w:rsidRPr="00631694">
        <w:rPr>
          <w:lang w:val="en-US"/>
        </w:rPr>
        <w:t xml:space="preserve"> KLRL1, a novel killer cell lectinlike receptor, inhibits natural killer cell cytotoxicity. </w:t>
      </w:r>
      <w:r w:rsidRPr="00631694">
        <w:rPr>
          <w:i/>
          <w:iCs/>
          <w:lang w:val="en-US"/>
        </w:rPr>
        <w:t>Blood</w:t>
      </w:r>
      <w:r w:rsidRPr="00631694">
        <w:rPr>
          <w:lang w:val="en-US"/>
        </w:rPr>
        <w:t xml:space="preserve"> </w:t>
      </w:r>
      <w:r w:rsidRPr="00631694">
        <w:rPr>
          <w:b/>
          <w:bCs/>
          <w:lang w:val="en-US"/>
        </w:rPr>
        <w:t>104</w:t>
      </w:r>
      <w:r w:rsidRPr="00631694">
        <w:rPr>
          <w:lang w:val="en-US"/>
        </w:rPr>
        <w:t>, 2858–2866 (2004).</w:t>
      </w:r>
    </w:p>
    <w:p w:rsidRPr="00631694" w:rsidR="00631694" w:rsidP="00631694" w:rsidRDefault="00631694" w14:paraId="7BA13425" w14:textId="77777777">
      <w:pPr>
        <w:pStyle w:val="Bibliography"/>
        <w:rPr>
          <w:lang w:val="en-US"/>
        </w:rPr>
      </w:pPr>
      <w:r w:rsidRPr="00631694">
        <w:rPr>
          <w:lang w:val="en-US"/>
        </w:rPr>
        <w:t>62.</w:t>
      </w:r>
      <w:r w:rsidRPr="00631694">
        <w:rPr>
          <w:lang w:val="en-US"/>
        </w:rPr>
        <w:tab/>
      </w:r>
      <w:r w:rsidRPr="00631694">
        <w:rPr>
          <w:lang w:val="en-US"/>
        </w:rPr>
        <w:t xml:space="preserve">Salmon, A. J. </w:t>
      </w:r>
      <w:r w:rsidRPr="00631694">
        <w:rPr>
          <w:i/>
          <w:iCs/>
          <w:lang w:val="en-US"/>
        </w:rPr>
        <w:t>et al.</w:t>
      </w:r>
      <w:r w:rsidRPr="00631694">
        <w:rPr>
          <w:lang w:val="en-US"/>
        </w:rPr>
        <w:t xml:space="preserve"> BHLHE40 Regulates the T-Cell Effector Function Required for Tumor Microenvironment Remodeling and Immune Checkpoint Therapy Efficacy. </w:t>
      </w:r>
      <w:r w:rsidRPr="00631694">
        <w:rPr>
          <w:i/>
          <w:iCs/>
          <w:lang w:val="en-US"/>
        </w:rPr>
        <w:t>Cancer Immunol. Res.</w:t>
      </w:r>
      <w:r w:rsidRPr="00631694">
        <w:rPr>
          <w:lang w:val="en-US"/>
        </w:rPr>
        <w:t xml:space="preserve"> </w:t>
      </w:r>
      <w:r w:rsidRPr="00631694">
        <w:rPr>
          <w:b/>
          <w:bCs/>
          <w:lang w:val="en-US"/>
        </w:rPr>
        <w:t>10</w:t>
      </w:r>
      <w:r w:rsidRPr="00631694">
        <w:rPr>
          <w:lang w:val="en-US"/>
        </w:rPr>
        <w:t>, 597–611 (2022).</w:t>
      </w:r>
    </w:p>
    <w:p w:rsidRPr="00631694" w:rsidR="00631694" w:rsidP="00631694" w:rsidRDefault="00631694" w14:paraId="725A5B1C" w14:textId="77777777">
      <w:pPr>
        <w:pStyle w:val="Bibliography"/>
        <w:rPr>
          <w:lang w:val="en-US"/>
        </w:rPr>
      </w:pPr>
      <w:r w:rsidRPr="00631694">
        <w:rPr>
          <w:lang w:val="en-US"/>
        </w:rPr>
        <w:t>63.</w:t>
      </w:r>
      <w:r w:rsidRPr="00631694">
        <w:rPr>
          <w:lang w:val="en-US"/>
        </w:rPr>
        <w:tab/>
      </w:r>
      <w:r w:rsidRPr="00631694">
        <w:rPr>
          <w:lang w:val="en-US"/>
        </w:rPr>
        <w:t xml:space="preserve">Douanne, T. </w:t>
      </w:r>
      <w:r w:rsidRPr="00631694">
        <w:rPr>
          <w:i/>
          <w:iCs/>
          <w:lang w:val="en-US"/>
        </w:rPr>
        <w:t>et al.</w:t>
      </w:r>
      <w:r w:rsidRPr="00631694">
        <w:rPr>
          <w:lang w:val="en-US"/>
        </w:rPr>
        <w:t xml:space="preserve"> NFIL3 contributes to cytotoxic T lymphocyte-mediated killing. </w:t>
      </w:r>
      <w:r w:rsidRPr="00631694">
        <w:rPr>
          <w:i/>
          <w:iCs/>
          <w:lang w:val="en-US"/>
        </w:rPr>
        <w:t>Open Biol.</w:t>
      </w:r>
      <w:r w:rsidRPr="00631694">
        <w:rPr>
          <w:lang w:val="en-US"/>
        </w:rPr>
        <w:t xml:space="preserve"> </w:t>
      </w:r>
      <w:r w:rsidRPr="00631694">
        <w:rPr>
          <w:b/>
          <w:bCs/>
          <w:lang w:val="en-US"/>
        </w:rPr>
        <w:t>14</w:t>
      </w:r>
      <w:r w:rsidRPr="00631694">
        <w:rPr>
          <w:lang w:val="en-US"/>
        </w:rPr>
        <w:t>, 230456 (2024).</w:t>
      </w:r>
    </w:p>
    <w:p w:rsidRPr="00631694" w:rsidR="00631694" w:rsidP="00631694" w:rsidRDefault="00631694" w14:paraId="0F664220" w14:textId="77777777">
      <w:pPr>
        <w:pStyle w:val="Bibliography"/>
        <w:rPr>
          <w:lang w:val="en-US"/>
        </w:rPr>
      </w:pPr>
      <w:r w:rsidRPr="00631694">
        <w:rPr>
          <w:lang w:val="en-US"/>
        </w:rPr>
        <w:t>64.</w:t>
      </w:r>
      <w:r w:rsidRPr="00631694">
        <w:rPr>
          <w:lang w:val="en-US"/>
        </w:rPr>
        <w:tab/>
      </w:r>
      <w:r w:rsidRPr="00631694">
        <w:rPr>
          <w:lang w:val="en-US"/>
        </w:rPr>
        <w:t xml:space="preserve">Reading, S. M. </w:t>
      </w:r>
      <w:r w:rsidRPr="00631694">
        <w:rPr>
          <w:i/>
          <w:iCs/>
          <w:lang w:val="en-US"/>
        </w:rPr>
        <w:t>et al.</w:t>
      </w:r>
      <w:r w:rsidRPr="00631694">
        <w:rPr>
          <w:lang w:val="en-US"/>
        </w:rPr>
        <w:t xml:space="preserve"> Abstract LT02: Regulation of Exhausted CD8+ T cell Differentiation by IKZF Transcription Factors. </w:t>
      </w:r>
      <w:r w:rsidRPr="00631694">
        <w:rPr>
          <w:i/>
          <w:iCs/>
          <w:lang w:val="en-US"/>
        </w:rPr>
        <w:t>Cancer Res.</w:t>
      </w:r>
      <w:r w:rsidRPr="00631694">
        <w:rPr>
          <w:lang w:val="en-US"/>
        </w:rPr>
        <w:t xml:space="preserve"> </w:t>
      </w:r>
      <w:r w:rsidRPr="00631694">
        <w:rPr>
          <w:b/>
          <w:bCs/>
          <w:lang w:val="en-US"/>
        </w:rPr>
        <w:t>84</w:t>
      </w:r>
      <w:r w:rsidRPr="00631694">
        <w:rPr>
          <w:lang w:val="en-US"/>
        </w:rPr>
        <w:t>, LT02–LT02 (2024).</w:t>
      </w:r>
    </w:p>
    <w:p w:rsidRPr="00631694" w:rsidR="00631694" w:rsidP="00631694" w:rsidRDefault="00631694" w14:paraId="61039054" w14:textId="77777777">
      <w:pPr>
        <w:pStyle w:val="Bibliography"/>
        <w:rPr>
          <w:lang w:val="en-US"/>
        </w:rPr>
      </w:pPr>
      <w:r w:rsidRPr="00631694">
        <w:rPr>
          <w:lang w:val="en-US"/>
        </w:rPr>
        <w:t>65.</w:t>
      </w:r>
      <w:r w:rsidRPr="00631694">
        <w:rPr>
          <w:lang w:val="en-US"/>
        </w:rPr>
        <w:tab/>
      </w:r>
      <w:r w:rsidRPr="00631694">
        <w:rPr>
          <w:lang w:val="en-US"/>
        </w:rPr>
        <w:t xml:space="preserve">Ahn, E. </w:t>
      </w:r>
      <w:r w:rsidRPr="00631694">
        <w:rPr>
          <w:i/>
          <w:iCs/>
          <w:lang w:val="en-US"/>
        </w:rPr>
        <w:t>et al.</w:t>
      </w:r>
      <w:r w:rsidRPr="00631694">
        <w:rPr>
          <w:lang w:val="en-US"/>
        </w:rPr>
        <w:t xml:space="preserve"> Role of PD-1 during effector CD8 T cell differentiation. </w:t>
      </w:r>
      <w:r w:rsidRPr="00631694">
        <w:rPr>
          <w:i/>
          <w:iCs/>
          <w:lang w:val="en-US"/>
        </w:rPr>
        <w:t>Proc. Natl. Acad. Sci. U. S. A.</w:t>
      </w:r>
      <w:r w:rsidRPr="00631694">
        <w:rPr>
          <w:lang w:val="en-US"/>
        </w:rPr>
        <w:t xml:space="preserve"> </w:t>
      </w:r>
      <w:r w:rsidRPr="00631694">
        <w:rPr>
          <w:b/>
          <w:bCs/>
          <w:lang w:val="en-US"/>
        </w:rPr>
        <w:t>115</w:t>
      </w:r>
      <w:r w:rsidRPr="00631694">
        <w:rPr>
          <w:lang w:val="en-US"/>
        </w:rPr>
        <w:t>, 4749–4754 (2018).</w:t>
      </w:r>
    </w:p>
    <w:p w:rsidRPr="00631694" w:rsidR="00631694" w:rsidP="00631694" w:rsidRDefault="00631694" w14:paraId="60C4C406" w14:textId="77777777">
      <w:pPr>
        <w:pStyle w:val="Bibliography"/>
        <w:rPr>
          <w:lang w:val="en-US"/>
        </w:rPr>
      </w:pPr>
      <w:r w:rsidRPr="00631694">
        <w:rPr>
          <w:lang w:val="en-US"/>
        </w:rPr>
        <w:t>66.</w:t>
      </w:r>
      <w:r w:rsidRPr="00631694">
        <w:rPr>
          <w:lang w:val="en-US"/>
        </w:rPr>
        <w:tab/>
      </w:r>
      <w:r w:rsidRPr="00631694">
        <w:rPr>
          <w:lang w:val="en-US"/>
        </w:rPr>
        <w:t xml:space="preserve">Li, H., Yang, D., Hao, M. &amp; Liu, H. Differential expression of HAVCR2 gene in pan-cancer: A potential biomarker for survival and immunotherapy. </w:t>
      </w:r>
      <w:r w:rsidRPr="00631694">
        <w:rPr>
          <w:i/>
          <w:iCs/>
          <w:lang w:val="en-US"/>
        </w:rPr>
        <w:t>Front. Genet.</w:t>
      </w:r>
      <w:r w:rsidRPr="00631694">
        <w:rPr>
          <w:lang w:val="en-US"/>
        </w:rPr>
        <w:t xml:space="preserve"> </w:t>
      </w:r>
      <w:r w:rsidRPr="00631694">
        <w:rPr>
          <w:b/>
          <w:bCs/>
          <w:lang w:val="en-US"/>
        </w:rPr>
        <w:t>13</w:t>
      </w:r>
      <w:r w:rsidRPr="00631694">
        <w:rPr>
          <w:lang w:val="en-US"/>
        </w:rPr>
        <w:t>, 972664 (2022).</w:t>
      </w:r>
    </w:p>
    <w:p w:rsidRPr="00631694" w:rsidR="00631694" w:rsidP="00631694" w:rsidRDefault="00631694" w14:paraId="77A10E64" w14:textId="77777777">
      <w:pPr>
        <w:pStyle w:val="Bibliography"/>
        <w:rPr>
          <w:lang w:val="en-US"/>
        </w:rPr>
      </w:pPr>
      <w:r w:rsidRPr="00631694">
        <w:rPr>
          <w:lang w:val="en-US"/>
        </w:rPr>
        <w:t>67.</w:t>
      </w:r>
      <w:r w:rsidRPr="00631694">
        <w:rPr>
          <w:lang w:val="en-US"/>
        </w:rPr>
        <w:tab/>
      </w:r>
      <w:r w:rsidRPr="00631694">
        <w:rPr>
          <w:lang w:val="en-US"/>
        </w:rPr>
        <w:t xml:space="preserve">Sheikh, A. A. &amp; Utzschneider, D. T. IRF2 integrates inflammatory signals to balance T cell exhaustion. </w:t>
      </w:r>
      <w:r w:rsidRPr="00631694">
        <w:rPr>
          <w:i/>
          <w:iCs/>
          <w:lang w:val="en-US"/>
        </w:rPr>
        <w:t>Immunity</w:t>
      </w:r>
      <w:r w:rsidRPr="00631694">
        <w:rPr>
          <w:lang w:val="en-US"/>
        </w:rPr>
        <w:t xml:space="preserve"> </w:t>
      </w:r>
      <w:r w:rsidRPr="00631694">
        <w:rPr>
          <w:b/>
          <w:bCs/>
          <w:lang w:val="en-US"/>
        </w:rPr>
        <w:t>55</w:t>
      </w:r>
      <w:r w:rsidRPr="00631694">
        <w:rPr>
          <w:lang w:val="en-US"/>
        </w:rPr>
        <w:t>, 2225–2227 (2022).</w:t>
      </w:r>
    </w:p>
    <w:p w:rsidRPr="00631694" w:rsidR="00631694" w:rsidP="00631694" w:rsidRDefault="00631694" w14:paraId="78B207F6" w14:textId="77777777">
      <w:pPr>
        <w:pStyle w:val="Bibliography"/>
        <w:rPr>
          <w:lang w:val="en-US"/>
        </w:rPr>
      </w:pPr>
      <w:r w:rsidRPr="00631694">
        <w:rPr>
          <w:lang w:val="en-US"/>
        </w:rPr>
        <w:t>68.</w:t>
      </w:r>
      <w:r w:rsidRPr="00631694">
        <w:rPr>
          <w:lang w:val="en-US"/>
        </w:rPr>
        <w:tab/>
      </w:r>
      <w:r w:rsidRPr="00631694">
        <w:rPr>
          <w:lang w:val="en-US"/>
        </w:rPr>
        <w:t xml:space="preserve">Pritzl, C. J. </w:t>
      </w:r>
      <w:r w:rsidRPr="00631694">
        <w:rPr>
          <w:i/>
          <w:iCs/>
          <w:lang w:val="en-US"/>
        </w:rPr>
        <w:t>et al.</w:t>
      </w:r>
      <w:r w:rsidRPr="00631694">
        <w:rPr>
          <w:lang w:val="en-US"/>
        </w:rPr>
        <w:t xml:space="preserve"> IKK2/NFkB signaling controls lung resident CD8+ T cell memory during influenza infection. </w:t>
      </w:r>
      <w:r w:rsidRPr="00631694">
        <w:rPr>
          <w:i/>
          <w:iCs/>
          <w:lang w:val="en-US"/>
        </w:rPr>
        <w:t>Nat. Commun.</w:t>
      </w:r>
      <w:r w:rsidRPr="00631694">
        <w:rPr>
          <w:lang w:val="en-US"/>
        </w:rPr>
        <w:t xml:space="preserve"> </w:t>
      </w:r>
      <w:r w:rsidRPr="00631694">
        <w:rPr>
          <w:b/>
          <w:bCs/>
          <w:lang w:val="en-US"/>
        </w:rPr>
        <w:t>14</w:t>
      </w:r>
      <w:r w:rsidRPr="00631694">
        <w:rPr>
          <w:lang w:val="en-US"/>
        </w:rPr>
        <w:t>, 4331 (2023).</w:t>
      </w:r>
    </w:p>
    <w:p w:rsidRPr="00631694" w:rsidR="00631694" w:rsidP="00631694" w:rsidRDefault="00631694" w14:paraId="60E86F76" w14:textId="77777777">
      <w:pPr>
        <w:pStyle w:val="Bibliography"/>
        <w:rPr>
          <w:lang w:val="en-US"/>
        </w:rPr>
      </w:pPr>
      <w:r w:rsidRPr="00631694">
        <w:rPr>
          <w:lang w:val="en-US"/>
        </w:rPr>
        <w:t>69.</w:t>
      </w:r>
      <w:r w:rsidRPr="00631694">
        <w:rPr>
          <w:lang w:val="en-US"/>
        </w:rPr>
        <w:tab/>
      </w:r>
      <w:r w:rsidRPr="00631694">
        <w:rPr>
          <w:lang w:val="en-US"/>
        </w:rPr>
        <w:t xml:space="preserve">Guan, H., Xiong, Q., Xiong, J., Liu, Y. &amp; Zhang, W. CD8+ T cell activation in endometrial cancer: prognostic implications and potential for personalized therapy. </w:t>
      </w:r>
      <w:r w:rsidRPr="00631694">
        <w:rPr>
          <w:i/>
          <w:iCs/>
          <w:lang w:val="en-US"/>
        </w:rPr>
        <w:t>Front. Immunol.</w:t>
      </w:r>
      <w:r w:rsidRPr="00631694">
        <w:rPr>
          <w:lang w:val="en-US"/>
        </w:rPr>
        <w:t xml:space="preserve"> </w:t>
      </w:r>
      <w:r w:rsidRPr="00631694">
        <w:rPr>
          <w:b/>
          <w:bCs/>
          <w:lang w:val="en-US"/>
        </w:rPr>
        <w:t>16</w:t>
      </w:r>
      <w:r w:rsidRPr="00631694">
        <w:rPr>
          <w:lang w:val="en-US"/>
        </w:rPr>
        <w:t>, 1542669 (2025).</w:t>
      </w:r>
    </w:p>
    <w:p w:rsidRPr="00631694" w:rsidR="00631694" w:rsidP="00631694" w:rsidRDefault="00631694" w14:paraId="5008EEE3" w14:textId="77777777">
      <w:pPr>
        <w:pStyle w:val="Bibliography"/>
        <w:rPr>
          <w:lang w:val="en-US"/>
        </w:rPr>
      </w:pPr>
      <w:r w:rsidRPr="00631694">
        <w:rPr>
          <w:lang w:val="en-US"/>
        </w:rPr>
        <w:t>70.</w:t>
      </w:r>
      <w:r w:rsidRPr="00631694">
        <w:rPr>
          <w:lang w:val="en-US"/>
        </w:rPr>
        <w:tab/>
      </w:r>
      <w:r w:rsidRPr="00631694">
        <w:rPr>
          <w:lang w:val="en-US"/>
        </w:rPr>
        <w:t xml:space="preserve">Fagerberg, E. </w:t>
      </w:r>
      <w:r w:rsidRPr="00631694">
        <w:rPr>
          <w:i/>
          <w:iCs/>
          <w:lang w:val="en-US"/>
        </w:rPr>
        <w:t>et al.</w:t>
      </w:r>
      <w:r w:rsidRPr="00631694">
        <w:rPr>
          <w:lang w:val="en-US"/>
        </w:rPr>
        <w:t xml:space="preserve"> KLF2 maintains lineage fidelity and suppresses CD8 T cell exhaustion during acute LCMV infection. </w:t>
      </w:r>
      <w:r w:rsidRPr="00631694">
        <w:rPr>
          <w:i/>
          <w:iCs/>
          <w:lang w:val="en-US"/>
        </w:rPr>
        <w:t>Science</w:t>
      </w:r>
      <w:r w:rsidRPr="00631694">
        <w:rPr>
          <w:lang w:val="en-US"/>
        </w:rPr>
        <w:t xml:space="preserve"> </w:t>
      </w:r>
      <w:r w:rsidRPr="00631694">
        <w:rPr>
          <w:b/>
          <w:bCs/>
          <w:lang w:val="en-US"/>
        </w:rPr>
        <w:t>387</w:t>
      </w:r>
      <w:r w:rsidRPr="00631694">
        <w:rPr>
          <w:lang w:val="en-US"/>
        </w:rPr>
        <w:t>, eadn2337 (2025).</w:t>
      </w:r>
    </w:p>
    <w:p w:rsidRPr="00631694" w:rsidR="00631694" w:rsidP="00631694" w:rsidRDefault="00631694" w14:paraId="01C15F53" w14:textId="77777777">
      <w:pPr>
        <w:pStyle w:val="Bibliography"/>
        <w:rPr>
          <w:lang w:val="en-US"/>
        </w:rPr>
      </w:pPr>
      <w:r w:rsidRPr="00631694">
        <w:rPr>
          <w:lang w:val="en-US"/>
        </w:rPr>
        <w:t>71.</w:t>
      </w:r>
      <w:r w:rsidRPr="00631694">
        <w:rPr>
          <w:lang w:val="en-US"/>
        </w:rPr>
        <w:tab/>
      </w:r>
      <w:r w:rsidRPr="00631694">
        <w:rPr>
          <w:lang w:val="en-US"/>
        </w:rPr>
        <w:t xml:space="preserve">Rutishauser, R. L. </w:t>
      </w:r>
      <w:r w:rsidRPr="00631694">
        <w:rPr>
          <w:i/>
          <w:iCs/>
          <w:lang w:val="en-US"/>
        </w:rPr>
        <w:t>et al.</w:t>
      </w:r>
      <w:r w:rsidRPr="00631694">
        <w:rPr>
          <w:lang w:val="en-US"/>
        </w:rPr>
        <w:t xml:space="preserve"> Transcriptional Repressor Blimp-1 Promotes CD8+ T Cell Terminal Differentiation and Represses the Acquisition of Central Memory T Cell Properties. </w:t>
      </w:r>
      <w:r w:rsidRPr="00631694">
        <w:rPr>
          <w:i/>
          <w:iCs/>
          <w:lang w:val="en-US"/>
        </w:rPr>
        <w:t>Immunity</w:t>
      </w:r>
      <w:r w:rsidRPr="00631694">
        <w:rPr>
          <w:lang w:val="en-US"/>
        </w:rPr>
        <w:t xml:space="preserve"> </w:t>
      </w:r>
      <w:r w:rsidRPr="00631694">
        <w:rPr>
          <w:b/>
          <w:bCs/>
          <w:lang w:val="en-US"/>
        </w:rPr>
        <w:t>31</w:t>
      </w:r>
      <w:r w:rsidRPr="00631694">
        <w:rPr>
          <w:lang w:val="en-US"/>
        </w:rPr>
        <w:t>, 296–308 (2009).</w:t>
      </w:r>
    </w:p>
    <w:p w:rsidRPr="00631694" w:rsidR="00631694" w:rsidP="00631694" w:rsidRDefault="00631694" w14:paraId="727292FE" w14:textId="77777777">
      <w:pPr>
        <w:pStyle w:val="Bibliography"/>
        <w:rPr>
          <w:lang w:val="en-US"/>
        </w:rPr>
      </w:pPr>
      <w:r w:rsidRPr="00631694">
        <w:rPr>
          <w:lang w:val="en-US"/>
        </w:rPr>
        <w:t>72.</w:t>
      </w:r>
      <w:r w:rsidRPr="00631694">
        <w:rPr>
          <w:lang w:val="en-US"/>
        </w:rPr>
        <w:tab/>
      </w:r>
      <w:r w:rsidRPr="00631694">
        <w:rPr>
          <w:lang w:val="en-US"/>
        </w:rPr>
        <w:t xml:space="preserve">Qin, Y. </w:t>
      </w:r>
      <w:r w:rsidRPr="00631694">
        <w:rPr>
          <w:i/>
          <w:iCs/>
          <w:lang w:val="en-US"/>
        </w:rPr>
        <w:t>et al.</w:t>
      </w:r>
      <w:r w:rsidRPr="00631694">
        <w:rPr>
          <w:lang w:val="en-US"/>
        </w:rPr>
        <w:t xml:space="preserve"> CD36 promotes iron accumulation and dysfunction in CD8+ T cells via the p38-CEBPB-TfR1 axis in early-stage hepatocellular carcinoma. </w:t>
      </w:r>
      <w:r w:rsidRPr="00631694">
        <w:rPr>
          <w:i/>
          <w:iCs/>
          <w:lang w:val="en-US"/>
        </w:rPr>
        <w:t>Clin. Mol. Hepatol.</w:t>
      </w:r>
      <w:r w:rsidRPr="00631694">
        <w:rPr>
          <w:lang w:val="en-US"/>
        </w:rPr>
        <w:t xml:space="preserve"> </w:t>
      </w:r>
      <w:r w:rsidRPr="00631694">
        <w:rPr>
          <w:b/>
          <w:bCs/>
          <w:lang w:val="en-US"/>
        </w:rPr>
        <w:t>31</w:t>
      </w:r>
      <w:r w:rsidRPr="00631694">
        <w:rPr>
          <w:lang w:val="en-US"/>
        </w:rPr>
        <w:t>, 960–980 (2025).</w:t>
      </w:r>
    </w:p>
    <w:p w:rsidRPr="009658C3" w:rsidR="008515C4" w:rsidP="00631694" w:rsidRDefault="008515C4" w14:paraId="5260A7A7" w14:textId="04725E9A">
      <w:pPr>
        <w:pStyle w:val="Bibliography"/>
        <w:rPr>
          <w:rFonts w:ascii="Calibri" w:hAnsi="Calibri" w:cs="Calibri"/>
          <w:b/>
          <w:bCs/>
          <w:color w:val="000000" w:themeColor="text1"/>
          <w:lang w:val="en-US"/>
        </w:rPr>
      </w:pPr>
    </w:p>
    <w:p w:rsidRPr="009658C3" w:rsidR="008515C4" w:rsidP="008515C4" w:rsidRDefault="008515C4" w14:paraId="610C9193" w14:textId="77777777">
      <w:pPr>
        <w:pStyle w:val="Bibliography"/>
        <w:jc w:val="both"/>
        <w:rPr>
          <w:rFonts w:ascii="Calibri" w:hAnsi="Calibri" w:cs="Calibri"/>
          <w:b/>
          <w:bCs/>
          <w:color w:val="000000" w:themeColor="text1"/>
          <w:lang w:val="en-US"/>
        </w:rPr>
      </w:pPr>
    </w:p>
    <w:p w:rsidR="004F71CE" w:rsidRDefault="004F71CE" w14:paraId="4736BBD7" w14:textId="5219DCE2"/>
    <w:sectPr w:rsidR="004F71CE" w:rsidSect="008515C4">
      <w:headerReference w:type="even" r:id="rId10"/>
      <w:headerReference w:type="default" r:id="rId11"/>
      <w:footerReference w:type="even" r:id="rId12"/>
      <w:footerReference w:type="default" r:id="rId13"/>
      <w:headerReference w:type="first" r:id="rId14"/>
      <w:footerReference w:type="first" r:id="rId15"/>
      <w:pgSz w:w="12240" w:h="15840" w:orient="portrait"/>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C32F14" w:rsidRDefault="00C32F14" w14:paraId="37AE9A28" w14:textId="77777777">
      <w:pPr>
        <w:spacing w:line="240" w:lineRule="auto"/>
      </w:pPr>
      <w:r>
        <w:separator/>
      </w:r>
    </w:p>
  </w:endnote>
  <w:endnote w:type="continuationSeparator" w:id="0">
    <w:p w:rsidR="00C32F14" w:rsidRDefault="00C32F14" w14:paraId="4236F6E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71C58" w:rsidRDefault="00671C58" w14:paraId="7041D41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515C4" w:rsidRDefault="008515C4" w14:paraId="0B4565E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71C58" w:rsidRDefault="00671C58" w14:paraId="4426799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C32F14" w:rsidRDefault="00C32F14" w14:paraId="404AD2FC" w14:textId="77777777">
      <w:pPr>
        <w:spacing w:line="240" w:lineRule="auto"/>
      </w:pPr>
      <w:r>
        <w:separator/>
      </w:r>
    </w:p>
  </w:footnote>
  <w:footnote w:type="continuationSeparator" w:id="0">
    <w:p w:rsidR="00C32F14" w:rsidRDefault="00C32F14" w14:paraId="65AC919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71C58" w:rsidRDefault="00671C58" w14:paraId="3068F75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515C4" w:rsidRDefault="008515C4" w14:paraId="00E93D0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71C58" w:rsidRDefault="00671C58" w14:paraId="63539C93" w14:textId="77777777">
    <w:pPr>
      <w:pStyle w:val="Header"/>
    </w:pPr>
  </w:p>
</w:hdr>
</file>

<file path=word/intelligence2.xml><?xml version="1.0" encoding="utf-8"?>
<int2:intelligence xmlns:int2="http://schemas.microsoft.com/office/intelligence/2020/intelligence">
  <int2:observations>
    <int2:bookmark int2:bookmarkName="_Int_j2d8j6V0" int2:invalidationBookmarkName="" int2:hashCode="GuHDnwt8OSLlpZ" int2:id="I0vhk1pI">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6672B0"/>
    <w:multiLevelType w:val="multilevel"/>
    <w:tmpl w:val="42120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6996774">
    <w:abstractNumId w:val="0"/>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08"/>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C4"/>
    <w:rsid w:val="00002DB5"/>
    <w:rsid w:val="00003B44"/>
    <w:rsid w:val="000040CE"/>
    <w:rsid w:val="00006B08"/>
    <w:rsid w:val="0001153E"/>
    <w:rsid w:val="0001270A"/>
    <w:rsid w:val="00015A7F"/>
    <w:rsid w:val="00017C55"/>
    <w:rsid w:val="000200F0"/>
    <w:rsid w:val="00022E5F"/>
    <w:rsid w:val="000233F4"/>
    <w:rsid w:val="00023A69"/>
    <w:rsid w:val="000278F8"/>
    <w:rsid w:val="000340F7"/>
    <w:rsid w:val="00034CE3"/>
    <w:rsid w:val="000368F5"/>
    <w:rsid w:val="000403BF"/>
    <w:rsid w:val="00041FAD"/>
    <w:rsid w:val="00042BF7"/>
    <w:rsid w:val="0005073C"/>
    <w:rsid w:val="0005186E"/>
    <w:rsid w:val="0005212F"/>
    <w:rsid w:val="00053981"/>
    <w:rsid w:val="00054458"/>
    <w:rsid w:val="000550D5"/>
    <w:rsid w:val="00056B42"/>
    <w:rsid w:val="00057577"/>
    <w:rsid w:val="00057D7E"/>
    <w:rsid w:val="0006699D"/>
    <w:rsid w:val="000678C8"/>
    <w:rsid w:val="000702EB"/>
    <w:rsid w:val="00073838"/>
    <w:rsid w:val="00074B39"/>
    <w:rsid w:val="00083A84"/>
    <w:rsid w:val="000907DF"/>
    <w:rsid w:val="000A6281"/>
    <w:rsid w:val="000A701D"/>
    <w:rsid w:val="000B22CB"/>
    <w:rsid w:val="000B299A"/>
    <w:rsid w:val="000B7EEE"/>
    <w:rsid w:val="000D29DE"/>
    <w:rsid w:val="000D59A4"/>
    <w:rsid w:val="000D6858"/>
    <w:rsid w:val="000E09E2"/>
    <w:rsid w:val="000E698C"/>
    <w:rsid w:val="000F6331"/>
    <w:rsid w:val="000F76D1"/>
    <w:rsid w:val="0010194E"/>
    <w:rsid w:val="00106FBC"/>
    <w:rsid w:val="0011048D"/>
    <w:rsid w:val="00120CFB"/>
    <w:rsid w:val="00120D34"/>
    <w:rsid w:val="001261BB"/>
    <w:rsid w:val="00126519"/>
    <w:rsid w:val="00126B7D"/>
    <w:rsid w:val="001279C9"/>
    <w:rsid w:val="00131C57"/>
    <w:rsid w:val="00132707"/>
    <w:rsid w:val="00133E56"/>
    <w:rsid w:val="00134A61"/>
    <w:rsid w:val="00136244"/>
    <w:rsid w:val="0013692C"/>
    <w:rsid w:val="001378C1"/>
    <w:rsid w:val="001400B6"/>
    <w:rsid w:val="00140392"/>
    <w:rsid w:val="00142FDD"/>
    <w:rsid w:val="00146C76"/>
    <w:rsid w:val="00151BD0"/>
    <w:rsid w:val="00155D90"/>
    <w:rsid w:val="00155DAF"/>
    <w:rsid w:val="00162EDA"/>
    <w:rsid w:val="00167B24"/>
    <w:rsid w:val="00181486"/>
    <w:rsid w:val="001823E2"/>
    <w:rsid w:val="001828F5"/>
    <w:rsid w:val="0018730B"/>
    <w:rsid w:val="00196746"/>
    <w:rsid w:val="00197B61"/>
    <w:rsid w:val="00197BEF"/>
    <w:rsid w:val="001A34E5"/>
    <w:rsid w:val="001A4EA7"/>
    <w:rsid w:val="001A5B33"/>
    <w:rsid w:val="001B16C3"/>
    <w:rsid w:val="001B1A0F"/>
    <w:rsid w:val="001B1EFF"/>
    <w:rsid w:val="001B4F48"/>
    <w:rsid w:val="001C3195"/>
    <w:rsid w:val="001C3E06"/>
    <w:rsid w:val="001C78B4"/>
    <w:rsid w:val="001D29F7"/>
    <w:rsid w:val="001D55EF"/>
    <w:rsid w:val="001D79D7"/>
    <w:rsid w:val="001E49AD"/>
    <w:rsid w:val="001E5380"/>
    <w:rsid w:val="00203E30"/>
    <w:rsid w:val="00204BDD"/>
    <w:rsid w:val="00210342"/>
    <w:rsid w:val="002170ED"/>
    <w:rsid w:val="00224DE1"/>
    <w:rsid w:val="00226441"/>
    <w:rsid w:val="002268DF"/>
    <w:rsid w:val="00226D5D"/>
    <w:rsid w:val="00233005"/>
    <w:rsid w:val="00234108"/>
    <w:rsid w:val="00240EA5"/>
    <w:rsid w:val="00241A22"/>
    <w:rsid w:val="002518E9"/>
    <w:rsid w:val="0025451D"/>
    <w:rsid w:val="00260804"/>
    <w:rsid w:val="002612AB"/>
    <w:rsid w:val="00264DC3"/>
    <w:rsid w:val="002652D0"/>
    <w:rsid w:val="00271CD2"/>
    <w:rsid w:val="00272255"/>
    <w:rsid w:val="00273C52"/>
    <w:rsid w:val="002770AD"/>
    <w:rsid w:val="0028298E"/>
    <w:rsid w:val="002857D0"/>
    <w:rsid w:val="00286F56"/>
    <w:rsid w:val="002906BE"/>
    <w:rsid w:val="00294F45"/>
    <w:rsid w:val="002A1856"/>
    <w:rsid w:val="002B0C0A"/>
    <w:rsid w:val="002B2922"/>
    <w:rsid w:val="002B2B8C"/>
    <w:rsid w:val="002B447A"/>
    <w:rsid w:val="002C2ED5"/>
    <w:rsid w:val="002C3612"/>
    <w:rsid w:val="002C3913"/>
    <w:rsid w:val="002C41AA"/>
    <w:rsid w:val="002C71A8"/>
    <w:rsid w:val="002D2444"/>
    <w:rsid w:val="002D5FF0"/>
    <w:rsid w:val="002E115F"/>
    <w:rsid w:val="002E229A"/>
    <w:rsid w:val="002F01E3"/>
    <w:rsid w:val="002F0EBE"/>
    <w:rsid w:val="002F1CEE"/>
    <w:rsid w:val="002F4E02"/>
    <w:rsid w:val="002F5131"/>
    <w:rsid w:val="002F5FB7"/>
    <w:rsid w:val="00301F4A"/>
    <w:rsid w:val="0031273F"/>
    <w:rsid w:val="00313364"/>
    <w:rsid w:val="00313ECB"/>
    <w:rsid w:val="00316615"/>
    <w:rsid w:val="00317DFB"/>
    <w:rsid w:val="00326AB6"/>
    <w:rsid w:val="00327839"/>
    <w:rsid w:val="0033002A"/>
    <w:rsid w:val="00331DA8"/>
    <w:rsid w:val="003346A7"/>
    <w:rsid w:val="00346C1C"/>
    <w:rsid w:val="00347A36"/>
    <w:rsid w:val="00356679"/>
    <w:rsid w:val="003605B2"/>
    <w:rsid w:val="00363FCB"/>
    <w:rsid w:val="0036477B"/>
    <w:rsid w:val="00366495"/>
    <w:rsid w:val="00372068"/>
    <w:rsid w:val="00373C79"/>
    <w:rsid w:val="00385673"/>
    <w:rsid w:val="0038657F"/>
    <w:rsid w:val="003869E1"/>
    <w:rsid w:val="00390A95"/>
    <w:rsid w:val="00395D24"/>
    <w:rsid w:val="003A072A"/>
    <w:rsid w:val="003B0003"/>
    <w:rsid w:val="003B2ED5"/>
    <w:rsid w:val="003C2228"/>
    <w:rsid w:val="003C754C"/>
    <w:rsid w:val="003D55B3"/>
    <w:rsid w:val="003E0AB9"/>
    <w:rsid w:val="003E1149"/>
    <w:rsid w:val="003E19C3"/>
    <w:rsid w:val="003E1A0A"/>
    <w:rsid w:val="003E7C1C"/>
    <w:rsid w:val="003F1A30"/>
    <w:rsid w:val="00400F26"/>
    <w:rsid w:val="00402FBA"/>
    <w:rsid w:val="0040338A"/>
    <w:rsid w:val="00404081"/>
    <w:rsid w:val="00404960"/>
    <w:rsid w:val="00410522"/>
    <w:rsid w:val="00410B3E"/>
    <w:rsid w:val="00415612"/>
    <w:rsid w:val="0042012C"/>
    <w:rsid w:val="004227BD"/>
    <w:rsid w:val="0042291C"/>
    <w:rsid w:val="00425910"/>
    <w:rsid w:val="004305D0"/>
    <w:rsid w:val="00435880"/>
    <w:rsid w:val="00442647"/>
    <w:rsid w:val="0044793E"/>
    <w:rsid w:val="004602B7"/>
    <w:rsid w:val="00482CD9"/>
    <w:rsid w:val="004835C1"/>
    <w:rsid w:val="00491F59"/>
    <w:rsid w:val="00496479"/>
    <w:rsid w:val="00496BAB"/>
    <w:rsid w:val="004971AE"/>
    <w:rsid w:val="004A60F9"/>
    <w:rsid w:val="004A6E44"/>
    <w:rsid w:val="004B4CB7"/>
    <w:rsid w:val="004C6E32"/>
    <w:rsid w:val="004C7B96"/>
    <w:rsid w:val="004D1FFB"/>
    <w:rsid w:val="004E30AE"/>
    <w:rsid w:val="004E510C"/>
    <w:rsid w:val="004E7CF5"/>
    <w:rsid w:val="004F055A"/>
    <w:rsid w:val="004F2311"/>
    <w:rsid w:val="004F2770"/>
    <w:rsid w:val="004F42AB"/>
    <w:rsid w:val="004F6724"/>
    <w:rsid w:val="004F71CE"/>
    <w:rsid w:val="00502EB6"/>
    <w:rsid w:val="00507B6C"/>
    <w:rsid w:val="005147E9"/>
    <w:rsid w:val="005154D3"/>
    <w:rsid w:val="005175DA"/>
    <w:rsid w:val="0052645B"/>
    <w:rsid w:val="005264FC"/>
    <w:rsid w:val="0052693C"/>
    <w:rsid w:val="00530229"/>
    <w:rsid w:val="0054329C"/>
    <w:rsid w:val="00543480"/>
    <w:rsid w:val="00543EDA"/>
    <w:rsid w:val="00544B02"/>
    <w:rsid w:val="00551E14"/>
    <w:rsid w:val="00552D8F"/>
    <w:rsid w:val="00554310"/>
    <w:rsid w:val="0055778A"/>
    <w:rsid w:val="00563D0E"/>
    <w:rsid w:val="00566C4D"/>
    <w:rsid w:val="00567D87"/>
    <w:rsid w:val="00573804"/>
    <w:rsid w:val="005761FA"/>
    <w:rsid w:val="005831B3"/>
    <w:rsid w:val="00583A73"/>
    <w:rsid w:val="00590BB2"/>
    <w:rsid w:val="00594B4B"/>
    <w:rsid w:val="005974AF"/>
    <w:rsid w:val="005A50B0"/>
    <w:rsid w:val="005A5D73"/>
    <w:rsid w:val="005A72BA"/>
    <w:rsid w:val="005B297C"/>
    <w:rsid w:val="005C1DA9"/>
    <w:rsid w:val="005D1E93"/>
    <w:rsid w:val="005D200E"/>
    <w:rsid w:val="005D3675"/>
    <w:rsid w:val="005D3DD2"/>
    <w:rsid w:val="005D78ED"/>
    <w:rsid w:val="005E55B0"/>
    <w:rsid w:val="005E61ED"/>
    <w:rsid w:val="005F42C4"/>
    <w:rsid w:val="005F7F6F"/>
    <w:rsid w:val="006066F4"/>
    <w:rsid w:val="00611079"/>
    <w:rsid w:val="00622F01"/>
    <w:rsid w:val="0063097A"/>
    <w:rsid w:val="00631694"/>
    <w:rsid w:val="006326F4"/>
    <w:rsid w:val="00633DF1"/>
    <w:rsid w:val="006347B9"/>
    <w:rsid w:val="006364C2"/>
    <w:rsid w:val="00644806"/>
    <w:rsid w:val="00647082"/>
    <w:rsid w:val="00650772"/>
    <w:rsid w:val="006545B2"/>
    <w:rsid w:val="00670004"/>
    <w:rsid w:val="00671C58"/>
    <w:rsid w:val="00673785"/>
    <w:rsid w:val="00683F5E"/>
    <w:rsid w:val="00695000"/>
    <w:rsid w:val="006951D2"/>
    <w:rsid w:val="00696F6A"/>
    <w:rsid w:val="006A43E8"/>
    <w:rsid w:val="006A489F"/>
    <w:rsid w:val="006A7C26"/>
    <w:rsid w:val="006B3270"/>
    <w:rsid w:val="006B6C65"/>
    <w:rsid w:val="006C1CBF"/>
    <w:rsid w:val="006E039E"/>
    <w:rsid w:val="006E1ED6"/>
    <w:rsid w:val="007040E9"/>
    <w:rsid w:val="00705D50"/>
    <w:rsid w:val="00710F61"/>
    <w:rsid w:val="0071342D"/>
    <w:rsid w:val="00717E2B"/>
    <w:rsid w:val="00721146"/>
    <w:rsid w:val="0072193A"/>
    <w:rsid w:val="00736D69"/>
    <w:rsid w:val="00743E8B"/>
    <w:rsid w:val="0074625C"/>
    <w:rsid w:val="00752A14"/>
    <w:rsid w:val="0075309D"/>
    <w:rsid w:val="00756B78"/>
    <w:rsid w:val="00767474"/>
    <w:rsid w:val="00767947"/>
    <w:rsid w:val="00770268"/>
    <w:rsid w:val="00773293"/>
    <w:rsid w:val="007739C0"/>
    <w:rsid w:val="0077402E"/>
    <w:rsid w:val="00780167"/>
    <w:rsid w:val="00780281"/>
    <w:rsid w:val="00781BAC"/>
    <w:rsid w:val="00781CC0"/>
    <w:rsid w:val="007846E7"/>
    <w:rsid w:val="00792CCA"/>
    <w:rsid w:val="0079560B"/>
    <w:rsid w:val="007C0CD8"/>
    <w:rsid w:val="007C1E0C"/>
    <w:rsid w:val="007C4613"/>
    <w:rsid w:val="007C5F15"/>
    <w:rsid w:val="007C6B5A"/>
    <w:rsid w:val="007D2E0F"/>
    <w:rsid w:val="007D7827"/>
    <w:rsid w:val="007E0446"/>
    <w:rsid w:val="007E366A"/>
    <w:rsid w:val="007E48BE"/>
    <w:rsid w:val="007E4CBE"/>
    <w:rsid w:val="007E5003"/>
    <w:rsid w:val="007E7143"/>
    <w:rsid w:val="007F2510"/>
    <w:rsid w:val="007F41B3"/>
    <w:rsid w:val="007F453B"/>
    <w:rsid w:val="008002A7"/>
    <w:rsid w:val="00802970"/>
    <w:rsid w:val="00805137"/>
    <w:rsid w:val="0080733B"/>
    <w:rsid w:val="00814E22"/>
    <w:rsid w:val="00830F8D"/>
    <w:rsid w:val="00831238"/>
    <w:rsid w:val="0083170D"/>
    <w:rsid w:val="00832EB8"/>
    <w:rsid w:val="00835AD4"/>
    <w:rsid w:val="0083678C"/>
    <w:rsid w:val="00842033"/>
    <w:rsid w:val="008427CF"/>
    <w:rsid w:val="00847298"/>
    <w:rsid w:val="00847E68"/>
    <w:rsid w:val="008515C4"/>
    <w:rsid w:val="00865846"/>
    <w:rsid w:val="00865ADA"/>
    <w:rsid w:val="0086757D"/>
    <w:rsid w:val="00873513"/>
    <w:rsid w:val="008779B5"/>
    <w:rsid w:val="00880CA5"/>
    <w:rsid w:val="0088263B"/>
    <w:rsid w:val="008845CC"/>
    <w:rsid w:val="008849F6"/>
    <w:rsid w:val="00896D12"/>
    <w:rsid w:val="00896E7B"/>
    <w:rsid w:val="008A7082"/>
    <w:rsid w:val="008B01FB"/>
    <w:rsid w:val="008B3CD7"/>
    <w:rsid w:val="008B465B"/>
    <w:rsid w:val="008B72D5"/>
    <w:rsid w:val="008C26A5"/>
    <w:rsid w:val="008C4564"/>
    <w:rsid w:val="008D378F"/>
    <w:rsid w:val="008D3CDD"/>
    <w:rsid w:val="008E03AC"/>
    <w:rsid w:val="008E243F"/>
    <w:rsid w:val="00901936"/>
    <w:rsid w:val="00903C57"/>
    <w:rsid w:val="0090463D"/>
    <w:rsid w:val="00904877"/>
    <w:rsid w:val="00915A43"/>
    <w:rsid w:val="00924813"/>
    <w:rsid w:val="00930E5E"/>
    <w:rsid w:val="00936230"/>
    <w:rsid w:val="00941419"/>
    <w:rsid w:val="009437BF"/>
    <w:rsid w:val="0094446C"/>
    <w:rsid w:val="009478C5"/>
    <w:rsid w:val="00951024"/>
    <w:rsid w:val="00951A31"/>
    <w:rsid w:val="0095541C"/>
    <w:rsid w:val="009561A6"/>
    <w:rsid w:val="009623EF"/>
    <w:rsid w:val="00963FCF"/>
    <w:rsid w:val="00965B01"/>
    <w:rsid w:val="00966324"/>
    <w:rsid w:val="0097057A"/>
    <w:rsid w:val="00972F41"/>
    <w:rsid w:val="00975833"/>
    <w:rsid w:val="00976D69"/>
    <w:rsid w:val="00983244"/>
    <w:rsid w:val="009844C3"/>
    <w:rsid w:val="00985FB8"/>
    <w:rsid w:val="0099641E"/>
    <w:rsid w:val="009A1D0C"/>
    <w:rsid w:val="009A7795"/>
    <w:rsid w:val="009B1357"/>
    <w:rsid w:val="009B4DCA"/>
    <w:rsid w:val="009C06D1"/>
    <w:rsid w:val="009C1DE8"/>
    <w:rsid w:val="009C644E"/>
    <w:rsid w:val="009E5728"/>
    <w:rsid w:val="009E5854"/>
    <w:rsid w:val="009E6201"/>
    <w:rsid w:val="009F01DB"/>
    <w:rsid w:val="009F39C3"/>
    <w:rsid w:val="00A00123"/>
    <w:rsid w:val="00A022A8"/>
    <w:rsid w:val="00A03503"/>
    <w:rsid w:val="00A03D1F"/>
    <w:rsid w:val="00A05D44"/>
    <w:rsid w:val="00A06183"/>
    <w:rsid w:val="00A10061"/>
    <w:rsid w:val="00A113CC"/>
    <w:rsid w:val="00A1331E"/>
    <w:rsid w:val="00A13E31"/>
    <w:rsid w:val="00A1519D"/>
    <w:rsid w:val="00A24474"/>
    <w:rsid w:val="00A24EFE"/>
    <w:rsid w:val="00A3553E"/>
    <w:rsid w:val="00A37C24"/>
    <w:rsid w:val="00A40CD7"/>
    <w:rsid w:val="00A5086A"/>
    <w:rsid w:val="00A53C6F"/>
    <w:rsid w:val="00A56901"/>
    <w:rsid w:val="00A57E2E"/>
    <w:rsid w:val="00A62810"/>
    <w:rsid w:val="00A658F9"/>
    <w:rsid w:val="00A67350"/>
    <w:rsid w:val="00A67442"/>
    <w:rsid w:val="00A710C9"/>
    <w:rsid w:val="00A76196"/>
    <w:rsid w:val="00A813B1"/>
    <w:rsid w:val="00A81CED"/>
    <w:rsid w:val="00A81D10"/>
    <w:rsid w:val="00A838C9"/>
    <w:rsid w:val="00A86B63"/>
    <w:rsid w:val="00A9076B"/>
    <w:rsid w:val="00A91ABC"/>
    <w:rsid w:val="00A9446E"/>
    <w:rsid w:val="00A94CC2"/>
    <w:rsid w:val="00A9646D"/>
    <w:rsid w:val="00AA18F1"/>
    <w:rsid w:val="00AA2D2E"/>
    <w:rsid w:val="00AA3DDE"/>
    <w:rsid w:val="00AA68B0"/>
    <w:rsid w:val="00AB354A"/>
    <w:rsid w:val="00AC0967"/>
    <w:rsid w:val="00AD6AB0"/>
    <w:rsid w:val="00AD7F6D"/>
    <w:rsid w:val="00AE0183"/>
    <w:rsid w:val="00AE0880"/>
    <w:rsid w:val="00AE2AE5"/>
    <w:rsid w:val="00AF2AC0"/>
    <w:rsid w:val="00AF5B9D"/>
    <w:rsid w:val="00AF6669"/>
    <w:rsid w:val="00B01658"/>
    <w:rsid w:val="00B11382"/>
    <w:rsid w:val="00B1442B"/>
    <w:rsid w:val="00B14D0E"/>
    <w:rsid w:val="00B17517"/>
    <w:rsid w:val="00B30E04"/>
    <w:rsid w:val="00B3547A"/>
    <w:rsid w:val="00B37973"/>
    <w:rsid w:val="00B408D3"/>
    <w:rsid w:val="00B4318F"/>
    <w:rsid w:val="00B46E45"/>
    <w:rsid w:val="00B47397"/>
    <w:rsid w:val="00B5026D"/>
    <w:rsid w:val="00B56853"/>
    <w:rsid w:val="00B6384A"/>
    <w:rsid w:val="00B64514"/>
    <w:rsid w:val="00B65121"/>
    <w:rsid w:val="00B773C1"/>
    <w:rsid w:val="00B84E31"/>
    <w:rsid w:val="00B87D56"/>
    <w:rsid w:val="00B90E50"/>
    <w:rsid w:val="00B97146"/>
    <w:rsid w:val="00BA368B"/>
    <w:rsid w:val="00BB01ED"/>
    <w:rsid w:val="00BB235A"/>
    <w:rsid w:val="00BB4339"/>
    <w:rsid w:val="00BB5AED"/>
    <w:rsid w:val="00BB6ED1"/>
    <w:rsid w:val="00BC0051"/>
    <w:rsid w:val="00BC1EB4"/>
    <w:rsid w:val="00BC6B44"/>
    <w:rsid w:val="00BC6F99"/>
    <w:rsid w:val="00BD05AA"/>
    <w:rsid w:val="00BD6670"/>
    <w:rsid w:val="00BE2831"/>
    <w:rsid w:val="00BF0EB1"/>
    <w:rsid w:val="00BF1394"/>
    <w:rsid w:val="00BF3DDD"/>
    <w:rsid w:val="00C00737"/>
    <w:rsid w:val="00C03E74"/>
    <w:rsid w:val="00C044B9"/>
    <w:rsid w:val="00C1428D"/>
    <w:rsid w:val="00C162B8"/>
    <w:rsid w:val="00C218F9"/>
    <w:rsid w:val="00C23913"/>
    <w:rsid w:val="00C2575C"/>
    <w:rsid w:val="00C32F14"/>
    <w:rsid w:val="00C3757C"/>
    <w:rsid w:val="00C4270E"/>
    <w:rsid w:val="00C457B2"/>
    <w:rsid w:val="00C51707"/>
    <w:rsid w:val="00C53521"/>
    <w:rsid w:val="00C54BC2"/>
    <w:rsid w:val="00C6392F"/>
    <w:rsid w:val="00C643C8"/>
    <w:rsid w:val="00C7138B"/>
    <w:rsid w:val="00C71EA6"/>
    <w:rsid w:val="00C7321F"/>
    <w:rsid w:val="00C7714A"/>
    <w:rsid w:val="00C80DF9"/>
    <w:rsid w:val="00C875F9"/>
    <w:rsid w:val="00C90341"/>
    <w:rsid w:val="00CB0E86"/>
    <w:rsid w:val="00CB16BC"/>
    <w:rsid w:val="00CB2908"/>
    <w:rsid w:val="00CC0DE6"/>
    <w:rsid w:val="00CC2FE6"/>
    <w:rsid w:val="00CC603B"/>
    <w:rsid w:val="00CC606F"/>
    <w:rsid w:val="00CD12FE"/>
    <w:rsid w:val="00CD7D9C"/>
    <w:rsid w:val="00CE720D"/>
    <w:rsid w:val="00CF05FC"/>
    <w:rsid w:val="00CF5395"/>
    <w:rsid w:val="00D01EED"/>
    <w:rsid w:val="00D07993"/>
    <w:rsid w:val="00D1278F"/>
    <w:rsid w:val="00D178E4"/>
    <w:rsid w:val="00D27BC7"/>
    <w:rsid w:val="00D3011C"/>
    <w:rsid w:val="00D36A78"/>
    <w:rsid w:val="00D41CA5"/>
    <w:rsid w:val="00D424EE"/>
    <w:rsid w:val="00D43308"/>
    <w:rsid w:val="00D451C6"/>
    <w:rsid w:val="00D46C53"/>
    <w:rsid w:val="00D47063"/>
    <w:rsid w:val="00D57B81"/>
    <w:rsid w:val="00D61D1A"/>
    <w:rsid w:val="00D622B2"/>
    <w:rsid w:val="00D72B31"/>
    <w:rsid w:val="00D741EB"/>
    <w:rsid w:val="00D75EF3"/>
    <w:rsid w:val="00D95664"/>
    <w:rsid w:val="00D95F67"/>
    <w:rsid w:val="00D976D7"/>
    <w:rsid w:val="00DA52C8"/>
    <w:rsid w:val="00DB05D5"/>
    <w:rsid w:val="00DB07B1"/>
    <w:rsid w:val="00DB2B64"/>
    <w:rsid w:val="00DB5CDD"/>
    <w:rsid w:val="00DC1AAE"/>
    <w:rsid w:val="00DC25DF"/>
    <w:rsid w:val="00DC4B7D"/>
    <w:rsid w:val="00DC5750"/>
    <w:rsid w:val="00DC6637"/>
    <w:rsid w:val="00DD1673"/>
    <w:rsid w:val="00DF0B2E"/>
    <w:rsid w:val="00DF129E"/>
    <w:rsid w:val="00DF5B05"/>
    <w:rsid w:val="00E00EA0"/>
    <w:rsid w:val="00E025E4"/>
    <w:rsid w:val="00E034D0"/>
    <w:rsid w:val="00E06B00"/>
    <w:rsid w:val="00E117DB"/>
    <w:rsid w:val="00E118CC"/>
    <w:rsid w:val="00E14536"/>
    <w:rsid w:val="00E14BE3"/>
    <w:rsid w:val="00E20920"/>
    <w:rsid w:val="00E22364"/>
    <w:rsid w:val="00E32261"/>
    <w:rsid w:val="00E32802"/>
    <w:rsid w:val="00E40EC6"/>
    <w:rsid w:val="00E4135F"/>
    <w:rsid w:val="00E46186"/>
    <w:rsid w:val="00E517AD"/>
    <w:rsid w:val="00E51F07"/>
    <w:rsid w:val="00E52955"/>
    <w:rsid w:val="00E5477C"/>
    <w:rsid w:val="00E551FD"/>
    <w:rsid w:val="00E742CB"/>
    <w:rsid w:val="00E7786C"/>
    <w:rsid w:val="00E828EA"/>
    <w:rsid w:val="00E9664D"/>
    <w:rsid w:val="00EA0964"/>
    <w:rsid w:val="00EA533C"/>
    <w:rsid w:val="00EA5EFA"/>
    <w:rsid w:val="00EA7D74"/>
    <w:rsid w:val="00EA7F5D"/>
    <w:rsid w:val="00EB6482"/>
    <w:rsid w:val="00ED0A49"/>
    <w:rsid w:val="00ED0D77"/>
    <w:rsid w:val="00ED2846"/>
    <w:rsid w:val="00ED29B7"/>
    <w:rsid w:val="00EE2299"/>
    <w:rsid w:val="00EE2704"/>
    <w:rsid w:val="00EE372B"/>
    <w:rsid w:val="00EE4CDE"/>
    <w:rsid w:val="00EF0339"/>
    <w:rsid w:val="00EF4117"/>
    <w:rsid w:val="00EF4B20"/>
    <w:rsid w:val="00EF73DE"/>
    <w:rsid w:val="00EF73E4"/>
    <w:rsid w:val="00F00542"/>
    <w:rsid w:val="00F011FB"/>
    <w:rsid w:val="00F0546B"/>
    <w:rsid w:val="00F0722B"/>
    <w:rsid w:val="00F17388"/>
    <w:rsid w:val="00F319A1"/>
    <w:rsid w:val="00F35D8D"/>
    <w:rsid w:val="00F47E87"/>
    <w:rsid w:val="00F50F42"/>
    <w:rsid w:val="00F52BE0"/>
    <w:rsid w:val="00F55C72"/>
    <w:rsid w:val="00F62B28"/>
    <w:rsid w:val="00F8425A"/>
    <w:rsid w:val="00F85CED"/>
    <w:rsid w:val="00F863CC"/>
    <w:rsid w:val="00F909DE"/>
    <w:rsid w:val="00F920AB"/>
    <w:rsid w:val="00FA4F63"/>
    <w:rsid w:val="00FB07B2"/>
    <w:rsid w:val="00FB77F8"/>
    <w:rsid w:val="00FB7B0E"/>
    <w:rsid w:val="00FC0C5B"/>
    <w:rsid w:val="00FD072C"/>
    <w:rsid w:val="00FD14DB"/>
    <w:rsid w:val="00FD7082"/>
    <w:rsid w:val="00FE1D12"/>
    <w:rsid w:val="00FE3112"/>
    <w:rsid w:val="00FE58AE"/>
    <w:rsid w:val="00FE6453"/>
    <w:rsid w:val="00FF0D11"/>
    <w:rsid w:val="01F281F2"/>
    <w:rsid w:val="07298917"/>
    <w:rsid w:val="089A19DF"/>
    <w:rsid w:val="0CBAF576"/>
    <w:rsid w:val="168F4077"/>
    <w:rsid w:val="1873B1AA"/>
    <w:rsid w:val="18A46989"/>
    <w:rsid w:val="18DDFEEE"/>
    <w:rsid w:val="1F139AD8"/>
    <w:rsid w:val="202ED076"/>
    <w:rsid w:val="20739231"/>
    <w:rsid w:val="27A4A088"/>
    <w:rsid w:val="2B09CA67"/>
    <w:rsid w:val="2F61C2E8"/>
    <w:rsid w:val="31FF7621"/>
    <w:rsid w:val="34E396ED"/>
    <w:rsid w:val="38CD4430"/>
    <w:rsid w:val="3A0B113E"/>
    <w:rsid w:val="3B592578"/>
    <w:rsid w:val="403956FE"/>
    <w:rsid w:val="4380A4EB"/>
    <w:rsid w:val="44B67EA6"/>
    <w:rsid w:val="4595AEE7"/>
    <w:rsid w:val="472E5A02"/>
    <w:rsid w:val="496D33DE"/>
    <w:rsid w:val="4D13E44A"/>
    <w:rsid w:val="50E56711"/>
    <w:rsid w:val="55330CB6"/>
    <w:rsid w:val="5B108962"/>
    <w:rsid w:val="5E9D9464"/>
    <w:rsid w:val="63985EAC"/>
    <w:rsid w:val="690779F9"/>
    <w:rsid w:val="690BB61A"/>
    <w:rsid w:val="6A6F61D8"/>
    <w:rsid w:val="7044FB96"/>
    <w:rsid w:val="718A3ED9"/>
    <w:rsid w:val="77B14BD3"/>
    <w:rsid w:val="79DBFC05"/>
    <w:rsid w:val="7B017B95"/>
    <w:rsid w:val="7D06CB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11DB4D4"/>
  <w15:chartTrackingRefBased/>
  <w15:docId w15:val="{D30F3D12-64F2-0B43-83D6-0425FBFF30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15C4"/>
    <w:pPr>
      <w:spacing w:after="0" w:line="276" w:lineRule="auto"/>
    </w:pPr>
    <w:rPr>
      <w:rFonts w:ascii="Arial" w:hAnsi="Arial" w:eastAsia="Arial" w:cs="Arial"/>
      <w:kern w:val="0"/>
      <w:sz w:val="22"/>
      <w:szCs w:val="22"/>
      <w:lang w:val="en"/>
      <w14:ligatures w14:val="none"/>
    </w:rPr>
  </w:style>
  <w:style w:type="paragraph" w:styleId="Heading1">
    <w:name w:val="heading 1"/>
    <w:basedOn w:val="Normal"/>
    <w:next w:val="Normal"/>
    <w:link w:val="Heading1Char"/>
    <w:uiPriority w:val="9"/>
    <w:qFormat/>
    <w:rsid w:val="008515C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5C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1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5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5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5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5C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515C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515C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515C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515C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515C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515C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515C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515C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515C4"/>
    <w:rPr>
      <w:rFonts w:eastAsiaTheme="majorEastAsia" w:cstheme="majorBidi"/>
      <w:color w:val="272727" w:themeColor="text1" w:themeTint="D8"/>
    </w:rPr>
  </w:style>
  <w:style w:type="paragraph" w:styleId="Title">
    <w:name w:val="Title"/>
    <w:basedOn w:val="Normal"/>
    <w:next w:val="Normal"/>
    <w:link w:val="TitleChar"/>
    <w:uiPriority w:val="10"/>
    <w:qFormat/>
    <w:rsid w:val="008515C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515C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515C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51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5C4"/>
    <w:pPr>
      <w:spacing w:before="160"/>
      <w:jc w:val="center"/>
    </w:pPr>
    <w:rPr>
      <w:i/>
      <w:iCs/>
      <w:color w:val="404040" w:themeColor="text1" w:themeTint="BF"/>
    </w:rPr>
  </w:style>
  <w:style w:type="character" w:styleId="QuoteChar" w:customStyle="1">
    <w:name w:val="Quote Char"/>
    <w:basedOn w:val="DefaultParagraphFont"/>
    <w:link w:val="Quote"/>
    <w:uiPriority w:val="29"/>
    <w:rsid w:val="008515C4"/>
    <w:rPr>
      <w:i/>
      <w:iCs/>
      <w:color w:val="404040" w:themeColor="text1" w:themeTint="BF"/>
    </w:rPr>
  </w:style>
  <w:style w:type="paragraph" w:styleId="ListParagraph">
    <w:name w:val="List Paragraph"/>
    <w:basedOn w:val="Normal"/>
    <w:uiPriority w:val="34"/>
    <w:qFormat/>
    <w:rsid w:val="008515C4"/>
    <w:pPr>
      <w:ind w:left="720"/>
      <w:contextualSpacing/>
    </w:pPr>
  </w:style>
  <w:style w:type="character" w:styleId="IntenseEmphasis">
    <w:name w:val="Intense Emphasis"/>
    <w:basedOn w:val="DefaultParagraphFont"/>
    <w:uiPriority w:val="21"/>
    <w:qFormat/>
    <w:rsid w:val="008515C4"/>
    <w:rPr>
      <w:i/>
      <w:iCs/>
      <w:color w:val="0F4761" w:themeColor="accent1" w:themeShade="BF"/>
    </w:rPr>
  </w:style>
  <w:style w:type="paragraph" w:styleId="IntenseQuote">
    <w:name w:val="Intense Quote"/>
    <w:basedOn w:val="Normal"/>
    <w:next w:val="Normal"/>
    <w:link w:val="IntenseQuoteChar"/>
    <w:uiPriority w:val="30"/>
    <w:qFormat/>
    <w:rsid w:val="008515C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515C4"/>
    <w:rPr>
      <w:i/>
      <w:iCs/>
      <w:color w:val="0F4761" w:themeColor="accent1" w:themeShade="BF"/>
    </w:rPr>
  </w:style>
  <w:style w:type="character" w:styleId="IntenseReference">
    <w:name w:val="Intense Reference"/>
    <w:basedOn w:val="DefaultParagraphFont"/>
    <w:uiPriority w:val="32"/>
    <w:qFormat/>
    <w:rsid w:val="008515C4"/>
    <w:rPr>
      <w:b/>
      <w:bCs/>
      <w:smallCaps/>
      <w:color w:val="0F4761" w:themeColor="accent1" w:themeShade="BF"/>
      <w:spacing w:val="5"/>
    </w:rPr>
  </w:style>
  <w:style w:type="paragraph" w:styleId="CommentText">
    <w:name w:val="Comment Text"/>
    <w:basedOn w:val="Normal"/>
    <w:link w:val="CommentTextChar"/>
    <w:uiPriority w:val="99"/>
    <w:semiHidden/>
    <w:unhideWhenUsed/>
    <w:rsid w:val="008515C4"/>
    <w:pPr>
      <w:spacing w:line="240" w:lineRule="auto"/>
    </w:pPr>
    <w:rPr>
      <w:sz w:val="20"/>
      <w:szCs w:val="20"/>
    </w:rPr>
  </w:style>
  <w:style w:type="character" w:styleId="CommentTextChar" w:customStyle="1">
    <w:name w:val="Comment Text Char"/>
    <w:basedOn w:val="DefaultParagraphFont"/>
    <w:link w:val="CommentText"/>
    <w:uiPriority w:val="99"/>
    <w:semiHidden/>
    <w:rsid w:val="008515C4"/>
    <w:rPr>
      <w:rFonts w:ascii="Arial" w:hAnsi="Arial" w:eastAsia="Arial" w:cs="Arial"/>
      <w:kern w:val="0"/>
      <w:sz w:val="20"/>
      <w:szCs w:val="20"/>
      <w:lang w:val="en"/>
      <w14:ligatures w14:val="none"/>
    </w:rPr>
  </w:style>
  <w:style w:type="character" w:styleId="CommentReference">
    <w:name w:val="Comment Reference"/>
    <w:basedOn w:val="DefaultParagraphFont"/>
    <w:uiPriority w:val="99"/>
    <w:semiHidden/>
    <w:unhideWhenUsed/>
    <w:rsid w:val="008515C4"/>
    <w:rPr>
      <w:sz w:val="16"/>
      <w:szCs w:val="16"/>
    </w:rPr>
  </w:style>
  <w:style w:type="character" w:styleId="Strong">
    <w:name w:val="Strong"/>
    <w:basedOn w:val="DefaultParagraphFont"/>
    <w:uiPriority w:val="22"/>
    <w:qFormat/>
    <w:rsid w:val="008515C4"/>
    <w:rPr>
      <w:b/>
      <w:bCs/>
    </w:rPr>
  </w:style>
  <w:style w:type="paragraph" w:styleId="NormalWeb">
    <w:name w:val="Normal (Web)"/>
    <w:basedOn w:val="Normal"/>
    <w:uiPriority w:val="99"/>
    <w:unhideWhenUsed/>
    <w:rsid w:val="008515C4"/>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TableGrid">
    <w:name w:val="Table Grid"/>
    <w:basedOn w:val="TableNormal"/>
    <w:uiPriority w:val="39"/>
    <w:rsid w:val="008515C4"/>
    <w:pPr>
      <w:spacing w:after="0" w:line="240" w:lineRule="auto"/>
    </w:pPr>
    <w:rPr>
      <w:rFonts w:ascii="Arial" w:hAnsi="Arial" w:eastAsia="Arial" w:cs="Arial"/>
      <w:kern w:val="0"/>
      <w:sz w:val="22"/>
      <w:szCs w:val="22"/>
      <w:lang w:val="en"/>
      <w14:ligatures w14:val="none"/>
    </w:rPr>
    <w:tblPr>
      <w:tblInd w:w="0" w:type="nil"/>
      <w:tblCellMar>
        <w:left w:w="0" w:type="dxa"/>
        <w:right w:w="0" w:type="dxa"/>
      </w:tblCellMar>
    </w:tblPr>
  </w:style>
  <w:style w:type="paragraph" w:styleId="Header">
    <w:name w:val="header"/>
    <w:basedOn w:val="Normal"/>
    <w:link w:val="HeaderChar"/>
    <w:uiPriority w:val="99"/>
    <w:unhideWhenUsed/>
    <w:rsid w:val="008515C4"/>
    <w:pPr>
      <w:tabs>
        <w:tab w:val="center" w:pos="4680"/>
        <w:tab w:val="right" w:pos="9360"/>
      </w:tabs>
      <w:spacing w:line="240" w:lineRule="auto"/>
    </w:pPr>
  </w:style>
  <w:style w:type="character" w:styleId="HeaderChar" w:customStyle="1">
    <w:name w:val="Header Char"/>
    <w:basedOn w:val="DefaultParagraphFont"/>
    <w:link w:val="Header"/>
    <w:uiPriority w:val="99"/>
    <w:rsid w:val="008515C4"/>
    <w:rPr>
      <w:rFonts w:ascii="Arial" w:hAnsi="Arial" w:eastAsia="Arial" w:cs="Arial"/>
      <w:kern w:val="0"/>
      <w:sz w:val="22"/>
      <w:szCs w:val="22"/>
      <w:lang w:val="en"/>
      <w14:ligatures w14:val="none"/>
    </w:rPr>
  </w:style>
  <w:style w:type="paragraph" w:styleId="Footer">
    <w:name w:val="footer"/>
    <w:basedOn w:val="Normal"/>
    <w:link w:val="FooterChar"/>
    <w:uiPriority w:val="99"/>
    <w:unhideWhenUsed/>
    <w:rsid w:val="008515C4"/>
    <w:pPr>
      <w:tabs>
        <w:tab w:val="center" w:pos="4680"/>
        <w:tab w:val="right" w:pos="9360"/>
      </w:tabs>
      <w:spacing w:line="240" w:lineRule="auto"/>
    </w:pPr>
  </w:style>
  <w:style w:type="character" w:styleId="FooterChar" w:customStyle="1">
    <w:name w:val="Footer Char"/>
    <w:basedOn w:val="DefaultParagraphFont"/>
    <w:link w:val="Footer"/>
    <w:uiPriority w:val="99"/>
    <w:rsid w:val="008515C4"/>
    <w:rPr>
      <w:rFonts w:ascii="Arial" w:hAnsi="Arial" w:eastAsia="Arial" w:cs="Arial"/>
      <w:kern w:val="0"/>
      <w:sz w:val="22"/>
      <w:szCs w:val="22"/>
      <w:lang w:val="en"/>
      <w14:ligatures w14:val="none"/>
    </w:rPr>
  </w:style>
  <w:style w:type="character" w:styleId="Hyperlink">
    <w:name w:val="Hyperlink"/>
    <w:basedOn w:val="DefaultParagraphFont"/>
    <w:uiPriority w:val="99"/>
    <w:unhideWhenUsed/>
    <w:rsid w:val="008515C4"/>
    <w:rPr>
      <w:color w:val="467886" w:themeColor="hyperlink"/>
      <w:u w:val="single"/>
    </w:rPr>
  </w:style>
  <w:style w:type="character" w:styleId="UnresolvedMention">
    <w:name w:val="Unresolved Mention"/>
    <w:basedOn w:val="DefaultParagraphFont"/>
    <w:uiPriority w:val="99"/>
    <w:semiHidden/>
    <w:unhideWhenUsed/>
    <w:rsid w:val="008515C4"/>
    <w:rPr>
      <w:color w:val="605E5C"/>
      <w:shd w:val="clear" w:color="auto" w:fill="E1DFDD"/>
    </w:rPr>
  </w:style>
  <w:style w:type="character" w:styleId="PlaceholderText">
    <w:name w:val="Placeholder Text"/>
    <w:basedOn w:val="DefaultParagraphFont"/>
    <w:uiPriority w:val="99"/>
    <w:semiHidden/>
    <w:rsid w:val="008515C4"/>
    <w:rPr>
      <w:color w:val="666666"/>
    </w:rPr>
  </w:style>
  <w:style w:type="paragraph" w:styleId="Revision">
    <w:name w:val="Revision"/>
    <w:hidden/>
    <w:uiPriority w:val="99"/>
    <w:semiHidden/>
    <w:rsid w:val="008515C4"/>
    <w:pPr>
      <w:spacing w:after="0" w:line="240" w:lineRule="auto"/>
    </w:pPr>
    <w:rPr>
      <w:rFonts w:ascii="Arial" w:hAnsi="Arial" w:eastAsia="Arial" w:cs="Arial"/>
      <w:kern w:val="0"/>
      <w:sz w:val="22"/>
      <w:szCs w:val="22"/>
      <w:lang w:val="en"/>
      <w14:ligatures w14:val="none"/>
    </w:rPr>
  </w:style>
  <w:style w:type="paragraph" w:styleId="CommentSubject">
    <w:name w:val="Comment Subject"/>
    <w:basedOn w:val="CommentText"/>
    <w:next w:val="CommentText"/>
    <w:link w:val="CommentSubjectChar"/>
    <w:uiPriority w:val="99"/>
    <w:semiHidden/>
    <w:unhideWhenUsed/>
    <w:rsid w:val="008515C4"/>
    <w:rPr>
      <w:b/>
      <w:bCs/>
    </w:rPr>
  </w:style>
  <w:style w:type="character" w:styleId="CommentSubjectChar" w:customStyle="1">
    <w:name w:val="Comment Subject Char"/>
    <w:basedOn w:val="CommentTextChar"/>
    <w:link w:val="CommentSubject"/>
    <w:uiPriority w:val="99"/>
    <w:semiHidden/>
    <w:rsid w:val="008515C4"/>
    <w:rPr>
      <w:rFonts w:ascii="Arial" w:hAnsi="Arial" w:eastAsia="Arial" w:cs="Arial"/>
      <w:b/>
      <w:bCs/>
      <w:kern w:val="0"/>
      <w:sz w:val="20"/>
      <w:szCs w:val="20"/>
      <w:lang w:val="en"/>
      <w14:ligatures w14:val="none"/>
    </w:rPr>
  </w:style>
  <w:style w:type="character" w:styleId="Mention">
    <w:name w:val="Mention"/>
    <w:basedOn w:val="DefaultParagraphFont"/>
    <w:uiPriority w:val="99"/>
    <w:unhideWhenUsed/>
    <w:rsid w:val="008515C4"/>
    <w:rPr>
      <w:color w:val="2B579A"/>
      <w:shd w:val="clear" w:color="auto" w:fill="E1DFDD"/>
    </w:rPr>
  </w:style>
  <w:style w:type="character" w:styleId="Emphasis">
    <w:name w:val="Emphasis"/>
    <w:basedOn w:val="DefaultParagraphFont"/>
    <w:uiPriority w:val="20"/>
    <w:qFormat/>
    <w:rsid w:val="008515C4"/>
    <w:rPr>
      <w:i/>
      <w:iCs/>
    </w:rPr>
  </w:style>
  <w:style w:type="paragraph" w:styleId="z-TopofForm">
    <w:name w:val="HTML Top of Form"/>
    <w:basedOn w:val="Normal"/>
    <w:next w:val="Normal"/>
    <w:link w:val="z-TopofFormChar"/>
    <w:hidden/>
    <w:uiPriority w:val="99"/>
    <w:semiHidden/>
    <w:unhideWhenUsed/>
    <w:rsid w:val="008515C4"/>
    <w:pPr>
      <w:pBdr>
        <w:bottom w:val="single" w:color="auto" w:sz="6" w:space="1"/>
      </w:pBdr>
      <w:spacing w:line="240" w:lineRule="auto"/>
      <w:jc w:val="center"/>
    </w:pPr>
    <w:rPr>
      <w:rFonts w:eastAsia="Times New Roman"/>
      <w:vanish/>
      <w:sz w:val="16"/>
      <w:szCs w:val="16"/>
      <w:lang w:val="en-US"/>
    </w:rPr>
  </w:style>
  <w:style w:type="character" w:styleId="z-TopofFormChar" w:customStyle="1">
    <w:name w:val="z-Top of Form Char"/>
    <w:basedOn w:val="DefaultParagraphFont"/>
    <w:link w:val="z-TopofForm"/>
    <w:uiPriority w:val="99"/>
    <w:semiHidden/>
    <w:rsid w:val="008515C4"/>
    <w:rPr>
      <w:rFonts w:ascii="Arial" w:hAnsi="Arial" w:eastAsia="Times New Roman"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515C4"/>
    <w:pPr>
      <w:pBdr>
        <w:top w:val="single" w:color="auto" w:sz="6" w:space="1"/>
      </w:pBdr>
      <w:spacing w:line="240" w:lineRule="auto"/>
      <w:jc w:val="center"/>
    </w:pPr>
    <w:rPr>
      <w:rFonts w:eastAsia="Times New Roman"/>
      <w:vanish/>
      <w:sz w:val="16"/>
      <w:szCs w:val="16"/>
      <w:lang w:val="en-US"/>
    </w:rPr>
  </w:style>
  <w:style w:type="character" w:styleId="z-BottomofFormChar" w:customStyle="1">
    <w:name w:val="z-Bottom of Form Char"/>
    <w:basedOn w:val="DefaultParagraphFont"/>
    <w:link w:val="z-BottomofForm"/>
    <w:uiPriority w:val="99"/>
    <w:semiHidden/>
    <w:rsid w:val="008515C4"/>
    <w:rPr>
      <w:rFonts w:ascii="Arial" w:hAnsi="Arial" w:eastAsia="Times New Roman" w:cs="Arial"/>
      <w:vanish/>
      <w:kern w:val="0"/>
      <w:sz w:val="16"/>
      <w:szCs w:val="16"/>
      <w14:ligatures w14:val="none"/>
    </w:rPr>
  </w:style>
  <w:style w:type="character" w:styleId="dtet0b" w:customStyle="1">
    <w:name w:val="dtet0b"/>
    <w:basedOn w:val="DefaultParagraphFont"/>
    <w:rsid w:val="008515C4"/>
  </w:style>
  <w:style w:type="character" w:styleId="vkekvd" w:customStyle="1">
    <w:name w:val="vkekvd"/>
    <w:basedOn w:val="DefaultParagraphFont"/>
    <w:rsid w:val="008515C4"/>
  </w:style>
  <w:style w:type="character" w:styleId="FollowedHyperlink">
    <w:name w:val="FollowedHyperlink"/>
    <w:basedOn w:val="DefaultParagraphFont"/>
    <w:uiPriority w:val="99"/>
    <w:semiHidden/>
    <w:unhideWhenUsed/>
    <w:rsid w:val="008515C4"/>
    <w:rPr>
      <w:color w:val="96607D" w:themeColor="followedHyperlink"/>
      <w:u w:val="single"/>
    </w:rPr>
  </w:style>
  <w:style w:type="paragraph" w:styleId="HTMLPreformatted">
    <w:name w:val="HTML Preformatted"/>
    <w:basedOn w:val="Normal"/>
    <w:link w:val="HTMLPreformattedChar"/>
    <w:uiPriority w:val="99"/>
    <w:unhideWhenUsed/>
    <w:rsid w:val="00851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val="en-US"/>
    </w:rPr>
  </w:style>
  <w:style w:type="character" w:styleId="HTMLPreformattedChar" w:customStyle="1">
    <w:name w:val="HTML Preformatted Char"/>
    <w:basedOn w:val="DefaultParagraphFont"/>
    <w:link w:val="HTMLPreformatted"/>
    <w:uiPriority w:val="99"/>
    <w:rsid w:val="008515C4"/>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8515C4"/>
    <w:rPr>
      <w:rFonts w:ascii="Courier New" w:hAnsi="Courier New" w:eastAsia="Times New Roman" w:cs="Courier New"/>
      <w:sz w:val="20"/>
      <w:szCs w:val="20"/>
    </w:rPr>
  </w:style>
  <w:style w:type="paragraph" w:styleId="Bibliography">
    <w:name w:val="Bibliography"/>
    <w:basedOn w:val="Normal"/>
    <w:next w:val="Normal"/>
    <w:uiPriority w:val="37"/>
    <w:unhideWhenUsed/>
    <w:rsid w:val="008515C4"/>
    <w:pPr>
      <w:tabs>
        <w:tab w:val="left" w:pos="260"/>
        <w:tab w:val="left" w:pos="380"/>
      </w:tabs>
      <w:spacing w:line="480" w:lineRule="auto"/>
      <w:ind w:left="384" w:hanging="384"/>
    </w:pPr>
  </w:style>
  <w:style w:type="character" w:styleId="c-messageeditedlabel" w:customStyle="1">
    <w:name w:val="c-message__edited_label"/>
    <w:basedOn w:val="DefaultParagraphFont"/>
    <w:rsid w:val="008515C4"/>
  </w:style>
  <w:style w:type="character" w:styleId="math-inline" w:customStyle="1">
    <w:name w:val="math-inline"/>
    <w:basedOn w:val="DefaultParagraphFont"/>
    <w:rsid w:val="008515C4"/>
  </w:style>
  <w:style w:type="character" w:styleId="apple-converted-space" w:customStyle="1">
    <w:name w:val="apple-converted-space"/>
    <w:basedOn w:val="DefaultParagraphFont"/>
    <w:rsid w:val="00851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github.com/jishnu-lab/SLIDE" TargetMode="External" Id="rId9" /><Relationship Type="http://schemas.openxmlformats.org/officeDocument/2006/relationships/header" Target="header3.xml" Id="rId14" /><Relationship Type="http://schemas.microsoft.com/office/2020/10/relationships/intelligence" Target="intelligence2.xml" Id="R92011a52b48a418c" /><Relationship Type="http://schemas.openxmlformats.org/officeDocument/2006/relationships/hyperlink" Target="https://github.com/xxx" TargetMode="External" Id="R7988e3f0f7ef486d" /><Relationship Type="http://schemas.openxmlformats.org/officeDocument/2006/relationships/hyperlink" Target="https://pitt-csi.shinyapps.io/firefate/" TargetMode="External" Id="R83926ae0c71744e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B107C0-95E8-D647-B670-3C6C86CCF490}">
  <we:reference id="WA200010453" version="1.0.0.1" store="Omex" storeType="OMEX"/>
  <we:alternateReferences>
    <we:reference id="WA200010453" version="1.0.0.1" store="WA200010453" storeType="OMEX"/>
  </we:alternateReferences>
  <we:properties>
    <we:property name="claude.fileId" value="&quot;564b7c8c-8da7-4364-afbc-6db277fcee3e&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Heidari Rarani, Zarifeh</dc:creator>
  <keywords/>
  <dc:description/>
  <lastModifiedBy>Sachan, Akanksha</lastModifiedBy>
  <revision>6</revision>
  <lastPrinted>2026-03-30T15:48:00.0000000Z</lastPrinted>
  <dcterms:created xsi:type="dcterms:W3CDTF">2026-07-07T00:16:00.0000000Z</dcterms:created>
  <dcterms:modified xsi:type="dcterms:W3CDTF">2026-08-03T00:59:54.2806656Z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id="Cb1kp36C"/&gt;&lt;style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