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5988" w14:textId="77777777" w:rsidR="008515C4" w:rsidRDefault="008515C4" w:rsidP="008515C4">
      <w:pPr>
        <w:shd w:val="clear" w:color="auto" w:fill="FFFFFF"/>
        <w:spacing w:line="240" w:lineRule="auto"/>
        <w:jc w:val="both"/>
        <w:rPr>
          <w:rFonts w:ascii="Calibri" w:eastAsia="Times New Roman" w:hAnsi="Calibri" w:cs="Calibri"/>
          <w:b/>
          <w:bCs/>
          <w:color w:val="000000" w:themeColor="text1"/>
          <w:sz w:val="24"/>
          <w:szCs w:val="24"/>
          <w:lang w:val="en-US"/>
        </w:rPr>
      </w:pPr>
      <w:proofErr w:type="spellStart"/>
      <w:r w:rsidRPr="009658C3">
        <w:rPr>
          <w:rFonts w:ascii="Calibri" w:eastAsia="Times New Roman" w:hAnsi="Calibri" w:cs="Calibri"/>
          <w:b/>
          <w:bCs/>
          <w:color w:val="000000" w:themeColor="text1"/>
          <w:sz w:val="24"/>
          <w:szCs w:val="24"/>
          <w:lang w:val="en-US"/>
        </w:rPr>
        <w:t>FIREFate</w:t>
      </w:r>
      <w:proofErr w:type="spellEnd"/>
      <w:r w:rsidRPr="009658C3">
        <w:rPr>
          <w:rFonts w:ascii="Calibri" w:eastAsia="Times New Roman" w:hAnsi="Calibri" w:cs="Calibri"/>
          <w:b/>
          <w:bCs/>
          <w:color w:val="000000" w:themeColor="text1"/>
          <w:sz w:val="24"/>
          <w:szCs w:val="24"/>
          <w:lang w:val="en-US"/>
        </w:rPr>
        <w:t>: Functional and Interpretable Regulatory Encoding of Fate determination</w:t>
      </w:r>
    </w:p>
    <w:p w14:paraId="6D116F93" w14:textId="77777777" w:rsidR="008515C4" w:rsidRPr="009658C3" w:rsidRDefault="008515C4" w:rsidP="008515C4">
      <w:pPr>
        <w:shd w:val="clear" w:color="auto" w:fill="FFFFFF"/>
        <w:spacing w:line="240" w:lineRule="auto"/>
        <w:jc w:val="both"/>
        <w:rPr>
          <w:rFonts w:ascii="Calibri" w:eastAsia="Times New Roman" w:hAnsi="Calibri" w:cs="Calibri"/>
          <w:color w:val="000000" w:themeColor="text1"/>
          <w:lang w:val="en-US"/>
        </w:rPr>
      </w:pPr>
    </w:p>
    <w:p w14:paraId="50F24AF2" w14:textId="3793FC57" w:rsidR="008515C4" w:rsidRPr="00FB0275" w:rsidRDefault="008515C4" w:rsidP="008515C4">
      <w:pPr>
        <w:jc w:val="both"/>
      </w:pPr>
      <w:r w:rsidRPr="00FB0275">
        <w:rPr>
          <w:rFonts w:ascii="Calibri" w:hAnsi="Calibri" w:cs="Calibri"/>
        </w:rPr>
        <w:t>Cell fate determination governs how cells acquire, maintain, or change their identities, coordinating proliferation, differentiation, and functional specialization across tissues. This process integrates molecular cues from gene regulation, epigenetic and metabolic states, mechanical and environmental inputs, and intercellular communication to shape multicellular structure and function.</w:t>
      </w:r>
      <w:r>
        <w:t xml:space="preserve"> </w:t>
      </w:r>
      <w:r w:rsidR="00D976D7" w:rsidRPr="00D976D7">
        <w:rPr>
          <w:rFonts w:ascii="Calibri" w:hAnsi="Calibri" w:cs="Calibri"/>
        </w:rPr>
        <w:t>While computational approaches for inferring mechanistic models such as gene regulatory networks (GRNs) from single-cell data effectively capture state-specific phenotypes, they are not designed to resolve focused, combinatorial gene programs, their dynamic rewiring during cell fate transitions, or to predict which programs mechanistically bias cells toward specific fates.</w:t>
      </w:r>
      <w:r w:rsidR="00D976D7">
        <w:t xml:space="preserve"> </w:t>
      </w:r>
      <w:r w:rsidRPr="002F4783">
        <w:rPr>
          <w:rFonts w:ascii="Calibri" w:eastAsia="Calibri" w:hAnsi="Calibri" w:cs="Calibri"/>
          <w:color w:val="000000" w:themeColor="text1"/>
          <w:lang w:val="en-US"/>
        </w:rPr>
        <w:t xml:space="preserve">Here, we introduce </w:t>
      </w:r>
      <w:proofErr w:type="spellStart"/>
      <w:r w:rsidRPr="002F4783">
        <w:rPr>
          <w:rFonts w:ascii="Calibri" w:eastAsia="Calibri" w:hAnsi="Calibri" w:cs="Calibri"/>
          <w:color w:val="000000" w:themeColor="text1"/>
          <w:lang w:val="en-US"/>
        </w:rPr>
        <w:t>FIREFate</w:t>
      </w:r>
      <w:proofErr w:type="spellEnd"/>
      <w:r w:rsidRPr="002F4783">
        <w:rPr>
          <w:rFonts w:ascii="Calibri" w:eastAsia="Calibri" w:hAnsi="Calibri" w:cs="Calibri"/>
          <w:color w:val="000000" w:themeColor="text1"/>
          <w:lang w:val="en-US"/>
        </w:rPr>
        <w:t xml:space="preserve"> (Functional and Interpretable Regulatory Encoding of Fate determination), a </w:t>
      </w:r>
      <w:r>
        <w:rPr>
          <w:rFonts w:ascii="Calibri" w:eastAsia="Calibri" w:hAnsi="Calibri" w:cs="Calibri"/>
          <w:color w:val="000000" w:themeColor="text1"/>
          <w:lang w:val="en-US"/>
        </w:rPr>
        <w:t xml:space="preserve">conceptual </w:t>
      </w:r>
      <w:r w:rsidR="00074B39">
        <w:rPr>
          <w:rFonts w:ascii="Calibri" w:eastAsia="Calibri" w:hAnsi="Calibri" w:cs="Calibri"/>
          <w:color w:val="000000" w:themeColor="text1"/>
          <w:lang w:val="en-US"/>
        </w:rPr>
        <w:t>framework</w:t>
      </w:r>
      <w:r w:rsidRPr="002F4783">
        <w:rPr>
          <w:rFonts w:ascii="Calibri" w:eastAsia="Calibri" w:hAnsi="Calibri" w:cs="Calibri"/>
          <w:color w:val="000000" w:themeColor="text1"/>
          <w:lang w:val="en-US"/>
        </w:rPr>
        <w:t xml:space="preserve"> addressing two interconnected facets of how cell fate is determined and regulated. </w:t>
      </w:r>
      <w:proofErr w:type="spellStart"/>
      <w:r w:rsidRPr="002F4783">
        <w:rPr>
          <w:rFonts w:ascii="Calibri" w:eastAsia="Calibri" w:hAnsi="Calibri" w:cs="Calibri"/>
          <w:color w:val="000000" w:themeColor="text1"/>
          <w:lang w:val="en-US"/>
        </w:rPr>
        <w:t>FIREFate</w:t>
      </w:r>
      <w:proofErr w:type="spellEnd"/>
      <w:r w:rsidRPr="002F4783">
        <w:rPr>
          <w:rFonts w:ascii="Calibri" w:eastAsia="Calibri" w:hAnsi="Calibri" w:cs="Calibri"/>
          <w:color w:val="000000" w:themeColor="text1"/>
          <w:lang w:val="en-US"/>
        </w:rPr>
        <w:t xml:space="preserve"> integrates static and dynamic </w:t>
      </w:r>
      <w:r>
        <w:rPr>
          <w:rFonts w:ascii="Calibri" w:eastAsia="Calibri" w:hAnsi="Calibri" w:cs="Calibri"/>
          <w:color w:val="000000" w:themeColor="text1"/>
          <w:lang w:val="en-US"/>
        </w:rPr>
        <w:t xml:space="preserve">mechanistic </w:t>
      </w:r>
      <w:r w:rsidRPr="35E2884F">
        <w:rPr>
          <w:rFonts w:ascii="Calibri" w:eastAsia="Calibri" w:hAnsi="Calibri" w:cs="Calibri"/>
          <w:color w:val="000000" w:themeColor="text1"/>
          <w:lang w:val="en-US"/>
        </w:rPr>
        <w:t>models</w:t>
      </w:r>
      <w:r w:rsidRPr="002F4783">
        <w:rPr>
          <w:rFonts w:ascii="Calibri" w:eastAsia="Calibri" w:hAnsi="Calibri" w:cs="Calibri"/>
          <w:color w:val="000000" w:themeColor="text1"/>
          <w:lang w:val="en-US"/>
        </w:rPr>
        <w:t xml:space="preserve"> with interpretable machine learning to uncover coordinated regulatory programs governing cell-state transitions. </w:t>
      </w:r>
      <w:r>
        <w:rPr>
          <w:rFonts w:ascii="Calibri" w:eastAsia="Calibri" w:hAnsi="Calibri" w:cs="Calibri"/>
          <w:color w:val="000000" w:themeColor="text1"/>
          <w:lang w:val="en-US"/>
        </w:rPr>
        <w:t>Furthermore,</w:t>
      </w:r>
      <w:r w:rsidRPr="002F4783">
        <w:rPr>
          <w:rFonts w:ascii="Calibri" w:eastAsia="Calibri" w:hAnsi="Calibri" w:cs="Calibri"/>
          <w:color w:val="000000" w:themeColor="text1"/>
          <w:lang w:val="en-US"/>
        </w:rPr>
        <w:t xml:space="preserve"> </w:t>
      </w:r>
      <w:proofErr w:type="spellStart"/>
      <w:r w:rsidRPr="002F4783">
        <w:rPr>
          <w:rFonts w:ascii="Calibri" w:eastAsia="Calibri" w:hAnsi="Calibri" w:cs="Calibri"/>
          <w:color w:val="000000" w:themeColor="text1"/>
          <w:lang w:val="en-US"/>
        </w:rPr>
        <w:t>FIREFate</w:t>
      </w:r>
      <w:proofErr w:type="spellEnd"/>
      <w:r>
        <w:rPr>
          <w:rFonts w:ascii="Calibri" w:eastAsia="Calibri" w:hAnsi="Calibri" w:cs="Calibri"/>
          <w:color w:val="000000" w:themeColor="text1"/>
          <w:lang w:val="en-US"/>
        </w:rPr>
        <w:t xml:space="preserve"> </w:t>
      </w:r>
      <w:r w:rsidRPr="002F4783">
        <w:rPr>
          <w:rFonts w:ascii="Calibri" w:eastAsia="Calibri" w:hAnsi="Calibri" w:cs="Calibri"/>
          <w:color w:val="000000" w:themeColor="text1"/>
          <w:lang w:val="en-US"/>
        </w:rPr>
        <w:t xml:space="preserve">leverages transfer learning from transcription factor perturbation data to </w:t>
      </w:r>
      <w:r>
        <w:rPr>
          <w:rFonts w:ascii="Calibri" w:eastAsia="Calibri" w:hAnsi="Calibri" w:cs="Calibri"/>
          <w:color w:val="000000" w:themeColor="text1"/>
          <w:lang w:val="en-US"/>
        </w:rPr>
        <w:t xml:space="preserve">determine TF dynamic activity independent of GRNs which enable us to </w:t>
      </w:r>
      <w:r w:rsidRPr="002F4783">
        <w:rPr>
          <w:rFonts w:ascii="Calibri" w:eastAsia="Calibri" w:hAnsi="Calibri" w:cs="Calibri"/>
          <w:color w:val="000000" w:themeColor="text1"/>
          <w:lang w:val="en-US"/>
        </w:rPr>
        <w:t xml:space="preserve">predict fate bias in uncommitted cells, revealing latent regulatory architectures that predispose lineage outcomes. Applied to </w:t>
      </w:r>
      <w:r>
        <w:rPr>
          <w:rFonts w:ascii="Calibri" w:eastAsia="Calibri" w:hAnsi="Calibri" w:cs="Calibri"/>
          <w:color w:val="000000" w:themeColor="text1"/>
          <w:lang w:val="en-US"/>
        </w:rPr>
        <w:t>adaptive immune</w:t>
      </w:r>
      <w:r w:rsidRPr="002F4783">
        <w:rPr>
          <w:rFonts w:ascii="Calibri" w:eastAsia="Calibri" w:hAnsi="Calibri" w:cs="Calibri"/>
          <w:color w:val="000000" w:themeColor="text1"/>
          <w:lang w:val="en-US"/>
        </w:rPr>
        <w:t xml:space="preserve"> systems, </w:t>
      </w:r>
      <w:proofErr w:type="spellStart"/>
      <w:r w:rsidRPr="002F4783">
        <w:rPr>
          <w:rFonts w:ascii="Calibri" w:eastAsia="Calibri" w:hAnsi="Calibri" w:cs="Calibri"/>
          <w:color w:val="000000" w:themeColor="text1"/>
          <w:lang w:val="en-US"/>
        </w:rPr>
        <w:t>FIREFate</w:t>
      </w:r>
      <w:proofErr w:type="spellEnd"/>
      <w:r w:rsidRPr="002F4783">
        <w:rPr>
          <w:rFonts w:ascii="Calibri" w:eastAsia="Calibri" w:hAnsi="Calibri" w:cs="Calibri"/>
          <w:color w:val="000000" w:themeColor="text1"/>
          <w:lang w:val="en-US"/>
        </w:rPr>
        <w:t xml:space="preserve"> identifies lineage-specific regulons defining state transitions and functional diversity, uncovers early determinants of </w:t>
      </w:r>
      <w:r w:rsidR="001E5380">
        <w:rPr>
          <w:rFonts w:ascii="Calibri" w:eastAsia="Calibri" w:hAnsi="Calibri" w:cs="Calibri"/>
          <w:color w:val="000000" w:themeColor="text1"/>
          <w:lang w:val="en-US"/>
        </w:rPr>
        <w:t>B cell</w:t>
      </w:r>
      <w:r w:rsidRPr="002F4783">
        <w:rPr>
          <w:rFonts w:ascii="Calibri" w:eastAsia="Calibri" w:hAnsi="Calibri" w:cs="Calibri"/>
          <w:color w:val="000000" w:themeColor="text1"/>
          <w:lang w:val="en-US"/>
        </w:rPr>
        <w:t xml:space="preserve"> commitment and T cell exhaustion, and consistently outperforms existing approaches. </w:t>
      </w:r>
      <w:proofErr w:type="spellStart"/>
      <w:r w:rsidRPr="002F4783">
        <w:rPr>
          <w:rFonts w:ascii="Calibri" w:eastAsia="Calibri" w:hAnsi="Calibri" w:cs="Calibri"/>
          <w:color w:val="000000" w:themeColor="text1"/>
          <w:lang w:val="en-US"/>
        </w:rPr>
        <w:t>FIREFate</w:t>
      </w:r>
      <w:proofErr w:type="spellEnd"/>
      <w:r w:rsidRPr="002F4783">
        <w:rPr>
          <w:rFonts w:ascii="Calibri" w:eastAsia="Calibri" w:hAnsi="Calibri" w:cs="Calibri"/>
          <w:color w:val="000000" w:themeColor="text1"/>
          <w:lang w:val="en-US"/>
        </w:rPr>
        <w:t xml:space="preserve"> thus provides a</w:t>
      </w:r>
      <w:r>
        <w:rPr>
          <w:rFonts w:ascii="Calibri" w:eastAsia="Calibri" w:hAnsi="Calibri" w:cs="Calibri"/>
          <w:color w:val="000000" w:themeColor="text1"/>
          <w:lang w:val="en-US"/>
        </w:rPr>
        <w:t xml:space="preserve"> mechanistically</w:t>
      </w:r>
      <w:r w:rsidRPr="002F4783">
        <w:rPr>
          <w:rFonts w:ascii="Calibri" w:eastAsia="Calibri" w:hAnsi="Calibri" w:cs="Calibri"/>
          <w:color w:val="000000" w:themeColor="text1"/>
          <w:lang w:val="en-US"/>
        </w:rPr>
        <w:t xml:space="preserve"> interpretable, bidirectional framework for decoding cellular decision-making and enabling rational reprogramming strategies.</w:t>
      </w:r>
      <w:r w:rsidRPr="009658C3">
        <w:rPr>
          <w:rFonts w:ascii="Calibri" w:eastAsia="Times New Roman" w:hAnsi="Calibri" w:cs="Calibri"/>
          <w:b/>
          <w:bCs/>
          <w:color w:val="000000" w:themeColor="text1"/>
          <w:sz w:val="24"/>
          <w:szCs w:val="24"/>
          <w:lang w:val="en-US"/>
        </w:rPr>
        <w:br w:type="page"/>
      </w:r>
    </w:p>
    <w:p w14:paraId="7A31F928" w14:textId="77777777" w:rsidR="008515C4" w:rsidRDefault="008515C4" w:rsidP="008515C4">
      <w:pPr>
        <w:pStyle w:val="NormalWeb"/>
        <w:spacing w:line="276" w:lineRule="auto"/>
        <w:jc w:val="both"/>
        <w:rPr>
          <w:rFonts w:ascii="Calibri" w:eastAsia="Arial" w:hAnsi="Calibri" w:cs="Calibri"/>
          <w:b/>
          <w:bCs/>
          <w:color w:val="000000" w:themeColor="text1"/>
        </w:rPr>
      </w:pPr>
      <w:r w:rsidRPr="004351BD">
        <w:rPr>
          <w:rFonts w:ascii="Calibri" w:eastAsia="Arial" w:hAnsi="Calibri" w:cs="Calibri"/>
          <w:b/>
          <w:bCs/>
          <w:color w:val="000000" w:themeColor="text1"/>
        </w:rPr>
        <w:lastRenderedPageBreak/>
        <w:t>Introduction</w:t>
      </w:r>
    </w:p>
    <w:p w14:paraId="6A306C2A" w14:textId="2C3189AF" w:rsidR="008515C4" w:rsidRDefault="008515C4" w:rsidP="008515C4">
      <w:pPr>
        <w:pStyle w:val="NormalWeb"/>
        <w:spacing w:line="276" w:lineRule="auto"/>
        <w:jc w:val="both"/>
        <w:rPr>
          <w:rFonts w:ascii="Calibri" w:hAnsi="Calibri" w:cs="Calibri"/>
          <w:sz w:val="22"/>
          <w:szCs w:val="22"/>
        </w:rPr>
      </w:pPr>
      <w:r w:rsidRPr="00FB0275">
        <w:rPr>
          <w:rFonts w:ascii="Calibri" w:hAnsi="Calibri" w:cs="Calibri"/>
          <w:sz w:val="22"/>
          <w:szCs w:val="22"/>
        </w:rPr>
        <w:t>Cell fate determination is the process by which undifferentiated or progenitor cells commit to specific identities and functions which govern proliferation, differentiation, tissue organization, and apoptosis. This process integrates molecular cues from gene regulatory networks, epigenetic and metabolic states, mechanical and environmental inputs, and intercellular communication to shape multicellular structure and function</w:t>
      </w:r>
      <w:r>
        <w:rPr>
          <w:rFonts w:ascii="Calibri" w:hAnsi="Calibri" w:cs="Calibri"/>
          <w:sz w:val="22"/>
          <w:szCs w:val="22"/>
        </w:rPr>
        <w:fldChar w:fldCharType="begin"/>
      </w:r>
      <w:r>
        <w:rPr>
          <w:rFonts w:ascii="Calibri" w:hAnsi="Calibri" w:cs="Calibri"/>
          <w:sz w:val="22"/>
          <w:szCs w:val="22"/>
        </w:rPr>
        <w:instrText xml:space="preserve"> ADDIN ZOTERO_ITEM CSL_CITATION {"citationID":"ZoXMzrV4","properties":{"formattedCitation":"\\super 1\\nosupersub{}","plainCitation":"1","noteIndex":0},"citationItems":[{"id":2701,"uris":["http://zotero.org/groups/6337619/items/XATNWZUC"],"itemData":{"id":2701,"type":"article-journal","abstract":"Abstract\n            Cell fate determination is a fundamental process in multicellular development. In multicellular organisms, cells display plasticity in their fate, allowing them to revert to prior states or adopt alternative differentiation pathways, thereby altering their identity and functional specialization in response to specific stimuli. Investigating cell fate determination and its plasticity enhances our understanding of organ development, tissue homeostasis, and disease pathogenesis and progression, providing novel insights into regenerative medicine strategies. Lineage tracing technologies have fundamentally revolutionized this understanding of cell fate dynamics by enabling the identification and tracking of cells and their progeny in vivo. These technologies have progressed significantly, from the direct observation and manual annotation of cell lineage trees to complex recombinase‐mediated genetic labeling techniques. With the advent of sequencing technologies, the resolution and scale of lineage tracing have also developed toward the single‐cell level in individual organisms. Furthermore, lineage tracing is increasingly expanding to investigate how the tissue microenvironment influences cell fate decisions. Here, the evolution of lineage tracing technologies is introduced and their applications in cell fate determinations across development, regeneration, and diseases contexts.","container-title":"Advanced Science","DOI":"10.1002/advs.202507183","ISSN":"2198-3844, 2198-3844","issue":"41","journalAbbreviation":"Advanced Science","language":"en","page":"e07183","source":"DOI.org (Crossref)","title":"Cell Fate Determination and Lineage Tracing: Technological Evolution and Multidimensional Applications","title-short":"Cell Fate Determination and Lineage Tracing","volume":"12","author":[{"family":"Chen","given":"Hui"},{"family":"Liu","given":"Zhicong"},{"family":"Shu","given":"Qiang"},{"family":"Zhou","given":"Bin"}],"issued":{"date-parts":[["2025",11]]}}}],"schema":"https://github.com/citation-style-language/schema/raw/master/csl-citation.json"} </w:instrText>
      </w:r>
      <w:r>
        <w:rPr>
          <w:rFonts w:ascii="Calibri" w:hAnsi="Calibri" w:cs="Calibri"/>
          <w:sz w:val="22"/>
          <w:szCs w:val="22"/>
        </w:rPr>
        <w:fldChar w:fldCharType="separate"/>
      </w:r>
      <w:r w:rsidRPr="004135FD">
        <w:rPr>
          <w:rFonts w:ascii="Calibri" w:hAnsi="Calibri" w:cs="Calibri"/>
          <w:sz w:val="22"/>
          <w:vertAlign w:val="superscript"/>
        </w:rPr>
        <w:t>1</w:t>
      </w:r>
      <w:r>
        <w:rPr>
          <w:rFonts w:ascii="Calibri" w:hAnsi="Calibri" w:cs="Calibri"/>
          <w:sz w:val="22"/>
          <w:szCs w:val="22"/>
        </w:rPr>
        <w:fldChar w:fldCharType="end"/>
      </w:r>
      <w:r>
        <w:rPr>
          <w:rFonts w:ascii="Calibri" w:hAnsi="Calibri" w:cs="Calibri"/>
          <w:sz w:val="22"/>
          <w:szCs w:val="22"/>
          <w:vertAlign w:val="superscript"/>
        </w:rPr>
        <w:t xml:space="preserve">, </w:t>
      </w:r>
      <w:r>
        <w:rPr>
          <w:rFonts w:ascii="Calibri" w:hAnsi="Calibri" w:cs="Calibri"/>
          <w:sz w:val="22"/>
          <w:szCs w:val="22"/>
          <w:vertAlign w:val="superscript"/>
        </w:rPr>
        <w:fldChar w:fldCharType="begin"/>
      </w:r>
      <w:r>
        <w:rPr>
          <w:rFonts w:ascii="Calibri" w:hAnsi="Calibri" w:cs="Calibri"/>
          <w:sz w:val="22"/>
          <w:szCs w:val="22"/>
          <w:vertAlign w:val="superscript"/>
        </w:rPr>
        <w:instrText xml:space="preserve"> ADDIN ZOTERO_ITEM CSL_CITATION {"citationID":"tMfmnNXu","properties":{"formattedCitation":"\\super 2\\nosupersub{}","plainCitation":"2","noteIndex":0},"citationItems":[{"id":2702,"uris":["http://zotero.org/groups/6337619/items/9MPNSVQ3"],"itemData":{"id":2702,"type":"article-journal","container-title":"Nature Reviews Genetics","DOI":"10.1038/nrg.2016.98","ISSN":"1471-0056, 1471-0064","issue":"11","journalAbbreviation":"Nat Rev Genet","language":"en","page":"693-703","source":"DOI.org (Crossref)","title":"Transition states and cell fate decisions in epigenetic landscapes","volume":"17","author":[{"family":"Moris","given":"Naomi"},{"family":"Pina","given":"Cristina"},{"family":"Arias","given":"Alfonso Martinez"}],"issued":{"date-parts":[["2016",11]]}}}],"schema":"https://github.com/citation-style-language/schema/raw/master/csl-citation.json"} </w:instrText>
      </w:r>
      <w:r>
        <w:rPr>
          <w:rFonts w:ascii="Calibri" w:hAnsi="Calibri" w:cs="Calibri"/>
          <w:sz w:val="22"/>
          <w:szCs w:val="22"/>
          <w:vertAlign w:val="superscript"/>
        </w:rPr>
        <w:fldChar w:fldCharType="separate"/>
      </w:r>
      <w:r w:rsidRPr="00924E37">
        <w:rPr>
          <w:rFonts w:ascii="Calibri" w:hAnsi="Calibri" w:cs="Calibri"/>
          <w:sz w:val="22"/>
          <w:vertAlign w:val="superscript"/>
        </w:rPr>
        <w:t>2</w:t>
      </w:r>
      <w:r>
        <w:rPr>
          <w:rFonts w:ascii="Calibri" w:hAnsi="Calibri" w:cs="Calibri"/>
          <w:sz w:val="22"/>
          <w:szCs w:val="22"/>
          <w:vertAlign w:val="superscript"/>
        </w:rPr>
        <w:fldChar w:fldCharType="end"/>
      </w:r>
      <w:r w:rsidRPr="00FB0275">
        <w:rPr>
          <w:rFonts w:ascii="Calibri" w:hAnsi="Calibri" w:cs="Calibri"/>
          <w:sz w:val="22"/>
          <w:szCs w:val="22"/>
        </w:rPr>
        <w:t>. In adaptive immunity, B cells encountering antigen may rapidly differentiate into short-lived plasmablasts that provide immediate protection or enter germinal centers to produce high-affinity, long-lived plasma cells and memory B cells sustaining lifelong immunity</w:t>
      </w:r>
      <w:r>
        <w:rPr>
          <w:rFonts w:ascii="Calibri" w:hAnsi="Calibri" w:cs="Calibri"/>
          <w:sz w:val="22"/>
          <w:szCs w:val="22"/>
        </w:rPr>
        <w:fldChar w:fldCharType="begin"/>
      </w:r>
      <w:r>
        <w:rPr>
          <w:rFonts w:ascii="Calibri" w:hAnsi="Calibri" w:cs="Calibri"/>
          <w:sz w:val="22"/>
          <w:szCs w:val="22"/>
        </w:rPr>
        <w:instrText xml:space="preserve"> ADDIN ZOTERO_ITEM CSL_CITATION {"citationID":"iJz36UQN","properties":{"formattedCitation":"\\super 3\\nosupersub{}","plainCitation":"3","noteIndex":0},"citationItems":[{"id":2703,"uris":["http://zotero.org/groups/6337619/items/4K3HKFKX"],"itemData":{"id":2703,"type":"article-journal","abstract":"Germinal centers (GCs) are microanatomical sites of B cell clonal expansion and antibody affinity maturation. Therein, B cells undergo the Darwinian process of somatic diversification and affinity-driven selection of immunoglobulins that produces the high-affinity antibodies essential for effective humoral immunity. Here, we review recent developments in the field of GC biology, primarily as it pertains to GCs induced by infection or immunization. First, we summarize the phenotype and function of the different cell types that compose the GC, focusing on GC B cells. Then, we review the cellular and molecular bases of affinity-dependent selection within the GC and the export of memory and plasma cells. Finally, we present an overview of the emerging field of GC clonal dynamics, focusing on how GC and post-GC selection shapes the diversity of antibodies secreted into serum.","container-title":"Annual Review of Immunology","DOI":"10.1146/annurev-immunol-120419-022408","ISSN":"0732-0582, 1545-3278","issue":"1","journalAbbreviation":"Annu. Rev. Immunol.","language":"en","page":"413-442","source":"DOI.org (Crossref)","title":"Germinal Centers","volume":"40","author":[{"family":"Victora","given":"Gabriel D."},{"family":"Nussenzweig","given":"Michel C."}],"issued":{"date-parts":[["2022",4,26]]}}}],"schema":"https://github.com/citation-style-language/schema/raw/master/csl-citation.json"} </w:instrText>
      </w:r>
      <w:r>
        <w:rPr>
          <w:rFonts w:ascii="Calibri" w:hAnsi="Calibri" w:cs="Calibri"/>
          <w:sz w:val="22"/>
          <w:szCs w:val="22"/>
        </w:rPr>
        <w:fldChar w:fldCharType="separate"/>
      </w:r>
      <w:r w:rsidRPr="00F372B0">
        <w:rPr>
          <w:rFonts w:ascii="Calibri" w:hAnsi="Calibri" w:cs="Calibri"/>
          <w:sz w:val="22"/>
          <w:vertAlign w:val="superscript"/>
        </w:rPr>
        <w:t>3</w:t>
      </w:r>
      <w:r>
        <w:rPr>
          <w:rFonts w:ascii="Calibri" w:hAnsi="Calibri" w:cs="Calibri"/>
          <w:sz w:val="22"/>
          <w:szCs w:val="22"/>
        </w:rPr>
        <w:fldChar w:fldCharType="end"/>
      </w:r>
      <w:r w:rsidRPr="00FB0275">
        <w:rPr>
          <w:rFonts w:ascii="Calibri" w:hAnsi="Calibri" w:cs="Calibri"/>
          <w:sz w:val="22"/>
          <w:szCs w:val="22"/>
        </w:rPr>
        <w:t>. Similarly, CD8⁺ T cells exposed to chronic antigen</w:t>
      </w:r>
      <w:r w:rsidRPr="2A7258C0">
        <w:rPr>
          <w:rFonts w:ascii="Calibri" w:hAnsi="Calibri" w:cs="Calibri"/>
          <w:sz w:val="22"/>
          <w:szCs w:val="22"/>
        </w:rPr>
        <w:t>s</w:t>
      </w:r>
      <w:r w:rsidRPr="00FB0275">
        <w:rPr>
          <w:rFonts w:ascii="Calibri" w:hAnsi="Calibri" w:cs="Calibri"/>
          <w:sz w:val="22"/>
          <w:szCs w:val="22"/>
        </w:rPr>
        <w:t xml:space="preserve"> bifurcate into precursor exhausted (</w:t>
      </w:r>
      <w:proofErr w:type="spellStart"/>
      <w:r w:rsidRPr="00FB0275">
        <w:rPr>
          <w:rFonts w:ascii="Calibri" w:hAnsi="Calibri" w:cs="Calibri"/>
          <w:sz w:val="22"/>
          <w:szCs w:val="22"/>
        </w:rPr>
        <w:t>Tpex</w:t>
      </w:r>
      <w:proofErr w:type="spellEnd"/>
      <w:r w:rsidRPr="00FB0275">
        <w:rPr>
          <w:rFonts w:ascii="Calibri" w:hAnsi="Calibri" w:cs="Calibri"/>
          <w:sz w:val="22"/>
          <w:szCs w:val="22"/>
        </w:rPr>
        <w:t>) cells that retain proliferative potential and therapeutic responsiveness, or terminally exhausted (Tex) cells locked in irreversible dysfunction. These fate decisions ultimately dictate infection clearance, tumor control, and autoimmune pathology. Yet despite decades of mapping transcription factors and terminal states, a central question remains: how are fate decisions encoded within regulatory programs, how do dynamic transcription factor activities govern state transitions, and can we predict</w:t>
      </w:r>
      <w:r w:rsidR="004F055A">
        <w:rPr>
          <w:rFonts w:ascii="Calibri" w:hAnsi="Calibri" w:cs="Calibri"/>
          <w:sz w:val="22"/>
          <w:szCs w:val="22"/>
        </w:rPr>
        <w:t xml:space="preserve"> </w:t>
      </w:r>
      <w:r w:rsidRPr="00FB0275">
        <w:rPr>
          <w:rFonts w:ascii="Calibri" w:hAnsi="Calibri" w:cs="Calibri"/>
          <w:sz w:val="22"/>
          <w:szCs w:val="22"/>
        </w:rPr>
        <w:t>cellular fates before phenotypic divergence?</w:t>
      </w:r>
    </w:p>
    <w:p w14:paraId="2833C56B" w14:textId="5B88D118" w:rsidR="0090463D" w:rsidRPr="000200F0" w:rsidRDefault="00B17517" w:rsidP="00915A43">
      <w:pPr>
        <w:pStyle w:val="NormalWeb"/>
        <w:spacing w:line="276" w:lineRule="auto"/>
        <w:jc w:val="both"/>
        <w:rPr>
          <w:rFonts w:ascii="Calibri" w:eastAsia="Arial" w:hAnsi="Calibri" w:cs="Calibri"/>
          <w:color w:val="000000" w:themeColor="text1"/>
          <w:sz w:val="22"/>
          <w:szCs w:val="22"/>
        </w:rPr>
      </w:pPr>
      <w:r w:rsidRPr="00A710C9">
        <w:rPr>
          <w:rFonts w:ascii="Calibri" w:hAnsi="Calibri" w:cs="Calibri"/>
          <w:sz w:val="22"/>
          <w:szCs w:val="22"/>
        </w:rPr>
        <w:t xml:space="preserve">Early systems-level studies in B cell and myeloid development established gene regulatory networks (GRNs) as </w:t>
      </w:r>
      <w:r w:rsidR="00A710C9">
        <w:rPr>
          <w:rFonts w:ascii="Calibri" w:hAnsi="Calibri" w:cs="Calibri"/>
          <w:sz w:val="22"/>
          <w:szCs w:val="22"/>
        </w:rPr>
        <w:t>central</w:t>
      </w:r>
      <w:r w:rsidRPr="00A710C9">
        <w:rPr>
          <w:rFonts w:ascii="Calibri" w:hAnsi="Calibri" w:cs="Calibri"/>
          <w:sz w:val="22"/>
          <w:szCs w:val="22"/>
        </w:rPr>
        <w:t xml:space="preserve"> frameworks for understanding fate specification. Mathematical and genetic analyses demonstrated how graded signaling and transcription factor thresholds</w:t>
      </w:r>
      <w:r w:rsidR="003A072A">
        <w:rPr>
          <w:rFonts w:ascii="Calibri" w:hAnsi="Calibri" w:cs="Calibri"/>
          <w:sz w:val="22"/>
          <w:szCs w:val="22"/>
        </w:rPr>
        <w:t xml:space="preserve"> </w:t>
      </w:r>
      <w:r w:rsidRPr="00A710C9">
        <w:rPr>
          <w:rFonts w:ascii="Calibri" w:hAnsi="Calibri" w:cs="Calibri"/>
          <w:sz w:val="22"/>
          <w:szCs w:val="22"/>
        </w:rPr>
        <w:t xml:space="preserve">can generate transient diversification states, </w:t>
      </w:r>
      <w:r w:rsidR="00126B7D">
        <w:rPr>
          <w:rFonts w:ascii="Calibri" w:hAnsi="Calibri" w:cs="Calibri"/>
          <w:sz w:val="22"/>
          <w:szCs w:val="22"/>
        </w:rPr>
        <w:t xml:space="preserve">regulatory </w:t>
      </w:r>
      <w:r w:rsidRPr="00A710C9">
        <w:rPr>
          <w:rFonts w:ascii="Calibri" w:hAnsi="Calibri" w:cs="Calibri"/>
          <w:sz w:val="22"/>
          <w:szCs w:val="22"/>
        </w:rPr>
        <w:t>feedback loops, cross-antagonism, and bistable switches that stabilize lineage commitment. These studies revealed key design principles of regulatory circuits and provided mechanistic insight into how distinct cell fates are encoded</w:t>
      </w:r>
      <w:r w:rsidR="00E14536">
        <w:rPr>
          <w:rFonts w:ascii="Calibri" w:hAnsi="Calibri" w:cs="Calibri"/>
          <w:sz w:val="22"/>
          <w:szCs w:val="22"/>
        </w:rPr>
        <w:fldChar w:fldCharType="begin"/>
      </w:r>
      <w:r w:rsidR="00E14536">
        <w:rPr>
          <w:rFonts w:ascii="Calibri" w:hAnsi="Calibri" w:cs="Calibri"/>
          <w:sz w:val="22"/>
          <w:szCs w:val="22"/>
        </w:rPr>
        <w:instrText xml:space="preserve"> ADDIN ZOTERO_ITEM CSL_CITATION {"citationID":"xAUCbbhu","properties":{"formattedCitation":"\\super 4\\nosupersub{}","plainCitation":"4","noteIndex":0},"citationItems":[{"id":2789,"uris":["http://zotero.org/groups/6337619/items/ZKDJRAHP"],"itemData":{"id":2789,"type":"article-journal","container-title":"Molecular Systems Biology","DOI":"10.1038/msb.2011.25","ISSN":"1744-4292, 1744-4292","issue":"1","journalAbbreviation":"Molecular Systems Biology","language":"en","license":"http://creativecommons.org/licenses/by-nc-sa/3.0/","page":"495","source":"DOI.org (Crossref)","title":"An incoherent regulatory network architecture that orchestrates B cell diversification in response to antigen signaling","volume":"7","author":[{"family":"Sciammas","given":"Roger"},{"family":"Li","given":"Ying"},{"family":"Warmflash","given":"Aryeh"},{"family":"Song","given":"Yiqiang"},{"family":"Dinner","given":"Aaron R"},{"family":"Singh","given":"Harinder"}],"issued":{"date-parts":[["2011",1]]}}}],"schema":"https://github.com/citation-style-language/schema/raw/master/csl-citation.json"} </w:instrText>
      </w:r>
      <w:r w:rsidR="00E14536">
        <w:rPr>
          <w:rFonts w:ascii="Calibri" w:hAnsi="Calibri" w:cs="Calibri"/>
          <w:sz w:val="22"/>
          <w:szCs w:val="22"/>
        </w:rPr>
        <w:fldChar w:fldCharType="separate"/>
      </w:r>
      <w:r w:rsidR="00E14536" w:rsidRPr="00E14536">
        <w:rPr>
          <w:rFonts w:ascii="Calibri" w:eastAsiaTheme="minorHAnsi" w:hAnsi="Calibri" w:cs="Calibri"/>
          <w:sz w:val="22"/>
          <w:vertAlign w:val="superscript"/>
          <w14:ligatures w14:val="standardContextual"/>
        </w:rPr>
        <w:t>4</w:t>
      </w:r>
      <w:r w:rsidR="00E14536">
        <w:rPr>
          <w:rFonts w:ascii="Calibri" w:hAnsi="Calibri" w:cs="Calibri"/>
          <w:sz w:val="22"/>
          <w:szCs w:val="22"/>
        </w:rPr>
        <w:fldChar w:fldCharType="end"/>
      </w:r>
      <w:r w:rsidR="00BD6670">
        <w:rPr>
          <w:rFonts w:ascii="Calibri" w:hAnsi="Calibri" w:cs="Calibri"/>
          <w:sz w:val="22"/>
          <w:szCs w:val="22"/>
          <w:vertAlign w:val="superscript"/>
        </w:rPr>
        <w:t>,</w:t>
      </w:r>
      <w:r w:rsidR="00BD6670">
        <w:rPr>
          <w:rFonts w:ascii="Calibri" w:hAnsi="Calibri" w:cs="Calibri"/>
          <w:sz w:val="22"/>
          <w:szCs w:val="22"/>
          <w:vertAlign w:val="superscript"/>
        </w:rPr>
        <w:fldChar w:fldCharType="begin"/>
      </w:r>
      <w:r w:rsidR="00BD6670">
        <w:rPr>
          <w:rFonts w:ascii="Calibri" w:hAnsi="Calibri" w:cs="Calibri"/>
          <w:sz w:val="22"/>
          <w:szCs w:val="22"/>
          <w:vertAlign w:val="superscript"/>
        </w:rPr>
        <w:instrText xml:space="preserve"> ADDIN ZOTERO_ITEM CSL_CITATION {"citationID":"F6XMCqwX","properties":{"formattedCitation":"\\super 5\\nosupersub{}","plainCitation":"5","noteIndex":0},"citationItems":[{"id":2790,"uris":["http://zotero.org/groups/6337619/items/E5V8QTI5"],"itemData":{"id":2790,"type":"article-journal","container-title":"Cell","DOI":"10.1016/j.cell.2006.06.052","ISSN":"00928674","issue":"4","journalAbbreviation":"Cell","language":"en","license":"https://www.elsevier.com/tdm/userlicense/1.0/","page":"755-766","source":"DOI.org (Crossref)","title":"Multilineage Transcriptional Priming and Determination of Alternate Hematopoietic Cell Fates","volume":"126","author":[{"family":"Laslo","given":"Peter"},{"family":"Spooner","given":"Chauncey J."},{"family":"Warmflash","given":"Aryeh"},{"family":"Lancki","given":"David W."},{"family":"Lee","given":"Hyun-Jun"},{"family":"Sciammas","given":"Roger"},{"family":"Gantner","given":"Benjamin N."},{"family":"Dinner","given":"Aaron R."},{"family":"Singh","given":"Harinder"}],"issued":{"date-parts":[["2006",8]]}}}],"schema":"https://github.com/citation-style-language/schema/raw/master/csl-citation.json"} </w:instrText>
      </w:r>
      <w:r w:rsidR="00BD6670">
        <w:rPr>
          <w:rFonts w:ascii="Calibri" w:hAnsi="Calibri" w:cs="Calibri"/>
          <w:sz w:val="22"/>
          <w:szCs w:val="22"/>
          <w:vertAlign w:val="superscript"/>
        </w:rPr>
        <w:fldChar w:fldCharType="separate"/>
      </w:r>
      <w:r w:rsidR="00BD6670" w:rsidRPr="00BD6670">
        <w:rPr>
          <w:rFonts w:ascii="Calibri" w:eastAsiaTheme="minorHAnsi" w:hAnsi="Calibri" w:cs="Calibri"/>
          <w:sz w:val="22"/>
          <w:vertAlign w:val="superscript"/>
          <w14:ligatures w14:val="standardContextual"/>
        </w:rPr>
        <w:t>5</w:t>
      </w:r>
      <w:r w:rsidR="00BD6670">
        <w:rPr>
          <w:rFonts w:ascii="Calibri" w:hAnsi="Calibri" w:cs="Calibri"/>
          <w:sz w:val="22"/>
          <w:szCs w:val="22"/>
          <w:vertAlign w:val="superscript"/>
        </w:rPr>
        <w:fldChar w:fldCharType="end"/>
      </w:r>
      <w:r w:rsidR="00767947">
        <w:rPr>
          <w:rFonts w:ascii="Calibri" w:hAnsi="Calibri" w:cs="Calibri"/>
          <w:sz w:val="22"/>
          <w:szCs w:val="22"/>
          <w:vertAlign w:val="superscript"/>
        </w:rPr>
        <w:t>,</w:t>
      </w:r>
      <w:r w:rsidR="00631694">
        <w:rPr>
          <w:rFonts w:ascii="Calibri" w:hAnsi="Calibri" w:cs="Calibri"/>
          <w:sz w:val="22"/>
          <w:szCs w:val="22"/>
          <w:vertAlign w:val="superscript"/>
        </w:rPr>
        <w:fldChar w:fldCharType="begin"/>
      </w:r>
      <w:r w:rsidR="00631694">
        <w:rPr>
          <w:rFonts w:ascii="Calibri" w:hAnsi="Calibri" w:cs="Calibri"/>
          <w:sz w:val="22"/>
          <w:szCs w:val="22"/>
          <w:vertAlign w:val="superscript"/>
        </w:rPr>
        <w:instrText xml:space="preserve"> ADDIN ZOTERO_ITEM CSL_CITATION {"citationID":"2srb5Cwg","properties":{"formattedCitation":"\\super 6\\nosupersub{}","plainCitation":"6","noteIndex":0},"citationItems":[{"id":2791,"uris":["http://zotero.org/groups/6337619/items/HZ6RRTQR"],"itemData":{"id":2791,"type":"article-journal","abstract":"The B cell developmental pathway represents a leading system for the analysis of regulatory circuits that orchestrate cell fate specification and commitment. Considerable progress has been achieved within the past decade in the identification and genetic analysis of various regulatory components. These components include the transcription factors PU.1, Ikaros, Bcl11a, E2A, EBF, and Pax-5, as well as the cytokine receptors Flk2 and IL-7R. Experimental evidence of connectivity among the regulatory components is used to assemble sequentially acting and contingent gene regulatory networks. Transient signaling inputs, self-sustaining positive feedback loops, and crossantagonism among alternate cell fate determinants are key features of the proposed networks that instruct the development of B lymphocyte precursors from hematopoietic stem cells.","container-title":"Proceedings of the National Academy of Sciences","DOI":"10.1073/pnas.0500480102","ISSN":"0027-8424, 1091-6490","issue":"14","journalAbbreviation":"Proc. Natl. Acad. Sci. U.S.A.","language":"en","page":"4949-4953","source":"DOI.org (Crossref)","title":"Contingent gene regulatory networks and B cell fate specification","volume":"102","author":[{"family":"Singh","given":"Harinder"},{"family":"Medina","given":"Kay L."},{"family":"Pongubala","given":"Jagan M. R."}],"issued":{"date-parts":[["2005",4,5]]}}}],"schema":"https://github.com/citation-style-language/schema/raw/master/csl-citation.json"} </w:instrText>
      </w:r>
      <w:r w:rsidR="00631694">
        <w:rPr>
          <w:rFonts w:ascii="Calibri" w:hAnsi="Calibri" w:cs="Calibri"/>
          <w:sz w:val="22"/>
          <w:szCs w:val="22"/>
          <w:vertAlign w:val="superscript"/>
        </w:rPr>
        <w:fldChar w:fldCharType="separate"/>
      </w:r>
      <w:r w:rsidR="00631694" w:rsidRPr="00631694">
        <w:rPr>
          <w:rFonts w:ascii="Calibri" w:eastAsiaTheme="minorHAnsi" w:hAnsi="Calibri" w:cs="Calibri"/>
          <w:sz w:val="22"/>
          <w:vertAlign w:val="superscript"/>
          <w14:ligatures w14:val="standardContextual"/>
        </w:rPr>
        <w:t>6</w:t>
      </w:r>
      <w:r w:rsidR="00631694">
        <w:rPr>
          <w:rFonts w:ascii="Calibri" w:hAnsi="Calibri" w:cs="Calibri"/>
          <w:sz w:val="22"/>
          <w:szCs w:val="22"/>
          <w:vertAlign w:val="superscript"/>
        </w:rPr>
        <w:fldChar w:fldCharType="end"/>
      </w:r>
      <w:r w:rsidRPr="00A710C9">
        <w:rPr>
          <w:rFonts w:ascii="Calibri" w:hAnsi="Calibri" w:cs="Calibri"/>
          <w:sz w:val="22"/>
          <w:szCs w:val="22"/>
        </w:rPr>
        <w:t>. However, most of these models rely on population-level measurements or simplified regulatory components, yielding coarse-grained representations that do not fully capture cellular heterogeneity at single-cell resolution. Consequently, while these circuits are biologically grounded, they are insufficient for predicting dynamic transcription factor activity and fate trajectories in individual cells.</w:t>
      </w:r>
      <w:r w:rsidR="000200F0">
        <w:rPr>
          <w:rFonts w:ascii="Calibri" w:eastAsia="Arial" w:hAnsi="Calibri" w:cs="Calibri"/>
          <w:color w:val="000000" w:themeColor="text1"/>
          <w:sz w:val="22"/>
          <w:szCs w:val="22"/>
        </w:rPr>
        <w:t xml:space="preserve"> </w:t>
      </w:r>
      <w:r w:rsidR="00A113CC">
        <w:rPr>
          <w:rFonts w:ascii="Calibri" w:eastAsia="Arial" w:hAnsi="Calibri" w:cs="Calibri"/>
          <w:color w:val="000000" w:themeColor="text1"/>
          <w:sz w:val="22"/>
          <w:szCs w:val="22"/>
        </w:rPr>
        <w:t>Recent advances in s</w:t>
      </w:r>
      <w:r w:rsidR="008515C4" w:rsidRPr="0059625A">
        <w:rPr>
          <w:rFonts w:ascii="Calibri" w:eastAsia="Arial" w:hAnsi="Calibri" w:cs="Calibri"/>
          <w:color w:val="000000" w:themeColor="text1"/>
          <w:sz w:val="22"/>
          <w:szCs w:val="22"/>
        </w:rPr>
        <w:t xml:space="preserve">ingle-cell genomics and CRISPR-based perturbation screens have </w:t>
      </w:r>
      <w:r w:rsidR="0077402E">
        <w:rPr>
          <w:rFonts w:ascii="Calibri" w:eastAsia="Arial" w:hAnsi="Calibri" w:cs="Calibri"/>
          <w:color w:val="000000" w:themeColor="text1"/>
          <w:sz w:val="22"/>
          <w:szCs w:val="22"/>
        </w:rPr>
        <w:t>provided</w:t>
      </w:r>
      <w:r w:rsidR="008515C4" w:rsidRPr="0059625A">
        <w:rPr>
          <w:rFonts w:ascii="Calibri" w:eastAsia="Arial" w:hAnsi="Calibri" w:cs="Calibri"/>
          <w:color w:val="000000" w:themeColor="text1"/>
          <w:sz w:val="22"/>
          <w:szCs w:val="22"/>
        </w:rPr>
        <w:t xml:space="preserve"> unprecedented resolution of cell</w:t>
      </w:r>
      <w:r w:rsidR="0077402E">
        <w:rPr>
          <w:rFonts w:ascii="Calibri" w:eastAsia="Arial" w:hAnsi="Calibri" w:cs="Calibri"/>
          <w:color w:val="000000" w:themeColor="text1"/>
          <w:sz w:val="22"/>
          <w:szCs w:val="22"/>
        </w:rPr>
        <w:t>ular</w:t>
      </w:r>
      <w:r w:rsidR="008515C4" w:rsidRPr="0059625A">
        <w:rPr>
          <w:rFonts w:ascii="Calibri" w:eastAsia="Arial" w:hAnsi="Calibri" w:cs="Calibri"/>
          <w:color w:val="000000" w:themeColor="text1"/>
          <w:sz w:val="22"/>
          <w:szCs w:val="22"/>
        </w:rPr>
        <w:t xml:space="preserve"> differentiation, </w:t>
      </w:r>
      <w:r w:rsidR="0077402E">
        <w:rPr>
          <w:rFonts w:ascii="Calibri" w:eastAsia="Arial" w:hAnsi="Calibri" w:cs="Calibri"/>
          <w:color w:val="000000" w:themeColor="text1"/>
          <w:sz w:val="22"/>
          <w:szCs w:val="22"/>
        </w:rPr>
        <w:t>revealing extensive</w:t>
      </w:r>
      <w:r w:rsidR="008515C4" w:rsidRPr="0059625A">
        <w:rPr>
          <w:rFonts w:ascii="Calibri" w:eastAsia="Arial" w:hAnsi="Calibri" w:cs="Calibri"/>
          <w:color w:val="000000" w:themeColor="text1"/>
          <w:sz w:val="22"/>
          <w:szCs w:val="22"/>
        </w:rPr>
        <w:t xml:space="preserve"> heterogeneity, transient intermediate states, and transcription factor </w:t>
      </w:r>
      <w:r w:rsidR="00435880">
        <w:rPr>
          <w:rFonts w:ascii="Calibri" w:eastAsia="Arial" w:hAnsi="Calibri" w:cs="Calibri"/>
          <w:color w:val="000000" w:themeColor="text1"/>
          <w:sz w:val="22"/>
          <w:szCs w:val="22"/>
        </w:rPr>
        <w:t xml:space="preserve">interactions underlying </w:t>
      </w:r>
      <w:r w:rsidR="008515C4" w:rsidRPr="0059625A">
        <w:rPr>
          <w:rFonts w:ascii="Calibri" w:eastAsia="Arial" w:hAnsi="Calibri" w:cs="Calibri"/>
          <w:color w:val="000000" w:themeColor="text1"/>
          <w:sz w:val="22"/>
          <w:szCs w:val="22"/>
        </w:rPr>
        <w:t xml:space="preserve">lineage commitment. However, extracting mechanistic insight from high-dimensional data remains challenging. Differential expression analyses identify </w:t>
      </w:r>
      <w:r w:rsidR="00E14BE3" w:rsidRPr="0059625A">
        <w:rPr>
          <w:rFonts w:ascii="Calibri" w:eastAsia="Arial" w:hAnsi="Calibri" w:cs="Calibri"/>
          <w:color w:val="000000" w:themeColor="text1"/>
          <w:sz w:val="22"/>
          <w:szCs w:val="22"/>
        </w:rPr>
        <w:t>state</w:t>
      </w:r>
      <w:r w:rsidR="00622F01">
        <w:rPr>
          <w:rFonts w:ascii="Calibri" w:eastAsia="Arial" w:hAnsi="Calibri" w:cs="Calibri"/>
          <w:color w:val="000000" w:themeColor="text1"/>
          <w:sz w:val="22"/>
          <w:szCs w:val="22"/>
        </w:rPr>
        <w:t xml:space="preserve">-associated </w:t>
      </w:r>
      <w:r w:rsidR="008515C4" w:rsidRPr="0059625A">
        <w:rPr>
          <w:rFonts w:ascii="Calibri" w:eastAsia="Arial" w:hAnsi="Calibri" w:cs="Calibri"/>
          <w:color w:val="000000" w:themeColor="text1"/>
          <w:sz w:val="22"/>
          <w:szCs w:val="22"/>
        </w:rPr>
        <w:t xml:space="preserve">genes but miss coordinated regulatory programs driving transitions. </w:t>
      </w:r>
      <w:r w:rsidR="00696F6A">
        <w:rPr>
          <w:rFonts w:ascii="Calibri" w:eastAsia="Arial" w:hAnsi="Calibri" w:cs="Calibri"/>
          <w:color w:val="000000" w:themeColor="text1"/>
          <w:sz w:val="22"/>
          <w:szCs w:val="22"/>
        </w:rPr>
        <w:t>Machine</w:t>
      </w:r>
      <w:r w:rsidR="008515C4" w:rsidRPr="0059625A">
        <w:rPr>
          <w:rFonts w:ascii="Calibri" w:eastAsia="Arial" w:hAnsi="Calibri" w:cs="Calibri"/>
          <w:color w:val="000000" w:themeColor="text1"/>
          <w:sz w:val="22"/>
          <w:szCs w:val="22"/>
        </w:rPr>
        <w:t xml:space="preserve"> learning </w:t>
      </w:r>
      <w:r w:rsidR="00696F6A">
        <w:rPr>
          <w:rFonts w:ascii="Calibri" w:eastAsia="Arial" w:hAnsi="Calibri" w:cs="Calibri"/>
          <w:color w:val="000000" w:themeColor="text1"/>
          <w:sz w:val="22"/>
          <w:szCs w:val="22"/>
        </w:rPr>
        <w:t xml:space="preserve">models can </w:t>
      </w:r>
      <w:r w:rsidR="008515C4" w:rsidRPr="0059625A">
        <w:rPr>
          <w:rFonts w:ascii="Calibri" w:eastAsia="Arial" w:hAnsi="Calibri" w:cs="Calibri"/>
          <w:color w:val="000000" w:themeColor="text1"/>
          <w:sz w:val="22"/>
          <w:szCs w:val="22"/>
        </w:rPr>
        <w:t xml:space="preserve">achieve </w:t>
      </w:r>
      <w:r w:rsidR="00696F6A">
        <w:rPr>
          <w:rFonts w:ascii="Calibri" w:eastAsia="Arial" w:hAnsi="Calibri" w:cs="Calibri"/>
          <w:color w:val="000000" w:themeColor="text1"/>
          <w:sz w:val="22"/>
          <w:szCs w:val="22"/>
        </w:rPr>
        <w:t>strong</w:t>
      </w:r>
      <w:r w:rsidR="008515C4" w:rsidRPr="0059625A">
        <w:rPr>
          <w:rFonts w:ascii="Calibri" w:eastAsia="Arial" w:hAnsi="Calibri" w:cs="Calibri"/>
          <w:color w:val="000000" w:themeColor="text1"/>
          <w:sz w:val="22"/>
          <w:szCs w:val="22"/>
        </w:rPr>
        <w:t xml:space="preserve"> predictive performance but </w:t>
      </w:r>
      <w:r w:rsidR="002B0C0A">
        <w:rPr>
          <w:rFonts w:ascii="Calibri" w:eastAsia="Arial" w:hAnsi="Calibri" w:cs="Calibri"/>
          <w:color w:val="000000" w:themeColor="text1"/>
          <w:sz w:val="22"/>
          <w:szCs w:val="22"/>
        </w:rPr>
        <w:t>often lacks interpretability and</w:t>
      </w:r>
      <w:r w:rsidR="008515C4" w:rsidRPr="0059625A">
        <w:rPr>
          <w:rFonts w:ascii="Calibri" w:eastAsia="Arial" w:hAnsi="Calibri" w:cs="Calibri"/>
          <w:color w:val="000000" w:themeColor="text1"/>
          <w:sz w:val="22"/>
          <w:szCs w:val="22"/>
        </w:rPr>
        <w:t xml:space="preserve"> mechanistic </w:t>
      </w:r>
      <w:r w:rsidR="002B0C0A">
        <w:rPr>
          <w:rFonts w:ascii="Calibri" w:eastAsia="Arial" w:hAnsi="Calibri" w:cs="Calibri"/>
          <w:color w:val="000000" w:themeColor="text1"/>
          <w:sz w:val="22"/>
          <w:szCs w:val="22"/>
        </w:rPr>
        <w:t>grounding</w:t>
      </w:r>
      <w:r w:rsidR="008515C4" w:rsidRPr="0059625A">
        <w:rPr>
          <w:rFonts w:ascii="Calibri" w:eastAsia="Arial" w:hAnsi="Calibri" w:cs="Calibri"/>
          <w:color w:val="000000" w:themeColor="text1"/>
          <w:sz w:val="22"/>
          <w:szCs w:val="22"/>
        </w:rPr>
        <w:t xml:space="preserve">. </w:t>
      </w:r>
      <w:r w:rsidR="002B0C0A">
        <w:rPr>
          <w:rFonts w:ascii="Calibri" w:eastAsia="Arial" w:hAnsi="Calibri" w:cs="Calibri"/>
          <w:color w:val="000000" w:themeColor="text1"/>
          <w:sz w:val="22"/>
          <w:szCs w:val="22"/>
        </w:rPr>
        <w:t>Similarly, d</w:t>
      </w:r>
      <w:r w:rsidR="008515C4" w:rsidRPr="0059625A">
        <w:rPr>
          <w:rFonts w:ascii="Calibri" w:eastAsia="Arial" w:hAnsi="Calibri" w:cs="Calibri"/>
          <w:color w:val="000000" w:themeColor="text1"/>
          <w:sz w:val="22"/>
          <w:szCs w:val="22"/>
        </w:rPr>
        <w:t xml:space="preserve">ecomposition </w:t>
      </w:r>
      <w:r w:rsidR="002B0C0A">
        <w:rPr>
          <w:rFonts w:ascii="Calibri" w:eastAsia="Arial" w:hAnsi="Calibri" w:cs="Calibri"/>
          <w:color w:val="000000" w:themeColor="text1"/>
          <w:sz w:val="22"/>
          <w:szCs w:val="22"/>
        </w:rPr>
        <w:t>approaches</w:t>
      </w:r>
      <w:r w:rsidR="008515C4" w:rsidRPr="0059625A">
        <w:rPr>
          <w:rFonts w:ascii="Calibri" w:eastAsia="Arial" w:hAnsi="Calibri" w:cs="Calibri"/>
          <w:color w:val="000000" w:themeColor="text1"/>
          <w:sz w:val="22"/>
          <w:szCs w:val="22"/>
        </w:rPr>
        <w:t xml:space="preserve"> </w:t>
      </w:r>
      <w:r w:rsidR="002B0C0A">
        <w:rPr>
          <w:rFonts w:ascii="Calibri" w:eastAsia="Arial" w:hAnsi="Calibri" w:cs="Calibri"/>
          <w:color w:val="000000" w:themeColor="text1"/>
          <w:sz w:val="22"/>
          <w:szCs w:val="22"/>
        </w:rPr>
        <w:t>such as</w:t>
      </w:r>
      <w:r w:rsidR="008515C4" w:rsidRPr="0059625A">
        <w:rPr>
          <w:rFonts w:ascii="Calibri" w:eastAsia="Arial" w:hAnsi="Calibri" w:cs="Calibri"/>
          <w:color w:val="000000" w:themeColor="text1"/>
          <w:sz w:val="22"/>
          <w:szCs w:val="22"/>
        </w:rPr>
        <w:t xml:space="preserve"> </w:t>
      </w:r>
      <w:r w:rsidR="008515C4">
        <w:rPr>
          <w:rFonts w:ascii="Calibri" w:eastAsia="Arial" w:hAnsi="Calibri" w:cs="Calibri"/>
          <w:color w:val="000000" w:themeColor="text1"/>
          <w:sz w:val="22"/>
          <w:szCs w:val="22"/>
        </w:rPr>
        <w:t>n</w:t>
      </w:r>
      <w:r w:rsidR="008515C4" w:rsidRPr="00F176A7">
        <w:rPr>
          <w:rFonts w:ascii="Calibri" w:eastAsia="Arial" w:hAnsi="Calibri" w:cs="Calibri"/>
          <w:color w:val="000000" w:themeColor="text1"/>
          <w:sz w:val="22"/>
          <w:szCs w:val="22"/>
        </w:rPr>
        <w:t xml:space="preserve">on-negative </w:t>
      </w:r>
      <w:r w:rsidR="008515C4">
        <w:rPr>
          <w:rFonts w:ascii="Calibri" w:eastAsia="Arial" w:hAnsi="Calibri" w:cs="Calibri"/>
          <w:color w:val="000000" w:themeColor="text1"/>
          <w:sz w:val="22"/>
          <w:szCs w:val="22"/>
        </w:rPr>
        <w:t>m</w:t>
      </w:r>
      <w:r w:rsidR="008515C4" w:rsidRPr="00F176A7">
        <w:rPr>
          <w:rFonts w:ascii="Calibri" w:eastAsia="Arial" w:hAnsi="Calibri" w:cs="Calibri"/>
          <w:color w:val="000000" w:themeColor="text1"/>
          <w:sz w:val="22"/>
          <w:szCs w:val="22"/>
        </w:rPr>
        <w:t xml:space="preserve">atrix </w:t>
      </w:r>
      <w:r w:rsidR="008515C4">
        <w:rPr>
          <w:rFonts w:ascii="Calibri" w:eastAsia="Arial" w:hAnsi="Calibri" w:cs="Calibri"/>
          <w:color w:val="000000" w:themeColor="text1"/>
          <w:sz w:val="22"/>
          <w:szCs w:val="22"/>
        </w:rPr>
        <w:t>f</w:t>
      </w:r>
      <w:r w:rsidR="008515C4" w:rsidRPr="00F176A7">
        <w:rPr>
          <w:rFonts w:ascii="Calibri" w:eastAsia="Arial" w:hAnsi="Calibri" w:cs="Calibri"/>
          <w:color w:val="000000" w:themeColor="text1"/>
          <w:sz w:val="22"/>
          <w:szCs w:val="22"/>
        </w:rPr>
        <w:t xml:space="preserve">actorization </w:t>
      </w:r>
      <w:r w:rsidR="008515C4">
        <w:rPr>
          <w:rFonts w:ascii="Calibri" w:eastAsia="Arial" w:hAnsi="Calibri" w:cs="Calibri"/>
          <w:color w:val="000000" w:themeColor="text1"/>
          <w:sz w:val="22"/>
          <w:szCs w:val="22"/>
        </w:rPr>
        <w:t>(</w:t>
      </w:r>
      <w:r w:rsidR="008515C4" w:rsidRPr="0059625A">
        <w:rPr>
          <w:rFonts w:ascii="Calibri" w:eastAsia="Arial" w:hAnsi="Calibri" w:cs="Calibri"/>
          <w:color w:val="000000" w:themeColor="text1"/>
          <w:sz w:val="22"/>
          <w:szCs w:val="22"/>
        </w:rPr>
        <w:t>NMF</w:t>
      </w:r>
      <w:r w:rsidR="008515C4">
        <w:rPr>
          <w:rFonts w:ascii="Calibri" w:eastAsia="Arial" w:hAnsi="Calibri" w:cs="Calibri"/>
          <w:color w:val="000000" w:themeColor="text1"/>
          <w:sz w:val="22"/>
          <w:szCs w:val="22"/>
        </w:rPr>
        <w:t>)</w:t>
      </w:r>
      <w:r w:rsidR="008515C4" w:rsidRPr="0059625A">
        <w:rPr>
          <w:rFonts w:ascii="Calibri" w:eastAsia="Arial" w:hAnsi="Calibri" w:cs="Calibri"/>
          <w:color w:val="000000" w:themeColor="text1"/>
          <w:sz w:val="22"/>
          <w:szCs w:val="22"/>
        </w:rPr>
        <w:t xml:space="preserve"> and </w:t>
      </w:r>
      <w:r w:rsidR="008515C4">
        <w:rPr>
          <w:rFonts w:ascii="Calibri" w:eastAsia="Arial" w:hAnsi="Calibri" w:cs="Calibri"/>
          <w:color w:val="000000" w:themeColor="text1"/>
          <w:sz w:val="22"/>
          <w:szCs w:val="22"/>
        </w:rPr>
        <w:t>variational autoencoders</w:t>
      </w:r>
      <w:r w:rsidR="008515C4">
        <w:rPr>
          <w:rFonts w:ascii="Calibri" w:eastAsia="Arial" w:hAnsi="Calibri" w:cs="Calibri"/>
          <w:color w:val="000000" w:themeColor="text1"/>
          <w:sz w:val="22"/>
          <w:szCs w:val="22"/>
        </w:rPr>
        <w:fldChar w:fldCharType="begin"/>
      </w:r>
      <w:r w:rsidR="00BD6670">
        <w:rPr>
          <w:rFonts w:ascii="Calibri" w:eastAsia="Arial" w:hAnsi="Calibri" w:cs="Calibri"/>
          <w:color w:val="000000" w:themeColor="text1"/>
          <w:sz w:val="22"/>
          <w:szCs w:val="22"/>
        </w:rPr>
        <w:instrText xml:space="preserve"> ADDIN ZOTERO_ITEM CSL_CITATION {"citationID":"p7lgGUgV","properties":{"formattedCitation":"\\super 7\\nosupersub{}","plainCitation":"7","noteIndex":0},"citationItems":[{"id":2706,"uris":["http://zotero.org/groups/6337619/items/M6VA663Q"],"itemData":{"id":2706,"type":"article","abstract":"How can we perform efficient inference and learning in directed probabilistic models, in the presence of continuous latent variables with intractable posterior distributions, and large datasets? We introduce a stochastic variational inference and learning algorithm that scales to large datasets and, under some mild differentiability conditions, even works in the intractable case. Our contributions are two-fold. First, we show that a reparameterization of the variational lower bound yields a lower bound estimator that can be straightforwardly optimized using standard stochastic gradient methods. Second, we show that for i.i.d. datasets with continuous latent variables per datapoint, posterior inference can be made especially efficient by fitting an approximate inference model (also called a recognition model) to the intractable posterior using the proposed lower bound estimator. Theoretical advantages are reflected in experimental results.","DOI":"10.48550/ARXIV.1312.6114","license":"arXiv.org perpetual, non-exclusive license","note":"version: 11","publisher":"arXiv","source":"DOI.org (Datacite)","title":"Auto-Encoding Variational Bayes","URL":"https://arxiv.org/abs/1312.6114","author":[{"family":"Kingma","given":"Diederik P"},{"family":"Welling","given":"Max"}],"accessed":{"date-parts":[["2026",2,2]]},"issued":{"date-parts":[["2013"]]}}}],"schema":"https://github.com/citation-style-language/schema/raw/master/csl-citation.json"} </w:instrText>
      </w:r>
      <w:r w:rsidR="008515C4">
        <w:rPr>
          <w:rFonts w:ascii="Calibri" w:eastAsia="Arial" w:hAnsi="Calibri" w:cs="Calibri"/>
          <w:color w:val="000000" w:themeColor="text1"/>
          <w:sz w:val="22"/>
          <w:szCs w:val="22"/>
        </w:rPr>
        <w:fldChar w:fldCharType="separate"/>
      </w:r>
      <w:r w:rsidR="00BD6670" w:rsidRPr="00BD6670">
        <w:rPr>
          <w:rFonts w:ascii="Calibri" w:eastAsiaTheme="minorHAnsi" w:hAnsi="Calibri" w:cs="Calibri"/>
          <w:color w:val="000000"/>
          <w:sz w:val="22"/>
          <w:vertAlign w:val="superscript"/>
          <w14:ligatures w14:val="standardContextual"/>
        </w:rPr>
        <w:t>7</w:t>
      </w:r>
      <w:r w:rsidR="008515C4">
        <w:rPr>
          <w:rFonts w:ascii="Calibri" w:eastAsia="Arial" w:hAnsi="Calibri" w:cs="Calibri"/>
          <w:color w:val="000000" w:themeColor="text1"/>
          <w:sz w:val="22"/>
          <w:szCs w:val="22"/>
        </w:rPr>
        <w:fldChar w:fldCharType="end"/>
      </w:r>
      <w:r w:rsidR="008515C4">
        <w:rPr>
          <w:rFonts w:ascii="Calibri" w:eastAsia="Arial" w:hAnsi="Calibri" w:cs="Calibri"/>
          <w:color w:val="000000" w:themeColor="text1"/>
          <w:sz w:val="22"/>
          <w:szCs w:val="22"/>
        </w:rPr>
        <w:t xml:space="preserve"> (</w:t>
      </w:r>
      <w:r w:rsidR="008515C4" w:rsidRPr="0059625A">
        <w:rPr>
          <w:rFonts w:ascii="Calibri" w:eastAsia="Arial" w:hAnsi="Calibri" w:cs="Calibri"/>
          <w:color w:val="000000" w:themeColor="text1"/>
          <w:sz w:val="22"/>
          <w:szCs w:val="22"/>
        </w:rPr>
        <w:t>VAEs</w:t>
      </w:r>
      <w:r w:rsidR="008515C4">
        <w:rPr>
          <w:rFonts w:ascii="Calibri" w:eastAsia="Arial" w:hAnsi="Calibri" w:cs="Calibri"/>
          <w:color w:val="000000" w:themeColor="text1"/>
          <w:sz w:val="22"/>
          <w:szCs w:val="22"/>
        </w:rPr>
        <w:t>)</w:t>
      </w:r>
      <w:r w:rsidR="008515C4" w:rsidRPr="0059625A">
        <w:rPr>
          <w:rFonts w:ascii="Calibri" w:eastAsia="Arial" w:hAnsi="Calibri" w:cs="Calibri"/>
          <w:color w:val="000000" w:themeColor="text1"/>
          <w:sz w:val="22"/>
          <w:szCs w:val="22"/>
        </w:rPr>
        <w:t xml:space="preserve"> </w:t>
      </w:r>
      <w:r w:rsidR="00BB235A">
        <w:rPr>
          <w:rFonts w:ascii="Calibri" w:eastAsia="Arial" w:hAnsi="Calibri" w:cs="Calibri"/>
          <w:color w:val="000000" w:themeColor="text1"/>
          <w:sz w:val="22"/>
          <w:szCs w:val="22"/>
        </w:rPr>
        <w:t xml:space="preserve">can extract latent programs, yet their solutions are frequently </w:t>
      </w:r>
      <w:r w:rsidR="008515C4" w:rsidRPr="0059625A">
        <w:rPr>
          <w:rFonts w:ascii="Calibri" w:eastAsia="Arial" w:hAnsi="Calibri" w:cs="Calibri"/>
          <w:color w:val="000000" w:themeColor="text1"/>
          <w:sz w:val="22"/>
          <w:szCs w:val="22"/>
        </w:rPr>
        <w:t>non-identifiab</w:t>
      </w:r>
      <w:r w:rsidR="00BB235A">
        <w:rPr>
          <w:rFonts w:ascii="Calibri" w:eastAsia="Arial" w:hAnsi="Calibri" w:cs="Calibri"/>
          <w:color w:val="000000" w:themeColor="text1"/>
          <w:sz w:val="22"/>
          <w:szCs w:val="22"/>
        </w:rPr>
        <w:t>le</w:t>
      </w:r>
      <w:r w:rsidR="00EF0339">
        <w:rPr>
          <w:rFonts w:ascii="Calibri" w:eastAsia="Arial" w:hAnsi="Calibri" w:cs="Calibri"/>
          <w:color w:val="000000" w:themeColor="text1"/>
          <w:sz w:val="22"/>
          <w:szCs w:val="22"/>
        </w:rPr>
        <w:t xml:space="preserve"> and </w:t>
      </w:r>
      <w:r w:rsidR="008515C4" w:rsidRPr="0059625A">
        <w:rPr>
          <w:rFonts w:ascii="Calibri" w:eastAsia="Arial" w:hAnsi="Calibri" w:cs="Calibri"/>
          <w:color w:val="000000" w:themeColor="text1"/>
          <w:sz w:val="22"/>
          <w:szCs w:val="22"/>
        </w:rPr>
        <w:t>dataset-dependent programs</w:t>
      </w:r>
      <w:r w:rsidR="00EF0339">
        <w:rPr>
          <w:rFonts w:ascii="Calibri" w:eastAsia="Arial" w:hAnsi="Calibri" w:cs="Calibri"/>
          <w:color w:val="000000" w:themeColor="text1"/>
          <w:sz w:val="22"/>
          <w:szCs w:val="22"/>
        </w:rPr>
        <w:t xml:space="preserve">, limiting </w:t>
      </w:r>
      <w:r w:rsidR="00EF0339" w:rsidRPr="00EF0339">
        <w:rPr>
          <w:rFonts w:ascii="Calibri" w:eastAsia="Arial" w:hAnsi="Calibri" w:cs="Calibri"/>
          <w:color w:val="000000" w:themeColor="text1"/>
          <w:sz w:val="22"/>
          <w:szCs w:val="22"/>
        </w:rPr>
        <w:t>reproducibility and biological interpretability</w:t>
      </w:r>
      <w:r w:rsidR="008515C4" w:rsidRPr="0059625A">
        <w:rPr>
          <w:rFonts w:ascii="Calibri" w:eastAsia="Arial" w:hAnsi="Calibri" w:cs="Calibri"/>
          <w:color w:val="000000" w:themeColor="text1"/>
          <w:sz w:val="22"/>
          <w:szCs w:val="22"/>
        </w:rPr>
        <w:t>.</w:t>
      </w:r>
      <w:r w:rsidR="008515C4" w:rsidRPr="009766C8">
        <w:rPr>
          <w:rFonts w:ascii="Calibri" w:hAnsi="Calibri" w:cs="Calibri"/>
          <w:sz w:val="22"/>
          <w:szCs w:val="22"/>
        </w:rPr>
        <w:t xml:space="preserve"> </w:t>
      </w:r>
      <w:r w:rsidR="00FC0C5B" w:rsidRPr="00FC0C5B">
        <w:rPr>
          <w:rFonts w:ascii="Calibri" w:hAnsi="Calibri" w:cs="Calibri"/>
          <w:sz w:val="22"/>
          <w:szCs w:val="22"/>
        </w:rPr>
        <w:t>Thus, despite the richness of modern single-cell data, there remains a need for modeling frameworks that can identify coherent,</w:t>
      </w:r>
      <w:r w:rsidR="00226D5D" w:rsidRPr="00226D5D">
        <w:rPr>
          <w:rFonts w:ascii="Calibri" w:hAnsi="Calibri" w:cs="Calibri"/>
          <w:sz w:val="22"/>
          <w:szCs w:val="22"/>
        </w:rPr>
        <w:t xml:space="preserve"> mechanistically meaningful regulatory programs and link them to causal fate decisions at single-cell resolution.</w:t>
      </w:r>
    </w:p>
    <w:p w14:paraId="06EF8D94" w14:textId="5648F0F2" w:rsidR="008515C4" w:rsidRPr="00151BD0" w:rsidRDefault="00181486" w:rsidP="008515C4">
      <w:pPr>
        <w:pStyle w:val="NormalWeb"/>
        <w:spacing w:line="276" w:lineRule="auto"/>
        <w:jc w:val="both"/>
        <w:rPr>
          <w:rFonts w:ascii="Calibri" w:hAnsi="Calibri" w:cs="Calibri"/>
          <w:sz w:val="22"/>
          <w:szCs w:val="22"/>
        </w:rPr>
      </w:pPr>
      <w:r w:rsidRPr="00181486">
        <w:rPr>
          <w:rFonts w:ascii="Calibri" w:hAnsi="Calibri" w:cs="Calibri"/>
          <w:sz w:val="22"/>
          <w:szCs w:val="22"/>
        </w:rPr>
        <w:t>To address this need, a range of mechanistically grounded modeling frameworks has been developed to formalize regulatory interactions and cellular dynamics. A widely used approach relies on ordinary and partial differential equations (ODEs and PDEs), which describe the time evolution of molecular concentrations and regulatory activities</w:t>
      </w:r>
      <w:r w:rsidR="008515C4" w:rsidRPr="005A3302">
        <w:rPr>
          <w:rFonts w:ascii="Calibri" w:hAnsi="Calibri" w:cs="Calibri"/>
          <w:b/>
          <w:sz w:val="22"/>
          <w:szCs w:val="22"/>
        </w:rPr>
        <w:fldChar w:fldCharType="begin"/>
      </w:r>
      <w:r w:rsidR="00BD6670">
        <w:rPr>
          <w:rFonts w:ascii="Calibri" w:hAnsi="Calibri" w:cs="Calibri"/>
          <w:b/>
          <w:sz w:val="22"/>
          <w:szCs w:val="22"/>
        </w:rPr>
        <w:instrText xml:space="preserve"> ADDIN ZOTERO_ITEM CSL_CITATION {"citationID":"wN2VMSxZ","properties":{"formattedCitation":"\\super 8\\nosupersub{}","plainCitation":"8","noteIndex":0},"citationItems":[{"id":2672,"uris":["http://zotero.org/groups/6337619/items/F5BIX9RW"],"itemData":{"id":2672,"type":"article-journal","abstract":"The mitogen-activated protein kinase (MAPK) cascade is a highly conserved series of three protein kinases implicated in diverse biological processes. Here we demonstrate that the cascade arrangement has unexpected consequences for the dynamics of MAPK signaling. We solved the rate equations for the cascade numerically and found that MAPK is predicted to behave like a highly cooperative enzyme, even though it was not assumed that any of the enzymes in the cascade were regulated cooperatively. Measurements of MAPK activation in Xenopus oocyte extracts confirmed this prediction. The stimulus/response curve of the MAPK was found to be as steep as that of a cooperative enzyme with a Hill coefficient of 4-5, well in excess of that of the classical allosteric protein hemoglobin. The shape of the MAPK stimulus/ response curve may make the cascade particularly appropriate for mediating processes like mitogenesis, cell fate induction, and oocyte maturation, where a cell switches from one discrete state to another.","container-title":"Proceedings of the National Academy of Sciences","DOI":"10.1073/pnas.93.19.10078","ISSN":"0027-8424, 1091-6490","issue":"19","journalAbbreviation":"Proc. Natl. Acad. Sci. U.S.A.","language":"en","page":"10078-10083","source":"DOI.org (Crossref)","title":"Ultrasensitivity in the mitogen-activated protein kinase cascade.","volume":"93","author":[{"family":"Huang","given":"C Y"},{"family":"Ferrell","given":"J E"}],"issued":{"date-parts":[["1996",9,17]]}}}],"schema":"https://github.com/citation-style-language/schema/raw/master/csl-citation.json"} </w:instrText>
      </w:r>
      <w:r w:rsidR="008515C4" w:rsidRPr="005A3302">
        <w:rPr>
          <w:rFonts w:ascii="Calibri" w:hAnsi="Calibri" w:cs="Calibri"/>
          <w:b/>
          <w:sz w:val="22"/>
          <w:szCs w:val="22"/>
        </w:rPr>
        <w:fldChar w:fldCharType="separate"/>
      </w:r>
      <w:r w:rsidR="00BD6670" w:rsidRPr="00BD6670">
        <w:rPr>
          <w:rFonts w:ascii="Calibri" w:eastAsiaTheme="minorHAnsi" w:hAnsi="Calibri" w:cs="Calibri"/>
          <w:sz w:val="22"/>
          <w:vertAlign w:val="superscript"/>
          <w14:ligatures w14:val="standardContextual"/>
        </w:rPr>
        <w:t>8</w:t>
      </w:r>
      <w:r w:rsidR="008515C4" w:rsidRPr="005A3302">
        <w:rPr>
          <w:rFonts w:ascii="Calibri" w:hAnsi="Calibri" w:cs="Calibri"/>
          <w:b/>
          <w:sz w:val="22"/>
          <w:szCs w:val="22"/>
        </w:rPr>
        <w:fldChar w:fldCharType="end"/>
      </w:r>
      <w:r w:rsidR="008515C4" w:rsidRPr="005A3302">
        <w:rPr>
          <w:rFonts w:ascii="Calibri" w:hAnsi="Calibri" w:cs="Calibri"/>
          <w:b/>
          <w:sz w:val="22"/>
          <w:szCs w:val="22"/>
          <w:vertAlign w:val="superscript"/>
        </w:rPr>
        <w:t>,</w:t>
      </w:r>
      <w:r w:rsidR="008515C4" w:rsidRPr="005A3302">
        <w:rPr>
          <w:rFonts w:ascii="Calibri" w:hAnsi="Calibri" w:cs="Calibri"/>
          <w:b/>
          <w:sz w:val="22"/>
          <w:szCs w:val="22"/>
        </w:rPr>
        <w:fldChar w:fldCharType="begin"/>
      </w:r>
      <w:r w:rsidR="00BD6670">
        <w:rPr>
          <w:rFonts w:ascii="Calibri" w:hAnsi="Calibri" w:cs="Calibri"/>
          <w:b/>
          <w:sz w:val="22"/>
          <w:szCs w:val="22"/>
        </w:rPr>
        <w:instrText xml:space="preserve"> ADDIN ZOTERO_ITEM CSL_CITATION {"citationID":"da03bVW5","properties":{"formattedCitation":"\\super 9\\nosupersub{}","plainCitation":"9","noteIndex":0},"citationItems":[{"id":2690,"uris":["http://zotero.org/groups/6337619/items/EFI9BFR2"],"itemData":{"id":2690,"type":"article-journal","abstract":"The proteins cdc2 and cyclin form a heterodimer (maturation promoting factor) that controls the major events of the cell cycle. A mathematical model for the interactions of cdc2 and cyclin is constructed. Simulation and analysis of the model show that the control system can operate in three modes: as a steady state with high maturation promoting factor activity, as a spontaneous oscillator, or as an excitable switch. We associate the steady state with metaphase arrest in unfertilized eggs, the spontaneous oscillations with rapid division cycles in early embryos, and the excitable switch with growth-controlled division cycles typical of nonembryonic cells.","container-title":"Proceedings of the National Academy of Sciences","DOI":"10.1073/pnas.88.16.7328","ISSN":"0027-8424, 1091-6490","issue":"16","journalAbbreviation":"Proc. Natl. Acad. Sci. U.S.A.","language":"en","page":"7328-7332","source":"DOI.org (Crossref)","title":"Modeling the cell division cycle: cdc2 and cyclin interactions.","title-short":"Modeling the cell division cycle","volume":"88","author":[{"family":"Tyson","given":"J J"}],"issued":{"date-parts":[["1991",8,15]]}}}],"schema":"https://github.com/citation-style-language/schema/raw/master/csl-citation.json"} </w:instrText>
      </w:r>
      <w:r w:rsidR="008515C4" w:rsidRPr="005A3302">
        <w:rPr>
          <w:rFonts w:ascii="Calibri" w:hAnsi="Calibri" w:cs="Calibri"/>
          <w:b/>
          <w:sz w:val="22"/>
          <w:szCs w:val="22"/>
        </w:rPr>
        <w:fldChar w:fldCharType="separate"/>
      </w:r>
      <w:r w:rsidR="00BD6670" w:rsidRPr="00BD6670">
        <w:rPr>
          <w:rFonts w:ascii="Calibri" w:eastAsiaTheme="minorHAnsi" w:hAnsi="Calibri" w:cs="Calibri"/>
          <w:sz w:val="22"/>
          <w:vertAlign w:val="superscript"/>
          <w14:ligatures w14:val="standardContextual"/>
        </w:rPr>
        <w:t>9</w:t>
      </w:r>
      <w:r w:rsidR="008515C4" w:rsidRPr="005A3302">
        <w:rPr>
          <w:rFonts w:ascii="Calibri" w:hAnsi="Calibri" w:cs="Calibri"/>
          <w:b/>
          <w:sz w:val="22"/>
          <w:szCs w:val="22"/>
        </w:rPr>
        <w:fldChar w:fldCharType="end"/>
      </w:r>
      <w:r w:rsidR="008515C4" w:rsidRPr="005A3302">
        <w:rPr>
          <w:rFonts w:ascii="Calibri" w:hAnsi="Calibri" w:cs="Calibri"/>
          <w:b/>
          <w:sz w:val="22"/>
          <w:szCs w:val="22"/>
          <w:vertAlign w:val="superscript"/>
        </w:rPr>
        <w:t xml:space="preserve">, </w:t>
      </w:r>
      <w:r w:rsidR="008515C4" w:rsidRPr="005A3302">
        <w:rPr>
          <w:rFonts w:ascii="Calibri" w:hAnsi="Calibri" w:cs="Calibri"/>
          <w:b/>
          <w:sz w:val="22"/>
          <w:szCs w:val="22"/>
          <w:vertAlign w:val="superscript"/>
        </w:rPr>
        <w:fldChar w:fldCharType="begin"/>
      </w:r>
      <w:r w:rsidR="00BD6670">
        <w:rPr>
          <w:rFonts w:ascii="Calibri" w:hAnsi="Calibri" w:cs="Calibri"/>
          <w:b/>
          <w:sz w:val="22"/>
          <w:szCs w:val="22"/>
          <w:vertAlign w:val="superscript"/>
        </w:rPr>
        <w:instrText xml:space="preserve"> ADDIN ZOTERO_ITEM CSL_CITATION {"citationID":"4WP6olkW","properties":{"formattedCitation":"\\super 10\\nosupersub{}","plainCitation":"10","noteIndex":0},"citationItems":[{"id":2691,"uris":["http://zotero.org/groups/6337619/items/6634YXG2"],"itemData":{"id":2691,"type":"article-journal","container-title":"Studies in History and Philosophy of Science Part C: Studies in History and Philosophy of Biological and Biomedical Sciences","DOI":"10.1016/j.shpsc.2013.06.002","ISSN":"13698486","issue":"4","journalAbbreviation":"Studies in History and Philosophy of Science Part C: Studies in History and Philosophy of Biological and Biomedical Sciences","language":"en","page":"477-492","source":"DOI.org (Crossref)","title":"Systems biology and the integration of mechanistic explanation and mathematical explanation","volume":"44","author":[{"family":"Brigandt","given":"Ingo"}],"issued":{"date-parts":[["2013",12]]}}}],"schema":"https://github.com/citation-style-language/schema/raw/master/csl-citation.json"} </w:instrText>
      </w:r>
      <w:r w:rsidR="008515C4" w:rsidRPr="005A3302">
        <w:rPr>
          <w:rFonts w:ascii="Calibri" w:hAnsi="Calibri" w:cs="Calibri"/>
          <w:b/>
          <w:sz w:val="22"/>
          <w:szCs w:val="22"/>
          <w:vertAlign w:val="superscript"/>
        </w:rPr>
        <w:fldChar w:fldCharType="separate"/>
      </w:r>
      <w:r w:rsidR="00BD6670" w:rsidRPr="00BD6670">
        <w:rPr>
          <w:rFonts w:ascii="Calibri" w:eastAsiaTheme="minorHAnsi" w:hAnsi="Calibri" w:cs="Calibri"/>
          <w:sz w:val="22"/>
          <w:vertAlign w:val="superscript"/>
          <w14:ligatures w14:val="standardContextual"/>
        </w:rPr>
        <w:t>10</w:t>
      </w:r>
      <w:r w:rsidR="008515C4" w:rsidRPr="005A3302">
        <w:rPr>
          <w:rFonts w:ascii="Calibri" w:hAnsi="Calibri" w:cs="Calibri"/>
          <w:b/>
          <w:sz w:val="22"/>
          <w:szCs w:val="22"/>
          <w:vertAlign w:val="superscript"/>
        </w:rPr>
        <w:fldChar w:fldCharType="end"/>
      </w:r>
      <w:r w:rsidR="008515C4" w:rsidRPr="005A3302">
        <w:rPr>
          <w:rFonts w:ascii="Calibri" w:hAnsi="Calibri" w:cs="Calibri"/>
          <w:b/>
          <w:sz w:val="22"/>
          <w:szCs w:val="22"/>
          <w:vertAlign w:val="superscript"/>
        </w:rPr>
        <w:t xml:space="preserve">, </w:t>
      </w:r>
      <w:r w:rsidR="008515C4" w:rsidRPr="005A3302">
        <w:rPr>
          <w:rFonts w:ascii="Calibri" w:hAnsi="Calibri" w:cs="Calibri"/>
          <w:b/>
          <w:sz w:val="22"/>
          <w:szCs w:val="22"/>
          <w:vertAlign w:val="superscript"/>
        </w:rPr>
        <w:fldChar w:fldCharType="begin"/>
      </w:r>
      <w:r w:rsidR="00BD6670">
        <w:rPr>
          <w:rFonts w:ascii="Calibri" w:hAnsi="Calibri" w:cs="Calibri"/>
          <w:b/>
          <w:sz w:val="22"/>
          <w:szCs w:val="22"/>
          <w:vertAlign w:val="superscript"/>
        </w:rPr>
        <w:instrText xml:space="preserve"> ADDIN ZOTERO_ITEM CSL_CITATION {"citationID":"aF460RVa","properties":{"formattedCitation":"\\super 11\\nosupersub{}","plainCitation":"11","noteIndex":0},"citationItems":[{"id":2692,"uris":["http://zotero.org/groups/6337619/items/KZPQ5FDQ"],"itemData":{"id":2692,"type":"article-journal","abstract":"This article introduces a novel hybrid mathematical modelling approach that effectively couples partial differential equations (PDEs) with ordinary differential equations (ODEs), exemplified through the simulation of epidemiological processes. The hybrid model aims to integrate the spatially detailed representation of disease dynamics provided by PDEs with the computational efficiency of ODEs. In the presented epidemiological use-case, this integration allows for the rapid assessment of public health interventions and the potential impact of infectious diseases across large populations. We discuss the theoretical formulation of the hybrid PDE–ODE model, including the governing equations and boundary conditions. The model’s capabilities are demonstrated through detailed simulations of disease spread in synthetic environments and realworld scenarios, specifically focusing on the regions of Lombardy, Italy and Berlin, Germany. Results indicate that the hybrid model achieves a balance between computational speed and accuracy, making it a valuable tool for policymakers in real-time decisionmaking and scenario analysis in epidemiology and potentially in other fields requiring similar modelling approaches.","container-title":"Proceedings of the Royal Society A: Mathematical, Physical and Engineering Sciences","DOI":"10.1098/rspa.2024.0421","ISSN":"1364-5021, 1471-2946","issue":"2306","journalAbbreviation":"Proc. R. Soc. A.","language":"en","page":"20240421","source":"DOI.org (Crossref)","title":"Hybrid PDE–ODE models for efficient simulation of infection spread in epidemiology","volume":"481","author":[{"family":"Kehrer","given":"Kristina"},{"family":"Weiser","given":"Martin"},{"family":"Conrad","given":"Tim"}],"issued":{"date-parts":[["2025",1]]}}}],"schema":"https://github.com/citation-style-language/schema/raw/master/csl-citation.json"} </w:instrText>
      </w:r>
      <w:r w:rsidR="008515C4" w:rsidRPr="005A3302">
        <w:rPr>
          <w:rFonts w:ascii="Calibri" w:hAnsi="Calibri" w:cs="Calibri"/>
          <w:b/>
          <w:sz w:val="22"/>
          <w:szCs w:val="22"/>
          <w:vertAlign w:val="superscript"/>
        </w:rPr>
        <w:fldChar w:fldCharType="separate"/>
      </w:r>
      <w:r w:rsidR="00BD6670" w:rsidRPr="00BD6670">
        <w:rPr>
          <w:rFonts w:ascii="Calibri" w:eastAsiaTheme="minorHAnsi" w:hAnsi="Calibri" w:cs="Calibri"/>
          <w:sz w:val="22"/>
          <w:vertAlign w:val="superscript"/>
          <w14:ligatures w14:val="standardContextual"/>
        </w:rPr>
        <w:t>11</w:t>
      </w:r>
      <w:r w:rsidR="008515C4" w:rsidRPr="005A3302">
        <w:rPr>
          <w:rFonts w:ascii="Calibri" w:hAnsi="Calibri" w:cs="Calibri"/>
          <w:b/>
          <w:sz w:val="22"/>
          <w:szCs w:val="22"/>
          <w:vertAlign w:val="superscript"/>
        </w:rPr>
        <w:fldChar w:fldCharType="end"/>
      </w:r>
      <w:r w:rsidR="005761FA" w:rsidRPr="005761FA">
        <w:rPr>
          <w:rFonts w:ascii="Calibri" w:hAnsi="Calibri" w:cs="Calibri"/>
          <w:sz w:val="22"/>
          <w:szCs w:val="22"/>
        </w:rPr>
        <w:t xml:space="preserve">. </w:t>
      </w:r>
      <w:r w:rsidR="008515C4" w:rsidRPr="00FB0275">
        <w:rPr>
          <w:rFonts w:ascii="Calibri" w:hAnsi="Calibri" w:cs="Calibri"/>
          <w:sz w:val="22"/>
          <w:szCs w:val="22"/>
        </w:rPr>
        <w:t>Beyond differential equation models, mechanistic interactions can also be captured through rule-based and agent-based approaches</w:t>
      </w:r>
      <w:r w:rsidR="008515C4" w:rsidRPr="005A3302">
        <w:rPr>
          <w:rFonts w:ascii="Calibri" w:hAnsi="Calibri" w:cs="Calibri"/>
          <w:bCs/>
          <w:sz w:val="22"/>
          <w:szCs w:val="22"/>
        </w:rPr>
        <w:fldChar w:fldCharType="begin"/>
      </w:r>
      <w:r w:rsidR="00BD6670">
        <w:rPr>
          <w:rFonts w:ascii="Calibri" w:hAnsi="Calibri" w:cs="Calibri"/>
          <w:bCs/>
          <w:sz w:val="22"/>
          <w:szCs w:val="22"/>
        </w:rPr>
        <w:instrText xml:space="preserve"> ADDIN ZOTERO_ITEM CSL_CITATION {"citationID":"9r4VYvWR","properties":{"formattedCitation":"\\super 12\\nosupersub{}","plainCitation":"12","noteIndex":0},"citationItems":[{"id":2693,"uris":["http://zotero.org/groups/6337619/items/9PLSGA9Q"],"itemData":{"id":2693,"type":"article-journal","container-title":"BMC Systems Biology","DOI":"10.1186/1752-0509-5-166","ISSN":"1752-0509","issue":"1","journalAbbreviation":"BMC Syst Biol","language":"en","page":"166","source":"DOI.org (Crossref)","title":"Rule-based multi-level modeling of cell biological systems","volume":"5","author":[{"family":"Maus","given":"Carsten"},{"family":"Rybacki","given":"Stefan"},{"family":"Uhrmacher","given":"Adelinde M"}],"issued":{"date-parts":[["2011"]]}}}],"schema":"https://github.com/citation-style-language/schema/raw/master/csl-citation.json"} </w:instrText>
      </w:r>
      <w:r w:rsidR="008515C4" w:rsidRPr="005A3302">
        <w:rPr>
          <w:rFonts w:ascii="Calibri" w:hAnsi="Calibri" w:cs="Calibri"/>
          <w:bCs/>
          <w:sz w:val="22"/>
          <w:szCs w:val="22"/>
        </w:rPr>
        <w:fldChar w:fldCharType="separate"/>
      </w:r>
      <w:r w:rsidR="00BD6670" w:rsidRPr="00BD6670">
        <w:rPr>
          <w:rFonts w:ascii="Calibri" w:eastAsiaTheme="minorHAnsi" w:hAnsi="Calibri" w:cs="Calibri"/>
          <w:sz w:val="22"/>
          <w:vertAlign w:val="superscript"/>
          <w14:ligatures w14:val="standardContextual"/>
        </w:rPr>
        <w:t>12</w:t>
      </w:r>
      <w:r w:rsidR="008515C4" w:rsidRPr="005A3302">
        <w:rPr>
          <w:rFonts w:ascii="Calibri" w:hAnsi="Calibri" w:cs="Calibri"/>
          <w:bCs/>
          <w:sz w:val="22"/>
          <w:szCs w:val="22"/>
        </w:rPr>
        <w:fldChar w:fldCharType="end"/>
      </w:r>
      <w:r w:rsidR="008515C4" w:rsidRPr="00FB0275">
        <w:rPr>
          <w:rFonts w:ascii="Calibri" w:hAnsi="Calibri" w:cs="Calibri"/>
          <w:sz w:val="22"/>
          <w:szCs w:val="22"/>
        </w:rPr>
        <w:t>, which extend traditional chemical kinetics by representing multiple interacting biomolecules with complex internal structures</w:t>
      </w:r>
      <w:r w:rsidR="008515C4" w:rsidRPr="00FB0275">
        <w:rPr>
          <w:rFonts w:ascii="Calibri" w:hAnsi="Calibri" w:cs="Calibri"/>
          <w:color w:val="000000"/>
          <w:sz w:val="22"/>
          <w:szCs w:val="22"/>
          <w:shd w:val="clear" w:color="auto" w:fill="FFFFFF"/>
        </w:rPr>
        <w:fldChar w:fldCharType="begin"/>
      </w:r>
      <w:r w:rsidR="00BD6670">
        <w:rPr>
          <w:rFonts w:ascii="Calibri" w:hAnsi="Calibri" w:cs="Calibri"/>
          <w:color w:val="000000"/>
          <w:sz w:val="22"/>
          <w:szCs w:val="22"/>
          <w:shd w:val="clear" w:color="auto" w:fill="FFFFFF"/>
        </w:rPr>
        <w:instrText xml:space="preserve"> ADDIN ZOTERO_ITEM CSL_CITATION {"citationID":"W1txULKT","properties":{"formattedCitation":"\\super 13\\nosupersub{}","plainCitation":"13","noteIndex":0},"citationItems":[{"id":2694,"uris":["http://zotero.org/groups/6337619/items/ZE756NMM"],"itemData":{"id":2694,"type":"article-journal","abstract":"Rule‐based modeling was developed to address the limitations of traditional approaches for modeling chemical kinetics in cell signaling systems. These systems consist of multiple interacting biomolecules (e.g., proteins), which themselves consist of multiple parts (e.g., domains, linear motifs, and sites of phosphorylation). Consequently, biomolecules that mediate information processing generally have the potential to interact in multiple ways, with the number of possible complexes and posttranslational modification states tending to grow exponentially with the number of binary interactions considered. As a result, only large reaction networks capture all possible consequences of the molecular interactions that occur in a cell signaling system, which is problematic because traditional modeling approaches for chemical kinetics (e.g., ordinary differential equations) require explicit network specification. This problem is circumvented through representation of interactions in terms of local rules. With this approach, network specification is implicit and model specification is concise. Concise representation results in a coarse graining of chemical kinetics, which is introduced because all reactions implied by a rule inherit the rate law associated with that rule. Coarse graining can be appropriate if interactions are modular, and the coarseness of a model can be adjusted as needed. Rules can be specified using specialized model‐specification languages, and recently developed tools designed for specification of rule‐based models allow one to leverage powerful software engineering capabilities. A rule‐based model comprises a set of rules, which can be processed by general‐purpose simulation and analysis tools to achieve different objectives (e.g., to perform either a deterministic or stochastic simulation).\n              WIREs Syst Biol Med\n              2014, 6:13–36. doi: 10.1002/wsbm.1245\n            \n            \n              This article is categorized under:\n              \n                \n                  Biological Mechanisms &gt; Cell Signaling\n                \n                \n                  Analytical and Computational Methods &gt; Computational Methods\n                \n                \n                  Models of Systems Properties and Processes &gt; Mechanistic Models","container-title":"WIREs Systems Biology and Medicine","DOI":"10.1002/wsbm.1245","ISSN":"1939-5094, 1939-005X","issue":"1","journalAbbreviation":"WIREs Mechanisms of Disease","language":"en","license":"http://onlinelibrary.wiley.com/termsAndConditions#vor","page":"13-36","source":"DOI.org (Crossref)","title":"Rule‐based modeling: a computational approach for studying biomolecular site dynamics in cell signaling systems","title-short":"Rule‐based modeling","volume":"6","author":[{"family":"Chylek","given":"Lily A."},{"family":"Harris","given":"Leonard A."},{"family":"Tung","given":"Chang‐Shung"},{"family":"Faeder","given":"James R."},{"family":"Lopez","given":"Carlos F."},{"family":"Hlavacek","given":"William S."}],"issued":{"date-parts":[["2014",1]]}}}],"schema":"https://github.com/citation-style-language/schema/raw/master/csl-citation.json"} </w:instrText>
      </w:r>
      <w:r w:rsidR="008515C4" w:rsidRPr="00FB0275">
        <w:rPr>
          <w:rFonts w:ascii="Calibri" w:hAnsi="Calibri" w:cs="Calibri"/>
          <w:color w:val="000000"/>
          <w:sz w:val="22"/>
          <w:szCs w:val="22"/>
          <w:shd w:val="clear" w:color="auto" w:fill="FFFFFF"/>
        </w:rPr>
        <w:fldChar w:fldCharType="separate"/>
      </w:r>
      <w:r w:rsidR="00BD6670" w:rsidRPr="00BD6670">
        <w:rPr>
          <w:rFonts w:ascii="Calibri" w:eastAsiaTheme="minorHAnsi" w:hAnsi="Calibri" w:cs="Calibri"/>
          <w:color w:val="000000"/>
          <w:sz w:val="22"/>
          <w:vertAlign w:val="superscript"/>
          <w14:ligatures w14:val="standardContextual"/>
        </w:rPr>
        <w:t>13</w:t>
      </w:r>
      <w:r w:rsidR="008515C4" w:rsidRPr="00FB0275">
        <w:rPr>
          <w:rFonts w:ascii="Calibri" w:hAnsi="Calibri" w:cs="Calibri"/>
          <w:color w:val="000000"/>
          <w:sz w:val="22"/>
          <w:szCs w:val="22"/>
          <w:shd w:val="clear" w:color="auto" w:fill="FFFFFF"/>
        </w:rPr>
        <w:fldChar w:fldCharType="end"/>
      </w:r>
      <w:r w:rsidR="008515C4" w:rsidRPr="00FB0275">
        <w:rPr>
          <w:rFonts w:ascii="Calibri" w:hAnsi="Calibri" w:cs="Calibri"/>
          <w:sz w:val="22"/>
          <w:szCs w:val="22"/>
        </w:rPr>
        <w:t>. Agent-based models further enable the study of higher-level temporal behaviors emerging across multicellular populations</w:t>
      </w:r>
      <w:r w:rsidR="008515C4" w:rsidRPr="00FB0275">
        <w:rPr>
          <w:rFonts w:ascii="Calibri" w:hAnsi="Calibri" w:cs="Calibri"/>
          <w:color w:val="2E2E2E"/>
          <w:sz w:val="22"/>
          <w:szCs w:val="22"/>
          <w:shd w:val="clear" w:color="auto" w:fill="FFFFFF"/>
        </w:rPr>
        <w:fldChar w:fldCharType="begin"/>
      </w:r>
      <w:r w:rsidR="00BD6670">
        <w:rPr>
          <w:rFonts w:ascii="Calibri" w:hAnsi="Calibri" w:cs="Calibri"/>
          <w:color w:val="2E2E2E"/>
          <w:sz w:val="22"/>
          <w:szCs w:val="22"/>
          <w:shd w:val="clear" w:color="auto" w:fill="FFFFFF"/>
        </w:rPr>
        <w:instrText xml:space="preserve"> ADDIN ZOTERO_ITEM CSL_CITATION {"citationID":"FAWNWPFJ","properties":{"formattedCitation":"\\super 14\\nosupersub{}","plainCitation":"14","noteIndex":0},"citationItems":[{"id":2695,"uris":["http://zotero.org/groups/6337619/items/RQFD3XCA"],"itemData":{"id":2695,"type":"article-journal","abstract":"Abstract\n            Effective translational methodologies for knowledge representation are needed in order to make strides against the constellation of diseases that affect the world today. These diseases are defined by their mechanistic complexity, redundancy, and nonlinearity. Translational systems biology aims to harness the power of computational simulation to streamline drug/device design, simulate clinical trials, and eventually to predict the effects of drugs on individuals. The ability of agent‐based modeling to encompass multiple scales of biological process as well as spatial considerations, coupled with an intuitive modeling paradigm, suggests that this modeling framework is well suited for translational systems biology. This review describes agent‐based modeling and gives examples of its translational applications in the context of acute inflammation and wound healing. Copyright © 2009 John Wiley &amp; Sons, Inc.\n            \n              This article is categorized under:\n              \n                \n                  Analytical and Computational Methods &gt; Computational Methods","container-title":"WIREs Systems Biology and Medicine","DOI":"10.1002/wsbm.45","ISSN":"1939-5094, 1939-005X","issue":"2","journalAbbreviation":"WIREs Mechanisms of Disease","language":"en","license":"http://onlinelibrary.wiley.com/termsAndConditions#vor","page":"159-171","source":"DOI.org (Crossref)","title":"Agent‐based models in translational systems biology","volume":"1","author":[{"family":"An","given":"Gary"},{"family":"Mi","given":"Qi"},{"family":"Dutta‐Moscato","given":"Joyeeta"},{"family":"Vodovotz","given":"Yoram"}],"issued":{"date-parts":[["2009",9]]}}}],"schema":"https://github.com/citation-style-language/schema/raw/master/csl-citation.json"} </w:instrText>
      </w:r>
      <w:r w:rsidR="008515C4" w:rsidRPr="00FB0275">
        <w:rPr>
          <w:rFonts w:ascii="Calibri" w:hAnsi="Calibri" w:cs="Calibri"/>
          <w:color w:val="2E2E2E"/>
          <w:sz w:val="22"/>
          <w:szCs w:val="22"/>
          <w:shd w:val="clear" w:color="auto" w:fill="FFFFFF"/>
        </w:rPr>
        <w:fldChar w:fldCharType="separate"/>
      </w:r>
      <w:r w:rsidR="00BD6670" w:rsidRPr="00BD6670">
        <w:rPr>
          <w:rFonts w:ascii="Calibri" w:eastAsiaTheme="minorHAnsi" w:hAnsi="Calibri" w:cs="Calibri"/>
          <w:color w:val="000000"/>
          <w:sz w:val="22"/>
          <w:vertAlign w:val="superscript"/>
          <w14:ligatures w14:val="standardContextual"/>
        </w:rPr>
        <w:t>14</w:t>
      </w:r>
      <w:r w:rsidR="008515C4" w:rsidRPr="00FB0275">
        <w:rPr>
          <w:rFonts w:ascii="Calibri" w:hAnsi="Calibri" w:cs="Calibri"/>
          <w:color w:val="2E2E2E"/>
          <w:sz w:val="22"/>
          <w:szCs w:val="22"/>
          <w:shd w:val="clear" w:color="auto" w:fill="FFFFFF"/>
        </w:rPr>
        <w:fldChar w:fldCharType="end"/>
      </w:r>
      <w:r w:rsidR="008515C4" w:rsidRPr="00FB0275">
        <w:rPr>
          <w:rFonts w:ascii="Calibri" w:hAnsi="Calibri" w:cs="Calibri"/>
          <w:color w:val="2E2E2E"/>
          <w:sz w:val="22"/>
          <w:szCs w:val="22"/>
          <w:shd w:val="clear" w:color="auto" w:fill="FFFFFF"/>
          <w:vertAlign w:val="superscript"/>
        </w:rPr>
        <w:t xml:space="preserve">, </w:t>
      </w:r>
      <w:r w:rsidR="008515C4" w:rsidRPr="00FB0275">
        <w:rPr>
          <w:rFonts w:ascii="Calibri" w:hAnsi="Calibri" w:cs="Calibri"/>
          <w:color w:val="2E2E2E"/>
          <w:sz w:val="22"/>
          <w:szCs w:val="22"/>
          <w:shd w:val="clear" w:color="auto" w:fill="FFFFFF"/>
          <w:vertAlign w:val="superscript"/>
        </w:rPr>
        <w:fldChar w:fldCharType="begin"/>
      </w:r>
      <w:r w:rsidR="00BD6670">
        <w:rPr>
          <w:rFonts w:ascii="Calibri" w:hAnsi="Calibri" w:cs="Calibri"/>
          <w:color w:val="2E2E2E"/>
          <w:sz w:val="22"/>
          <w:szCs w:val="22"/>
          <w:shd w:val="clear" w:color="auto" w:fill="FFFFFF"/>
          <w:vertAlign w:val="superscript"/>
        </w:rPr>
        <w:instrText xml:space="preserve"> ADDIN ZOTERO_ITEM CSL_CITATION {"citationID":"lvOE6OhM","properties":{"formattedCitation":"\\super 15\\nosupersub{}","plainCitation":"15","noteIndex":0},"citationItems":[{"id":2696,"uris":["http://zotero.org/groups/6337619/items/99F7PRTG"],"itemData":{"id":2696,"type":"article-journal","abstract":"Molecular systems orchestrating the biology of the cell typically involve a complex web of interactions among various components and span a vast range of spatial and temporal scales. Computational methods have advanced our understanding of the behavior of molecular systems by enabling us to test assumptions and hypotheses, explore the effect of different parameters on the outcome, and eventually guide experiments. While several different mathematical and computational methods are developed to study molecular systems at different spatiotemporal scales, there is still a need for methods that bridge the gap between spatially‐detailed and computationally‐efficient approaches. In this review, we summarize the capabilities of agent‐based modeling (ABM) as an emerging molecular systems biology technique that provides researchers with a new tool in exploring the dynamics of molecular systems/pathways in health and disease.","container-title":"BioEssays","DOI":"10.1002/bies.201800020","ISSN":"0265-9247, 1521-1878","issue":"7","journalAbbreviation":"BioEssays","language":"en","page":"1800020","source":"DOI.org (Crossref)","title":"Agent‐Based Modeling in Molecular Systems Biology","volume":"40","author":[{"family":"Soheilypour","given":"Mohammad"},{"family":"Mofrad","given":"Mohammad R. K."}],"issued":{"date-parts":[["2018",7]]}}}],"schema":"https://github.com/citation-style-language/schema/raw/master/csl-citation.json"} </w:instrText>
      </w:r>
      <w:r w:rsidR="008515C4" w:rsidRPr="00FB0275">
        <w:rPr>
          <w:rFonts w:ascii="Calibri" w:hAnsi="Calibri" w:cs="Calibri"/>
          <w:color w:val="2E2E2E"/>
          <w:sz w:val="22"/>
          <w:szCs w:val="22"/>
          <w:shd w:val="clear" w:color="auto" w:fill="FFFFFF"/>
          <w:vertAlign w:val="superscript"/>
        </w:rPr>
        <w:fldChar w:fldCharType="separate"/>
      </w:r>
      <w:r w:rsidR="00BD6670" w:rsidRPr="00BD6670">
        <w:rPr>
          <w:rFonts w:ascii="Calibri" w:eastAsiaTheme="minorHAnsi" w:hAnsi="Calibri" w:cs="Calibri"/>
          <w:color w:val="000000"/>
          <w:sz w:val="22"/>
          <w:vertAlign w:val="superscript"/>
          <w14:ligatures w14:val="standardContextual"/>
        </w:rPr>
        <w:t>15</w:t>
      </w:r>
      <w:r w:rsidR="008515C4" w:rsidRPr="00FB0275">
        <w:rPr>
          <w:rFonts w:ascii="Calibri" w:hAnsi="Calibri" w:cs="Calibri"/>
          <w:color w:val="2E2E2E"/>
          <w:sz w:val="22"/>
          <w:szCs w:val="22"/>
          <w:shd w:val="clear" w:color="auto" w:fill="FFFFFF"/>
          <w:vertAlign w:val="superscript"/>
        </w:rPr>
        <w:fldChar w:fldCharType="end"/>
      </w:r>
      <w:r w:rsidR="008515C4" w:rsidRPr="00FB0275">
        <w:rPr>
          <w:rFonts w:ascii="Calibri" w:hAnsi="Calibri" w:cs="Calibri"/>
          <w:sz w:val="22"/>
          <w:szCs w:val="22"/>
        </w:rPr>
        <w:t xml:space="preserve">. More recently, advances in natural language processing (NLP) have </w:t>
      </w:r>
      <w:r w:rsidR="00963FCF">
        <w:rPr>
          <w:rFonts w:ascii="Calibri" w:hAnsi="Calibri" w:cs="Calibri"/>
          <w:sz w:val="22"/>
          <w:szCs w:val="22"/>
        </w:rPr>
        <w:t>introduced</w:t>
      </w:r>
      <w:r w:rsidR="008515C4" w:rsidRPr="00FB0275">
        <w:rPr>
          <w:rFonts w:ascii="Calibri" w:hAnsi="Calibri" w:cs="Calibri"/>
          <w:sz w:val="22"/>
          <w:szCs w:val="22"/>
        </w:rPr>
        <w:t xml:space="preserve"> </w:t>
      </w:r>
      <w:r w:rsidR="00963FCF">
        <w:rPr>
          <w:rFonts w:ascii="Calibri" w:hAnsi="Calibri" w:cs="Calibri"/>
          <w:sz w:val="22"/>
          <w:szCs w:val="22"/>
        </w:rPr>
        <w:t>alternative</w:t>
      </w:r>
      <w:r w:rsidR="008515C4" w:rsidRPr="00FB0275">
        <w:rPr>
          <w:rFonts w:ascii="Calibri" w:hAnsi="Calibri" w:cs="Calibri"/>
          <w:sz w:val="22"/>
          <w:szCs w:val="22"/>
        </w:rPr>
        <w:t xml:space="preserve"> </w:t>
      </w:r>
      <w:r w:rsidR="00963FCF">
        <w:rPr>
          <w:rFonts w:ascii="Calibri" w:hAnsi="Calibri" w:cs="Calibri"/>
          <w:sz w:val="22"/>
          <w:szCs w:val="22"/>
        </w:rPr>
        <w:t>strategies</w:t>
      </w:r>
      <w:r w:rsidR="008515C4" w:rsidRPr="00FB0275">
        <w:rPr>
          <w:rFonts w:ascii="Calibri" w:hAnsi="Calibri" w:cs="Calibri"/>
          <w:sz w:val="22"/>
          <w:szCs w:val="22"/>
        </w:rPr>
        <w:t xml:space="preserve"> </w:t>
      </w:r>
      <w:r w:rsidR="007E5003">
        <w:rPr>
          <w:rFonts w:ascii="Calibri" w:hAnsi="Calibri" w:cs="Calibri"/>
          <w:sz w:val="22"/>
          <w:szCs w:val="22"/>
        </w:rPr>
        <w:t>for</w:t>
      </w:r>
      <w:r w:rsidR="008515C4" w:rsidRPr="00FB0275">
        <w:rPr>
          <w:rFonts w:ascii="Calibri" w:hAnsi="Calibri" w:cs="Calibri"/>
          <w:sz w:val="22"/>
          <w:szCs w:val="22"/>
        </w:rPr>
        <w:t xml:space="preserve"> encod</w:t>
      </w:r>
      <w:r w:rsidR="007E5003">
        <w:rPr>
          <w:rFonts w:ascii="Calibri" w:hAnsi="Calibri" w:cs="Calibri"/>
          <w:sz w:val="22"/>
          <w:szCs w:val="22"/>
        </w:rPr>
        <w:t>ing</w:t>
      </w:r>
      <w:r w:rsidR="008515C4" w:rsidRPr="00FB0275">
        <w:rPr>
          <w:rFonts w:ascii="Calibri" w:hAnsi="Calibri" w:cs="Calibri"/>
          <w:sz w:val="22"/>
          <w:szCs w:val="22"/>
        </w:rPr>
        <w:t xml:space="preserve"> multicellular dynamics in </w:t>
      </w:r>
      <w:r w:rsidR="007E5003">
        <w:rPr>
          <w:rFonts w:ascii="Calibri" w:hAnsi="Calibri" w:cs="Calibri"/>
          <w:sz w:val="22"/>
          <w:szCs w:val="22"/>
        </w:rPr>
        <w:t>human-interpretable</w:t>
      </w:r>
      <w:r w:rsidR="008515C4" w:rsidRPr="00FB0275">
        <w:rPr>
          <w:rFonts w:ascii="Calibri" w:hAnsi="Calibri" w:cs="Calibri"/>
          <w:sz w:val="22"/>
          <w:szCs w:val="22"/>
        </w:rPr>
        <w:t xml:space="preserve"> </w:t>
      </w:r>
      <w:r w:rsidR="007E5003">
        <w:rPr>
          <w:rFonts w:ascii="Calibri" w:hAnsi="Calibri" w:cs="Calibri"/>
          <w:sz w:val="22"/>
          <w:szCs w:val="22"/>
        </w:rPr>
        <w:t>grammars</w:t>
      </w:r>
      <w:r w:rsidR="008515C4" w:rsidRPr="00FB0275">
        <w:rPr>
          <w:rFonts w:ascii="Calibri" w:hAnsi="Calibri" w:cs="Calibri"/>
          <w:sz w:val="22"/>
          <w:szCs w:val="22"/>
        </w:rPr>
        <w:t xml:space="preserve">, providing </w:t>
      </w:r>
      <w:r w:rsidR="007E5003">
        <w:rPr>
          <w:rFonts w:ascii="Calibri" w:hAnsi="Calibri" w:cs="Calibri"/>
          <w:sz w:val="22"/>
          <w:szCs w:val="22"/>
        </w:rPr>
        <w:t xml:space="preserve">new venues for structured </w:t>
      </w:r>
      <w:r w:rsidR="008515C4" w:rsidRPr="00FB0275">
        <w:rPr>
          <w:rFonts w:ascii="Calibri" w:hAnsi="Calibri" w:cs="Calibri"/>
          <w:sz w:val="22"/>
          <w:szCs w:val="22"/>
        </w:rPr>
        <w:t>mechanistic reasoning</w:t>
      </w:r>
      <w:r w:rsidR="008515C4" w:rsidRPr="00FB0275">
        <w:rPr>
          <w:rFonts w:ascii="Calibri" w:hAnsi="Calibri" w:cs="Calibri"/>
          <w:color w:val="2E2E2E"/>
          <w:sz w:val="22"/>
          <w:szCs w:val="22"/>
          <w:shd w:val="clear" w:color="auto" w:fill="FFFFFF"/>
        </w:rPr>
        <w:fldChar w:fldCharType="begin"/>
      </w:r>
      <w:r w:rsidR="00BD6670">
        <w:rPr>
          <w:rFonts w:ascii="Calibri" w:hAnsi="Calibri" w:cs="Calibri"/>
          <w:color w:val="2E2E2E"/>
          <w:sz w:val="22"/>
          <w:szCs w:val="22"/>
          <w:shd w:val="clear" w:color="auto" w:fill="FFFFFF"/>
        </w:rPr>
        <w:instrText xml:space="preserve"> ADDIN ZOTERO_ITEM CSL_CITATION {"citationID":"515qoNXZ","properties":{"formattedCitation":"\\super 16\\nosupersub{}","plainCitation":"16","noteIndex":0},"citationItems":[{"id":2697,"uris":["http://zotero.org/groups/6337619/items/7SVBTECY"],"itemData":{"id":2697,"type":"article-journal","container-title":"Cell","DOI":"10.1016/j.cell.2025.06.048","ISSN":"00928674","issue":"17","journalAbbreviation":"Cell","language":"en","page":"4711-4733.e37","source":"DOI.org (Crossref)","title":"Human interpretable grammar encodes multicellular systems biology models to democratize virtual cell laboratories","volume":"188","author":[{"family":"Johnson","given":"Jeanette A.I."},{"family":"Bergman","given":"Daniel R."},{"family":"Rocha","given":"Heber L."},{"family":"Zhou","given":"David L."},{"family":"Cramer","given":"Eric"},{"family":"Mclean","given":"Ian C."},{"family":"Dance","given":"Yoseph W."},{"family":"Booth","given":"Max"},{"family":"Nicholas","given":"Zachary"},{"family":"Lopez-Vidal","given":"Tamara"},{"family":"Deshpande","given":"Atul"},{"family":"Heiland","given":"Randy"},{"family":"Bucher","given":"Elmar"},{"family":"Shojaeian","given":"Fatemeh"},{"family":"Dunworth","given":"Matthew"},{"family":"Forjaz","given":"André"},{"family":"Getz","given":"Michael"},{"family":"Godet","given":"Inês"},{"family":"Kurtoglu","given":"Furkan"},{"family":"Lyman","given":"Melissa"},{"family":"Metzcar","given":"John"},{"family":"Mitchell","given":"Jacob T."},{"family":"Raddatz","given":"Andrew"},{"family":"Solorzano","given":"Jacobo"},{"family":"Sundus","given":"Aneequa"},{"family":"Wang","given":"Yafei"},{"family":"DeNardo","given":"David G."},{"family":"Ewald","given":"Andrew J."},{"family":"Gilkes","given":"Daniele M."},{"family":"Kagohara","given":"Luciane T."},{"family":"Kiemen","given":"Ashley L."},{"family":"Thompson","given":"Elizabeth D."},{"family":"Wirtz","given":"Denis"},{"family":"Wood","given":"Laura D."},{"family":"Wu","given":"Pei-Hsun"},{"family":"Zaidi","given":"Neeha"},{"family":"Zheng","given":"Lei"},{"family":"Zimmerman","given":"Jacquelyn W."},{"family":"Phillip","given":"Jude M."},{"family":"Jaffee","given":"Elizabeth M."},{"family":"Gray","given":"Joe W."},{"family":"Coussens","given":"Lisa M."},{"family":"Chang","given":"Young Hwan"},{"family":"Heiser","given":"Laura M."},{"family":"Stein-O’Brien","given":"Genevieve L."},{"family":"Fertig","given":"Elana J."},{"family":"Macklin","given":"Paul"}],"issued":{"date-parts":[["2025",8]]}}}],"schema":"https://github.com/citation-style-language/schema/raw/master/csl-citation.json"} </w:instrText>
      </w:r>
      <w:r w:rsidR="008515C4" w:rsidRPr="00FB0275">
        <w:rPr>
          <w:rFonts w:ascii="Calibri" w:hAnsi="Calibri" w:cs="Calibri"/>
          <w:color w:val="2E2E2E"/>
          <w:sz w:val="22"/>
          <w:szCs w:val="22"/>
          <w:shd w:val="clear" w:color="auto" w:fill="FFFFFF"/>
        </w:rPr>
        <w:fldChar w:fldCharType="separate"/>
      </w:r>
      <w:r w:rsidR="00BD6670" w:rsidRPr="00BD6670">
        <w:rPr>
          <w:rFonts w:ascii="Calibri" w:eastAsiaTheme="minorHAnsi" w:hAnsi="Calibri" w:cs="Calibri"/>
          <w:color w:val="000000"/>
          <w:sz w:val="22"/>
          <w:vertAlign w:val="superscript"/>
          <w14:ligatures w14:val="standardContextual"/>
        </w:rPr>
        <w:t>16</w:t>
      </w:r>
      <w:r w:rsidR="008515C4" w:rsidRPr="00FB0275">
        <w:rPr>
          <w:rFonts w:ascii="Calibri" w:hAnsi="Calibri" w:cs="Calibri"/>
          <w:color w:val="2E2E2E"/>
          <w:sz w:val="22"/>
          <w:szCs w:val="22"/>
          <w:shd w:val="clear" w:color="auto" w:fill="FFFFFF"/>
        </w:rPr>
        <w:fldChar w:fldCharType="end"/>
      </w:r>
      <w:r w:rsidR="008515C4" w:rsidRPr="00FB0275">
        <w:rPr>
          <w:rFonts w:ascii="Calibri" w:hAnsi="Calibri" w:cs="Calibri"/>
          <w:sz w:val="22"/>
          <w:szCs w:val="22"/>
        </w:rPr>
        <w:t>.</w:t>
      </w:r>
      <w:r w:rsidR="008515C4">
        <w:rPr>
          <w:rFonts w:ascii="Calibri" w:hAnsi="Calibri" w:cs="Calibri"/>
          <w:sz w:val="22"/>
          <w:szCs w:val="22"/>
        </w:rPr>
        <w:t xml:space="preserve"> </w:t>
      </w:r>
      <w:r w:rsidR="007C4613" w:rsidRPr="007C4613">
        <w:rPr>
          <w:rFonts w:ascii="Calibri" w:hAnsi="Calibri" w:cs="Calibri"/>
          <w:sz w:val="22"/>
          <w:szCs w:val="22"/>
        </w:rPr>
        <w:t>Within this broader landscape, gene regulatory network (GRN) inference models aim to reconstruct causal, biologically grounded interactions between transcription factors and their target genes from high-dimensional data</w:t>
      </w:r>
      <w:r w:rsidR="008515C4">
        <w:rPr>
          <w:rFonts w:ascii="Calibri" w:hAnsi="Calibri" w:cs="Calibri"/>
          <w:sz w:val="22"/>
          <w:szCs w:val="22"/>
        </w:rPr>
        <w:fldChar w:fldCharType="begin"/>
      </w:r>
      <w:r w:rsidR="00BD6670">
        <w:rPr>
          <w:rFonts w:ascii="Calibri" w:hAnsi="Calibri" w:cs="Calibri"/>
          <w:sz w:val="22"/>
          <w:szCs w:val="22"/>
        </w:rPr>
        <w:instrText xml:space="preserve"> ADDIN ZOTERO_ITEM CSL_CITATION {"citationID":"PcPyYyfK","properties":{"formattedCitation":"\\super 17\\nosupersub{}","plainCitation":"17","noteIndex":0},"citationItems":[{"id":2591,"uris":["http://zotero.org/groups/6337619/items/8ZTRY5Y6"],"itemData":{"id":2591,"type":"article-journal","abstract":"Abstract\n            \n              Cell identity is governed by the complex regulation of gene expression, represented as gene-regulatory networks\n              1\n              . Here we use gene-regulatory networks inferred from single-cell multi-omics data to perform in silico transcription factor perturbations, simulating the consequent changes in cell identity using only unperturbed wild-type data. We apply this machine-learning-based approach, CellOracle, to well-established paradigms—mouse and human haematopoiesis, and zebrafish embryogenesis—and we correctly model reported changes in phenotype that occur as a result of transcription factor perturbation. Through systematic in silico transcription factor perturbation in the developing zebrafish, we simulate and experimentally validate a previously unreported phenotype that results from the loss of\n              noto\n              , an established notochord regulator. Furthermore, we identify an axial mesoderm regulator,\n              lhx1a\n              . Together, these results show that CellOracle can be used to analyse the regulation of cell identity by transcription factors, and can provide mechanistic insights into development and differentiation.","container-title":"Nature","DOI":"10.1038/s41586-022-05688-9","ISSN":"0028-0836, 1476-4687","issue":"7949","journalAbbreviation":"Nature","language":"en","page":"742-751","source":"DOI.org (Crossref)","title":"Dissecting cell identity via network inference and in silico gene perturbation","volume":"614","author":[{"family":"Kamimoto","given":"Kenji"},{"family":"Stringa","given":"Blerta"},{"family":"Hoffmann","given":"Christy M."},{"family":"Jindal","given":"Kunal"},{"family":"Solnica-Krezel","given":"Lilianna"},{"family":"Morris","given":"Samantha A."}],"issued":{"date-parts":[["2023",2,23]]}}}],"schema":"https://github.com/citation-style-language/schema/raw/master/csl-citation.json"} </w:instrText>
      </w:r>
      <w:r w:rsidR="008515C4">
        <w:rPr>
          <w:rFonts w:ascii="Calibri" w:hAnsi="Calibri" w:cs="Calibri"/>
          <w:sz w:val="22"/>
          <w:szCs w:val="22"/>
        </w:rPr>
        <w:fldChar w:fldCharType="separate"/>
      </w:r>
      <w:r w:rsidR="00BD6670" w:rsidRPr="00BD6670">
        <w:rPr>
          <w:rFonts w:ascii="Calibri" w:eastAsiaTheme="minorHAnsi" w:hAnsi="Calibri" w:cs="Calibri"/>
          <w:sz w:val="22"/>
          <w:vertAlign w:val="superscript"/>
          <w14:ligatures w14:val="standardContextual"/>
        </w:rPr>
        <w:t>17</w:t>
      </w:r>
      <w:r w:rsidR="008515C4">
        <w:rPr>
          <w:rFonts w:ascii="Calibri" w:hAnsi="Calibri" w:cs="Calibri"/>
          <w:sz w:val="22"/>
          <w:szCs w:val="22"/>
        </w:rPr>
        <w:fldChar w:fldCharType="end"/>
      </w:r>
      <w:r w:rsidR="008515C4">
        <w:rPr>
          <w:rFonts w:ascii="Calibri" w:hAnsi="Calibri" w:cs="Calibri"/>
          <w:sz w:val="22"/>
          <w:szCs w:val="22"/>
          <w:vertAlign w:val="superscript"/>
        </w:rPr>
        <w:t xml:space="preserve">, </w:t>
      </w:r>
      <w:r w:rsidR="008515C4">
        <w:rPr>
          <w:rFonts w:ascii="Calibri" w:hAnsi="Calibri" w:cs="Calibri"/>
          <w:sz w:val="22"/>
          <w:szCs w:val="22"/>
          <w:vertAlign w:val="superscript"/>
        </w:rPr>
        <w:fldChar w:fldCharType="begin"/>
      </w:r>
      <w:r w:rsidR="00BD6670">
        <w:rPr>
          <w:rFonts w:ascii="Calibri" w:hAnsi="Calibri" w:cs="Calibri"/>
          <w:sz w:val="22"/>
          <w:szCs w:val="22"/>
          <w:vertAlign w:val="superscript"/>
        </w:rPr>
        <w:instrText xml:space="preserve"> ADDIN ZOTERO_ITEM CSL_CITATION {"citationID":"3itM9y12","properties":{"formattedCitation":"\\super 18\\nosupersub{}","plainCitation":"18","noteIndex":0},"citationItems":[{"id":2589,"uris":["http://zotero.org/groups/6337619/items/FM9ADSYS"],"itemData":{"id":2589,"type":"article-journal","container-title":"Nature Methods","DOI":"10.1038/s41592-023-01971-3","ISSN":"1548-7091, 1548-7105","issue":"9","journalAbbreviation":"Nat Methods","language":"en","page":"1368-1378","source":"DOI.org (Crossref)","title":"Dictys: dynamic gene regulatory network dissects developmental continuum with single-cell multiomics","title-short":"Dictys","volume":"20","author":[{"family":"Wang","given":"Lingfei"},{"family":"Trasanidis","given":"Nikolaos"},{"family":"Wu","given":"Ting"},{"family":"Dong","given":"Guanlan"},{"family":"Hu","given":"Michael"},{"family":"Bauer","given":"Daniel E."},{"family":"Pinello","given":"Luca"}],"issued":{"date-parts":[["2023",9]]}}}],"schema":"https://github.com/citation-style-language/schema/raw/master/csl-citation.json"} </w:instrText>
      </w:r>
      <w:r w:rsidR="008515C4">
        <w:rPr>
          <w:rFonts w:ascii="Calibri" w:hAnsi="Calibri" w:cs="Calibri"/>
          <w:sz w:val="22"/>
          <w:szCs w:val="22"/>
          <w:vertAlign w:val="superscript"/>
        </w:rPr>
        <w:fldChar w:fldCharType="separate"/>
      </w:r>
      <w:r w:rsidR="00BD6670" w:rsidRPr="00BD6670">
        <w:rPr>
          <w:rFonts w:ascii="Calibri" w:eastAsiaTheme="minorHAnsi" w:hAnsi="Calibri" w:cs="Calibri"/>
          <w:sz w:val="22"/>
          <w:vertAlign w:val="superscript"/>
          <w14:ligatures w14:val="standardContextual"/>
        </w:rPr>
        <w:t>18</w:t>
      </w:r>
      <w:r w:rsidR="008515C4">
        <w:rPr>
          <w:rFonts w:ascii="Calibri" w:hAnsi="Calibri" w:cs="Calibri"/>
          <w:sz w:val="22"/>
          <w:szCs w:val="22"/>
          <w:vertAlign w:val="superscript"/>
        </w:rPr>
        <w:fldChar w:fldCharType="end"/>
      </w:r>
      <w:r w:rsidR="008515C4">
        <w:rPr>
          <w:rFonts w:ascii="Calibri" w:hAnsi="Calibri" w:cs="Calibri"/>
          <w:sz w:val="22"/>
          <w:szCs w:val="22"/>
          <w:vertAlign w:val="superscript"/>
        </w:rPr>
        <w:t xml:space="preserve">, </w:t>
      </w:r>
      <w:r w:rsidR="008515C4">
        <w:rPr>
          <w:rFonts w:ascii="Calibri" w:hAnsi="Calibri" w:cs="Calibri"/>
          <w:sz w:val="22"/>
          <w:szCs w:val="22"/>
          <w:vertAlign w:val="superscript"/>
        </w:rPr>
        <w:fldChar w:fldCharType="begin"/>
      </w:r>
      <w:r w:rsidR="00BD6670">
        <w:rPr>
          <w:rFonts w:ascii="Calibri" w:hAnsi="Calibri" w:cs="Calibri"/>
          <w:sz w:val="22"/>
          <w:szCs w:val="22"/>
          <w:vertAlign w:val="superscript"/>
        </w:rPr>
        <w:instrText xml:space="preserve"> ADDIN ZOTERO_ITEM CSL_CITATION {"citationID":"2aRKoWvb","properties":{"formattedCitation":"\\super 19\\nosupersub{}","plainCitation":"19","noteIndex":0},"citationItems":[{"id":2700,"uris":["http://zotero.org/groups/6337619/items/ZNZ49YHC"],"itemData":{"id":2700,"type":"article-journal","abstract":"Abstract\n            \n              Joint profiling of chromatin accessibility and gene expression in individual cells provides an opportunity to decipher enhancer-driven gene regulatory networks (GRNs). Here we present a method for the inference of enhancer-driven GRNs, called SCENIC+. SCENIC+ predicts genomic enhancers along with candidate upstream transcription factors (TFs) and links these enhancers to candidate target genes. To improve both recall and precision of TF identification, we curated and clustered a motif collection with more than 30,000 motifs. We benchmarked SCENIC+ on diverse datasets from different species, including human peripheral blood mononuclear cells, ENCODE cell lines, melanoma cell states and\n              Drosophila\n              retinal development. Next, we exploit SCENIC+ predictions to study conserved TFs, enhancers and GRNs between human and mouse cell types in the cerebral cortex. Finally, we use SCENIC+ to study the dynamics of gene regulation along differentiation trajectories and the effect of TF perturbations on cell state. SCENIC+ is available at\n              scenicplus.readthedocs.io\n              .","container-title":"Nature Methods","DOI":"10.1038/s41592-023-01938-4","ISSN":"1548-7091, 1548-7105","issue":"9","journalAbbreviation":"Nat Methods","language":"en","page":"1355-1367","source":"DOI.org (Crossref)","title":"SCENIC+: single-cell multiomic inference of enhancers and gene regulatory networks","title-short":"SCENIC+","volume":"20","author":[{"family":"Bravo González-Blas","given":"Carmen"},{"family":"De Winter","given":"Seppe"},{"family":"Hulselmans","given":"Gert"},{"family":"Hecker","given":"Nikolai"},{"family":"Matetovici","given":"Irina"},{"family":"Christiaens","given":"Valerie"},{"family":"Poovathingal","given":"Suresh"},{"family":"Wouters","given":"Jasper"},{"family":"Aibar","given":"Sara"},{"family":"Aerts","given":"Stein"}],"issued":{"date-parts":[["2023",9]]}}}],"schema":"https://github.com/citation-style-language/schema/raw/master/csl-citation.json"} </w:instrText>
      </w:r>
      <w:r w:rsidR="008515C4">
        <w:rPr>
          <w:rFonts w:ascii="Calibri" w:hAnsi="Calibri" w:cs="Calibri"/>
          <w:sz w:val="22"/>
          <w:szCs w:val="22"/>
          <w:vertAlign w:val="superscript"/>
        </w:rPr>
        <w:fldChar w:fldCharType="separate"/>
      </w:r>
      <w:r w:rsidR="00BD6670" w:rsidRPr="00BD6670">
        <w:rPr>
          <w:rFonts w:ascii="Calibri" w:eastAsiaTheme="minorHAnsi" w:hAnsi="Calibri" w:cs="Calibri"/>
          <w:sz w:val="22"/>
          <w:vertAlign w:val="superscript"/>
          <w14:ligatures w14:val="standardContextual"/>
        </w:rPr>
        <w:t>19</w:t>
      </w:r>
      <w:r w:rsidR="008515C4">
        <w:rPr>
          <w:rFonts w:ascii="Calibri" w:hAnsi="Calibri" w:cs="Calibri"/>
          <w:sz w:val="22"/>
          <w:szCs w:val="22"/>
          <w:vertAlign w:val="superscript"/>
        </w:rPr>
        <w:fldChar w:fldCharType="end"/>
      </w:r>
      <w:r w:rsidR="008515C4">
        <w:rPr>
          <w:rFonts w:ascii="Calibri" w:hAnsi="Calibri" w:cs="Calibri"/>
          <w:sz w:val="22"/>
          <w:szCs w:val="22"/>
        </w:rPr>
        <w:t xml:space="preserve">. </w:t>
      </w:r>
      <w:r w:rsidR="002D5FF0" w:rsidRPr="002D5FF0">
        <w:rPr>
          <w:rFonts w:ascii="Calibri" w:hAnsi="Calibri" w:cs="Calibri"/>
          <w:sz w:val="22"/>
          <w:szCs w:val="22"/>
        </w:rPr>
        <w:t xml:space="preserve">In principle, such models offer a bridge between single-cell measurements and mechanistic </w:t>
      </w:r>
      <w:r w:rsidR="002D5FF0" w:rsidRPr="002D5FF0">
        <w:rPr>
          <w:rFonts w:ascii="Calibri" w:hAnsi="Calibri" w:cs="Calibri"/>
          <w:sz w:val="22"/>
          <w:szCs w:val="22"/>
        </w:rPr>
        <w:lastRenderedPageBreak/>
        <w:t>explanations of fate decisions.</w:t>
      </w:r>
      <w:r w:rsidR="00A94CC2">
        <w:rPr>
          <w:rFonts w:ascii="Calibri" w:hAnsi="Calibri" w:cs="Calibri"/>
          <w:sz w:val="22"/>
          <w:szCs w:val="22"/>
        </w:rPr>
        <w:t xml:space="preserve"> </w:t>
      </w:r>
      <w:r w:rsidR="008515C4">
        <w:rPr>
          <w:rFonts w:ascii="Calibri" w:hAnsi="Calibri" w:cs="Calibri"/>
          <w:sz w:val="22"/>
          <w:szCs w:val="22"/>
        </w:rPr>
        <w:t>However, t</w:t>
      </w:r>
      <w:r w:rsidR="008515C4" w:rsidRPr="00494F1B">
        <w:rPr>
          <w:rFonts w:ascii="Calibri" w:hAnsi="Calibri" w:cs="Calibri"/>
          <w:sz w:val="22"/>
          <w:szCs w:val="22"/>
        </w:rPr>
        <w:t xml:space="preserve">he degree of causal insight a </w:t>
      </w:r>
      <w:r w:rsidR="008515C4">
        <w:rPr>
          <w:rFonts w:ascii="Calibri" w:hAnsi="Calibri" w:cs="Calibri"/>
          <w:sz w:val="22"/>
          <w:szCs w:val="22"/>
        </w:rPr>
        <w:t>mechanistic model</w:t>
      </w:r>
      <w:r w:rsidR="008515C4" w:rsidRPr="00494F1B">
        <w:rPr>
          <w:rFonts w:ascii="Calibri" w:hAnsi="Calibri" w:cs="Calibri"/>
          <w:sz w:val="22"/>
          <w:szCs w:val="22"/>
        </w:rPr>
        <w:t xml:space="preserve"> provides is constrained by the estimation errors inherent to current inference methods—true causality would require complete and error-free recovery of all regulatory interactions, a level of accuracy not yet achievable by state-of-the-art approaches.</w:t>
      </w:r>
      <w:r w:rsidR="008515C4" w:rsidRPr="00FB1998">
        <w:rPr>
          <w:rFonts w:ascii="Calibri" w:hAnsi="Calibri" w:cs="Calibri"/>
          <w:sz w:val="22"/>
          <w:szCs w:val="22"/>
        </w:rPr>
        <w:t xml:space="preserve"> </w:t>
      </w:r>
      <w:r w:rsidR="008515C4" w:rsidRPr="00494F1B">
        <w:rPr>
          <w:rFonts w:ascii="Calibri" w:hAnsi="Calibri" w:cs="Calibri"/>
          <w:sz w:val="22"/>
          <w:szCs w:val="22"/>
        </w:rPr>
        <w:t>Moreover, static formulations overlook transient regulatory events, while both static and dynamic approaches inflate false positives and miss context-specific links.</w:t>
      </w:r>
      <w:r w:rsidR="00366495">
        <w:rPr>
          <w:rFonts w:ascii="Calibri" w:hAnsi="Calibri" w:cs="Calibri"/>
          <w:sz w:val="22"/>
          <w:szCs w:val="22"/>
        </w:rPr>
        <w:t xml:space="preserve"> </w:t>
      </w:r>
      <w:r w:rsidR="008515C4" w:rsidRPr="00FB0275">
        <w:rPr>
          <w:rFonts w:ascii="Calibri" w:hAnsi="Calibri" w:cs="Calibri"/>
          <w:sz w:val="22"/>
          <w:szCs w:val="22"/>
        </w:rPr>
        <w:t xml:space="preserve">These limitations </w:t>
      </w:r>
      <w:r w:rsidR="00C3757C">
        <w:rPr>
          <w:rFonts w:ascii="Calibri" w:hAnsi="Calibri" w:cs="Calibri"/>
          <w:sz w:val="22"/>
          <w:szCs w:val="22"/>
        </w:rPr>
        <w:t xml:space="preserve">have </w:t>
      </w:r>
      <w:r w:rsidR="008515C4" w:rsidRPr="00FB0275">
        <w:rPr>
          <w:rFonts w:ascii="Calibri" w:hAnsi="Calibri" w:cs="Calibri"/>
          <w:sz w:val="22"/>
          <w:szCs w:val="22"/>
        </w:rPr>
        <w:t>motivate</w:t>
      </w:r>
      <w:r w:rsidR="008515C4">
        <w:rPr>
          <w:rFonts w:ascii="Calibri" w:hAnsi="Calibri" w:cs="Calibri"/>
          <w:sz w:val="22"/>
          <w:szCs w:val="22"/>
        </w:rPr>
        <w:t>d</w:t>
      </w:r>
      <w:r w:rsidR="008515C4" w:rsidRPr="00FB0275">
        <w:rPr>
          <w:rFonts w:ascii="Calibri" w:hAnsi="Calibri" w:cs="Calibri"/>
          <w:sz w:val="22"/>
          <w:szCs w:val="22"/>
        </w:rPr>
        <w:t xml:space="preserve"> hybrid approaches that integrate mechanistic modeling with machine learning</w:t>
      </w:r>
      <w:r w:rsidR="008515C4" w:rsidRPr="00484E40">
        <w:rPr>
          <w:rFonts w:ascii="Calibri" w:hAnsi="Calibri" w:cs="Calibri"/>
          <w:sz w:val="22"/>
          <w:szCs w:val="22"/>
        </w:rPr>
        <w:t xml:space="preserve"> and deep learnin</w:t>
      </w:r>
      <w:r w:rsidR="008515C4">
        <w:rPr>
          <w:rFonts w:ascii="Calibri" w:hAnsi="Calibri" w:cs="Calibri"/>
          <w:sz w:val="22"/>
          <w:szCs w:val="22"/>
        </w:rPr>
        <w:t>g</w:t>
      </w:r>
      <w:r w:rsidR="008515C4" w:rsidRPr="00484E40">
        <w:rPr>
          <w:rFonts w:ascii="Calibri" w:hAnsi="Calibri" w:cs="Calibri"/>
          <w:sz w:val="22"/>
          <w:szCs w:val="22"/>
        </w:rPr>
        <w:fldChar w:fldCharType="begin"/>
      </w:r>
      <w:r w:rsidR="00BD6670">
        <w:rPr>
          <w:rFonts w:ascii="Calibri" w:hAnsi="Calibri" w:cs="Calibri"/>
          <w:sz w:val="22"/>
          <w:szCs w:val="22"/>
        </w:rPr>
        <w:instrText xml:space="preserve"> ADDIN ZOTERO_ITEM CSL_CITATION {"citationID":"L1ldEYhi","properties":{"formattedCitation":"\\super 20\\nosupersub{}","plainCitation":"20","noteIndex":0},"citationItems":[{"id":2698,"uris":["http://zotero.org/groups/6337619/items/RKHULGLM"],"itemData":{"id":2698,"type":"article-journal","abstract":"Abstract\n            Through advanced mechanistic modeling and the generation of large high-quality datasets, machine learning is becoming an integral part of understanding and engineering living systems. Here we show that mechanistic and machine learning models can be combined to enable accurate genotype-to-phenotype predictions. We use a genome-scale model to pinpoint engineering targets, efficient library construction of metabolic pathway designs, and high-throughput biosensor-enabled screening for training diverse machine learning algorithms. From a single data-generation cycle, this enables successful forward engineering of complex aromatic amino acid metabolism in yeast, with the best machine learning-guided design recommendations improving tryptophan titer and productivity by up to 74 and 43%, respectively, compared to the best designs used for algorithm training. Thus, this study highlights the power of combining mechanistic and machine learning models to effectively direct metabolic engineering efforts.","container-title":"Nature Communications","DOI":"10.1038/s41467-020-17910-1","ISSN":"2041-1723","issue":"1","journalAbbreviation":"Nat Commun","language":"en","page":"4880","source":"DOI.org (Crossref)","title":"Combining mechanistic and machine learning models for predictive engineering and optimization of tryptophan metabolism","volume":"11","author":[{"family":"Zhang","given":"Jie"},{"family":"Petersen","given":"Søren D."},{"family":"Radivojevic","given":"Tijana"},{"family":"Ramirez","given":"Andrés"},{"family":"Pérez-Manríquez","given":"Andrés"},{"family":"Abeliuk","given":"Eduardo"},{"family":"Sánchez","given":"Benjamín J."},{"family":"Costello","given":"Zak"},{"family":"Chen","given":"Yu"},{"family":"Fero","given":"Michael J."},{"family":"Martin","given":"Hector Garcia"},{"family":"Nielsen","given":"Jens"},{"family":"Keasling","given":"Jay D."},{"family":"Jensen","given":"Michael K."}],"issued":{"date-parts":[["2020",9,25]]}}}],"schema":"https://github.com/citation-style-language/schema/raw/master/csl-citation.json"} </w:instrText>
      </w:r>
      <w:r w:rsidR="008515C4" w:rsidRPr="00484E40">
        <w:rPr>
          <w:rFonts w:ascii="Calibri" w:hAnsi="Calibri" w:cs="Calibri"/>
          <w:sz w:val="22"/>
          <w:szCs w:val="22"/>
        </w:rPr>
        <w:fldChar w:fldCharType="separate"/>
      </w:r>
      <w:r w:rsidR="00BD6670" w:rsidRPr="00BD6670">
        <w:rPr>
          <w:rFonts w:ascii="Calibri" w:eastAsiaTheme="minorHAnsi" w:hAnsi="Calibri" w:cs="Calibri"/>
          <w:sz w:val="22"/>
          <w:vertAlign w:val="superscript"/>
          <w14:ligatures w14:val="standardContextual"/>
        </w:rPr>
        <w:t>20</w:t>
      </w:r>
      <w:r w:rsidR="008515C4" w:rsidRPr="00484E40">
        <w:rPr>
          <w:rFonts w:ascii="Calibri" w:hAnsi="Calibri" w:cs="Calibri"/>
          <w:sz w:val="22"/>
          <w:szCs w:val="22"/>
        </w:rPr>
        <w:fldChar w:fldCharType="end"/>
      </w:r>
      <w:r w:rsidR="008515C4" w:rsidRPr="00FB0275">
        <w:rPr>
          <w:rFonts w:ascii="Calibri" w:hAnsi="Calibri" w:cs="Calibri"/>
          <w:sz w:val="22"/>
          <w:szCs w:val="22"/>
        </w:rPr>
        <w:t xml:space="preserve">. </w:t>
      </w:r>
      <w:r w:rsidR="008515C4">
        <w:rPr>
          <w:rFonts w:ascii="Calibri" w:hAnsi="Calibri" w:cs="Calibri"/>
          <w:sz w:val="22"/>
          <w:szCs w:val="22"/>
        </w:rPr>
        <w:t>For instance, r</w:t>
      </w:r>
      <w:r w:rsidR="008515C4" w:rsidRPr="00FB0275">
        <w:rPr>
          <w:rFonts w:ascii="Calibri" w:hAnsi="Calibri" w:cs="Calibri"/>
          <w:sz w:val="22"/>
          <w:szCs w:val="22"/>
        </w:rPr>
        <w:t xml:space="preserve">ecent work has </w:t>
      </w:r>
      <w:r w:rsidR="004C6E32" w:rsidRPr="004C6E32">
        <w:rPr>
          <w:rFonts w:ascii="Calibri" w:hAnsi="Calibri" w:cs="Calibri"/>
          <w:sz w:val="22"/>
          <w:szCs w:val="22"/>
        </w:rPr>
        <w:t xml:space="preserve">combined learned embeddings of high-dimensional cytokine dynamics with mechanistic frameworks to uncover governing </w:t>
      </w:r>
      <w:r w:rsidR="00210342">
        <w:rPr>
          <w:rFonts w:ascii="Calibri" w:hAnsi="Calibri" w:cs="Calibri"/>
          <w:sz w:val="22"/>
          <w:szCs w:val="22"/>
        </w:rPr>
        <w:t>mechanism</w:t>
      </w:r>
      <w:r w:rsidR="004C6E32" w:rsidRPr="004C6E32">
        <w:rPr>
          <w:rFonts w:ascii="Calibri" w:hAnsi="Calibri" w:cs="Calibri"/>
          <w:sz w:val="22"/>
          <w:szCs w:val="22"/>
        </w:rPr>
        <w:t xml:space="preserve"> of T cell activation,</w:t>
      </w:r>
      <w:r w:rsidR="00151BD0">
        <w:rPr>
          <w:rFonts w:ascii="Calibri" w:hAnsi="Calibri" w:cs="Calibri"/>
          <w:sz w:val="22"/>
          <w:szCs w:val="22"/>
        </w:rPr>
        <w:t xml:space="preserve"> </w:t>
      </w:r>
      <w:r w:rsidR="00151BD0" w:rsidRPr="00151BD0">
        <w:rPr>
          <w:rFonts w:ascii="Calibri" w:hAnsi="Calibri" w:cs="Calibri"/>
          <w:sz w:val="22"/>
          <w:szCs w:val="22"/>
        </w:rPr>
        <w:t xml:space="preserve">illustrating how data-driven representations can be reconciled with biological </w:t>
      </w:r>
      <w:r w:rsidR="00151BD0" w:rsidRPr="00C218F9">
        <w:rPr>
          <w:rFonts w:ascii="Calibri" w:hAnsi="Calibri" w:cs="Calibri"/>
          <w:sz w:val="22"/>
          <w:szCs w:val="22"/>
        </w:rPr>
        <w:t>theory</w:t>
      </w:r>
      <w:r w:rsidR="008515C4" w:rsidRPr="00C218F9">
        <w:rPr>
          <w:rFonts w:ascii="Calibri" w:hAnsi="Calibri" w:cs="Calibri"/>
        </w:rPr>
        <w:fldChar w:fldCharType="begin"/>
      </w:r>
      <w:r w:rsidR="00BD6670" w:rsidRPr="00C218F9">
        <w:rPr>
          <w:rFonts w:ascii="Calibri" w:hAnsi="Calibri" w:cs="Calibri"/>
        </w:rPr>
        <w:instrText xml:space="preserve"> ADDIN ZOTERO_ITEM CSL_CITATION {"citationID":"1pJxRS40","properties":{"formattedCitation":"\\super 21\\nosupersub{}","plainCitation":"21","noteIndex":0},"citationItems":[{"id":2699,"uris":["http://zotero.org/groups/6337619/items/TA55MTBN"],"itemData":{"id":2699,"type":"article-journal","abstract":"Systems immunology lacks a framework with which to derive theoretical understanding from high-dimensional datasets. We combined a robotic platform with machine learning to experimentally measure and theoretically model CD8\n              +\n              T cell activation. High-dimensional cytokine dynamics could be compressed onto a low-dimensional latent space in an antigen-specific manner (so-called “antigen encoding”). We used antigen encoding to model and reconstruct patterns of T cell immune activation. The model delineated six classes of antigens eliciting distinct T cell responses. We generalized antigen encoding to multiple immune settings, including drug perturbations and activation of chimeric antigen receptor T cells. Such universal antigen encoding for T cell activation may enable further modeling of immune responses and their rational manipulation to optimize immunotherapies.\n            \n          , \n            How T cells respond to antigens\n            \n              Although they are important tools in immunotherapy, we still have an incomplete understanding of how T cells respond to antigens in different temporal and molecular contexts. Achar\n              et al\n              . combined robotic sampling of mouse and human T cell responses over time with machine learning and modeling to gain insights into how T cells process information derived from the particular antigens to which they are exposed (see the Perspective by Nourmohammad). The analysis showed that patterns of cytokine release carried information about the type of antigen encountered and distinguished six distinct cellular responses rather than the three types usually recognized. Such understanding is likely to enhance strategies for immunotherapies that rely on altered and designed T cell responses. —LBR\n            \n          , \n            Experiments, machine learning, and modeling provide insights into how antigen characteristics translate into T cell responses.","container-title":"Science","DOI":"10.1126/science.abl5311","ISSN":"0036-8075, 1095-9203","issue":"6595","journalAbbreviation":"Science","language":"en","page":"880-884","source":"DOI.org (Crossref)","title":"Universal antigen encoding of T cell activation from high-dimensional cytokine dynamics","volume":"376","author":[{"family":"Achar","given":"Sooraj R."},{"family":"Bourassa","given":"François X. P."},{"family":"Rademaker","given":"Thomas J."},{"family":"Lee","given":"Angela"},{"family":"Kondo","given":"Taisuke"},{"family":"Salazar-Cavazos","given":"Emanuel"},{"family":"Davies","given":"John S."},{"family":"Taylor","given":"Naomi"},{"family":"François","given":"Paul"},{"family":"Altan-Bonnet","given":"Grégoire"}],"issued":{"date-parts":[["2022",5,20]]}}}],"schema":"https://github.com/citation-style-language/schema/raw/master/csl-citation.json"} </w:instrText>
      </w:r>
      <w:r w:rsidR="008515C4" w:rsidRPr="00C218F9">
        <w:rPr>
          <w:rFonts w:ascii="Calibri" w:hAnsi="Calibri" w:cs="Calibri"/>
        </w:rPr>
        <w:fldChar w:fldCharType="separate"/>
      </w:r>
      <w:r w:rsidR="00BD6670" w:rsidRPr="00C218F9">
        <w:rPr>
          <w:rFonts w:ascii="Calibri" w:eastAsiaTheme="minorHAnsi" w:hAnsi="Calibri" w:cs="Calibri"/>
          <w:vertAlign w:val="superscript"/>
          <w14:ligatures w14:val="standardContextual"/>
        </w:rPr>
        <w:t>21</w:t>
      </w:r>
      <w:r w:rsidR="008515C4" w:rsidRPr="00C218F9">
        <w:rPr>
          <w:rFonts w:ascii="Calibri" w:hAnsi="Calibri" w:cs="Calibri"/>
        </w:rPr>
        <w:fldChar w:fldCharType="end"/>
      </w:r>
      <w:r w:rsidR="008515C4" w:rsidRPr="00C218F9">
        <w:rPr>
          <w:rFonts w:ascii="Calibri" w:hAnsi="Calibri" w:cs="Calibri"/>
        </w:rPr>
        <w:t>.</w:t>
      </w:r>
      <w:r w:rsidR="00151BD0">
        <w:t xml:space="preserve"> </w:t>
      </w:r>
      <w:r w:rsidR="008515C4">
        <w:rPr>
          <w:rFonts w:ascii="Calibri" w:eastAsia="Arial" w:hAnsi="Calibri" w:cs="Calibri"/>
          <w:color w:val="000000" w:themeColor="text1"/>
          <w:sz w:val="22"/>
          <w:szCs w:val="22"/>
        </w:rPr>
        <w:t>However, despite such progress,</w:t>
      </w:r>
      <w:r w:rsidR="008515C4" w:rsidRPr="0059625A">
        <w:rPr>
          <w:rFonts w:ascii="Calibri" w:eastAsia="Arial" w:hAnsi="Calibri" w:cs="Calibri"/>
          <w:color w:val="000000" w:themeColor="text1"/>
          <w:sz w:val="22"/>
          <w:szCs w:val="22"/>
        </w:rPr>
        <w:t xml:space="preserve"> systems </w:t>
      </w:r>
      <w:r w:rsidR="008515C4">
        <w:rPr>
          <w:rFonts w:ascii="Calibri" w:eastAsia="Arial" w:hAnsi="Calibri" w:cs="Calibri"/>
          <w:color w:val="000000" w:themeColor="text1"/>
          <w:sz w:val="22"/>
          <w:szCs w:val="22"/>
        </w:rPr>
        <w:t>biology</w:t>
      </w:r>
      <w:r w:rsidR="008515C4" w:rsidRPr="0059625A">
        <w:rPr>
          <w:rFonts w:ascii="Calibri" w:eastAsia="Arial" w:hAnsi="Calibri" w:cs="Calibri"/>
          <w:color w:val="000000" w:themeColor="text1"/>
          <w:sz w:val="22"/>
          <w:szCs w:val="22"/>
        </w:rPr>
        <w:t xml:space="preserve"> lacks a coherent framework where </w:t>
      </w:r>
      <w:r w:rsidR="005264FC" w:rsidRPr="005264FC">
        <w:rPr>
          <w:rFonts w:ascii="Calibri" w:eastAsia="Arial" w:hAnsi="Calibri" w:cs="Calibri"/>
          <w:color w:val="000000" w:themeColor="text1"/>
          <w:sz w:val="22"/>
          <w:szCs w:val="22"/>
        </w:rPr>
        <w:t xml:space="preserve">mechanistically modeled </w:t>
      </w:r>
      <w:r w:rsidR="008515C4" w:rsidRPr="0059625A">
        <w:rPr>
          <w:rFonts w:ascii="Calibri" w:eastAsia="Arial" w:hAnsi="Calibri" w:cs="Calibri"/>
          <w:color w:val="000000" w:themeColor="text1"/>
          <w:sz w:val="22"/>
          <w:szCs w:val="22"/>
        </w:rPr>
        <w:t xml:space="preserve">genes, transcription factors, and </w:t>
      </w:r>
      <w:r w:rsidR="005264FC">
        <w:rPr>
          <w:rFonts w:ascii="Calibri" w:eastAsia="Arial" w:hAnsi="Calibri" w:cs="Calibri"/>
          <w:color w:val="000000" w:themeColor="text1"/>
          <w:sz w:val="22"/>
          <w:szCs w:val="22"/>
        </w:rPr>
        <w:t xml:space="preserve">their </w:t>
      </w:r>
      <w:r w:rsidR="008515C4" w:rsidRPr="0059625A">
        <w:rPr>
          <w:rFonts w:ascii="Calibri" w:eastAsia="Arial" w:hAnsi="Calibri" w:cs="Calibri"/>
          <w:color w:val="000000" w:themeColor="text1"/>
          <w:sz w:val="22"/>
          <w:szCs w:val="22"/>
        </w:rPr>
        <w:t xml:space="preserve">interactions </w:t>
      </w:r>
      <w:r w:rsidR="006A43E8">
        <w:rPr>
          <w:rFonts w:ascii="Calibri" w:eastAsia="Arial" w:hAnsi="Calibri" w:cs="Calibri"/>
          <w:color w:val="000000" w:themeColor="text1"/>
          <w:sz w:val="22"/>
          <w:szCs w:val="22"/>
        </w:rPr>
        <w:t>are</w:t>
      </w:r>
      <w:r w:rsidR="008515C4" w:rsidRPr="0059625A">
        <w:rPr>
          <w:rFonts w:ascii="Calibri" w:eastAsia="Arial" w:hAnsi="Calibri" w:cs="Calibri"/>
          <w:color w:val="000000" w:themeColor="text1"/>
          <w:sz w:val="22"/>
          <w:szCs w:val="22"/>
        </w:rPr>
        <w:t xml:space="preserve"> distilled </w:t>
      </w:r>
      <w:r w:rsidR="006A43E8">
        <w:rPr>
          <w:rFonts w:ascii="Calibri" w:eastAsia="Arial" w:hAnsi="Calibri" w:cs="Calibri"/>
          <w:color w:val="000000" w:themeColor="text1"/>
          <w:sz w:val="22"/>
          <w:szCs w:val="22"/>
        </w:rPr>
        <w:t>in</w:t>
      </w:r>
      <w:r w:rsidR="008515C4" w:rsidRPr="0059625A">
        <w:rPr>
          <w:rFonts w:ascii="Calibri" w:eastAsia="Arial" w:hAnsi="Calibri" w:cs="Calibri"/>
          <w:color w:val="000000" w:themeColor="text1"/>
          <w:sz w:val="22"/>
          <w:szCs w:val="22"/>
        </w:rPr>
        <w:t xml:space="preserve">to </w:t>
      </w:r>
      <w:r w:rsidR="006A43E8">
        <w:rPr>
          <w:rFonts w:ascii="Calibri" w:eastAsia="Arial" w:hAnsi="Calibri" w:cs="Calibri"/>
          <w:color w:val="000000" w:themeColor="text1"/>
          <w:sz w:val="22"/>
          <w:szCs w:val="22"/>
        </w:rPr>
        <w:t>compact</w:t>
      </w:r>
      <w:r w:rsidR="001B16C3">
        <w:rPr>
          <w:rFonts w:ascii="Calibri" w:eastAsia="Arial" w:hAnsi="Calibri" w:cs="Calibri"/>
          <w:color w:val="000000" w:themeColor="text1"/>
          <w:sz w:val="22"/>
          <w:szCs w:val="22"/>
        </w:rPr>
        <w:t xml:space="preserve"> </w:t>
      </w:r>
      <w:r w:rsidR="008515C4" w:rsidRPr="0059625A">
        <w:rPr>
          <w:rFonts w:ascii="Calibri" w:eastAsia="Arial" w:hAnsi="Calibri" w:cs="Calibri"/>
          <w:color w:val="000000" w:themeColor="text1"/>
          <w:sz w:val="22"/>
          <w:szCs w:val="22"/>
        </w:rPr>
        <w:t>regulatory modules</w:t>
      </w:r>
      <w:r w:rsidR="006A43E8">
        <w:rPr>
          <w:rFonts w:ascii="Calibri" w:eastAsia="Arial" w:hAnsi="Calibri" w:cs="Calibri"/>
          <w:color w:val="000000" w:themeColor="text1"/>
          <w:sz w:val="22"/>
          <w:szCs w:val="22"/>
        </w:rPr>
        <w:t xml:space="preserve"> that are</w:t>
      </w:r>
      <w:r w:rsidR="008515C4" w:rsidRPr="0059625A">
        <w:rPr>
          <w:rFonts w:ascii="Calibri" w:eastAsia="Arial" w:hAnsi="Calibri" w:cs="Calibri"/>
          <w:color w:val="000000" w:themeColor="text1"/>
          <w:sz w:val="22"/>
          <w:szCs w:val="22"/>
        </w:rPr>
        <w:t xml:space="preserve"> functionally constrained to </w:t>
      </w:r>
      <w:r w:rsidR="00C457B2">
        <w:rPr>
          <w:rFonts w:ascii="Calibri" w:eastAsia="Arial" w:hAnsi="Calibri" w:cs="Calibri"/>
          <w:color w:val="000000" w:themeColor="text1"/>
          <w:sz w:val="22"/>
          <w:szCs w:val="22"/>
        </w:rPr>
        <w:t>drive</w:t>
      </w:r>
      <w:r w:rsidR="008515C4" w:rsidRPr="0059625A">
        <w:rPr>
          <w:rFonts w:ascii="Calibri" w:eastAsia="Arial" w:hAnsi="Calibri" w:cs="Calibri"/>
          <w:color w:val="000000" w:themeColor="text1"/>
          <w:sz w:val="22"/>
          <w:szCs w:val="22"/>
        </w:rPr>
        <w:t xml:space="preserve"> lineage </w:t>
      </w:r>
      <w:r w:rsidR="00C457B2">
        <w:rPr>
          <w:rFonts w:ascii="Calibri" w:eastAsia="Arial" w:hAnsi="Calibri" w:cs="Calibri"/>
          <w:color w:val="000000" w:themeColor="text1"/>
          <w:sz w:val="22"/>
          <w:szCs w:val="22"/>
        </w:rPr>
        <w:t>commitment at single-cell resolution</w:t>
      </w:r>
      <w:r w:rsidR="008515C4" w:rsidRPr="0059625A">
        <w:rPr>
          <w:rFonts w:ascii="Calibri" w:eastAsia="Arial" w:hAnsi="Calibri" w:cs="Calibri"/>
          <w:color w:val="000000" w:themeColor="text1"/>
          <w:sz w:val="22"/>
          <w:szCs w:val="22"/>
        </w:rPr>
        <w:t>.</w:t>
      </w:r>
    </w:p>
    <w:p w14:paraId="2F171765" w14:textId="36CAF973" w:rsidR="008515C4" w:rsidRPr="00053981" w:rsidRDefault="008515C4" w:rsidP="008515C4">
      <w:pPr>
        <w:jc w:val="both"/>
        <w:rPr>
          <w:rFonts w:ascii="Calibri" w:hAnsi="Calibri" w:cs="Calibri"/>
        </w:rPr>
      </w:pPr>
      <w:r w:rsidRPr="00686C9F">
        <w:rPr>
          <w:rFonts w:ascii="Calibri" w:hAnsi="Calibri" w:cs="Calibri"/>
        </w:rPr>
        <w:t xml:space="preserve">Here, we introduce </w:t>
      </w:r>
      <w:proofErr w:type="spellStart"/>
      <w:r w:rsidRPr="00686C9F">
        <w:rPr>
          <w:rFonts w:ascii="Calibri" w:hAnsi="Calibri" w:cs="Calibri"/>
        </w:rPr>
        <w:t>FIREFate</w:t>
      </w:r>
      <w:proofErr w:type="spellEnd"/>
      <w:r w:rsidRPr="00686C9F">
        <w:rPr>
          <w:rFonts w:ascii="Calibri" w:hAnsi="Calibri" w:cs="Calibri"/>
        </w:rPr>
        <w:t xml:space="preserve"> (Functional and Interpretable Regulatory Encoding of Fate determination), a conceptual paradigm designed to overcome these limitations by performing two downstream tasks. </w:t>
      </w:r>
      <w:proofErr w:type="spellStart"/>
      <w:r w:rsidRPr="00686C9F">
        <w:rPr>
          <w:rFonts w:ascii="Calibri" w:hAnsi="Calibri" w:cs="Calibri"/>
        </w:rPr>
        <w:t>FIREFate</w:t>
      </w:r>
      <w:proofErr w:type="spellEnd"/>
      <w:r w:rsidRPr="00686C9F">
        <w:rPr>
          <w:rFonts w:ascii="Calibri" w:hAnsi="Calibri" w:cs="Calibri"/>
        </w:rPr>
        <w:t xml:space="preserve"> enables us to delineate the key regulatory modules driving the cell state transitions</w:t>
      </w:r>
      <w:r w:rsidR="0028298E">
        <w:rPr>
          <w:rFonts w:ascii="Calibri" w:hAnsi="Calibri" w:cs="Calibri"/>
        </w:rPr>
        <w:t xml:space="preserve"> </w:t>
      </w:r>
      <w:r w:rsidRPr="00686C9F">
        <w:rPr>
          <w:rFonts w:ascii="Calibri" w:hAnsi="Calibri" w:cs="Calibri"/>
        </w:rPr>
        <w:t xml:space="preserve">by integrating interpretable machine learning models with mechanistic GRN inference, while also determining dynamic TF activity through a GRN-independent formalization that leads to predict cell fate decision. </w:t>
      </w:r>
      <w:r w:rsidR="00226441" w:rsidRPr="0074625C">
        <w:rPr>
          <w:rFonts w:ascii="Calibri" w:hAnsi="Calibri" w:cs="Calibri"/>
        </w:rPr>
        <w:t xml:space="preserve">It leverages interpretable machine learning to infer cellular programs that are necessary and sufficient to distinguish cell populations. Importantly, the </w:t>
      </w:r>
      <w:r w:rsidR="009561A6" w:rsidRPr="0074625C">
        <w:rPr>
          <w:rFonts w:ascii="Calibri" w:hAnsi="Calibri" w:cs="Calibri"/>
        </w:rPr>
        <w:t xml:space="preserve">interpretable machine learning </w:t>
      </w:r>
      <w:r w:rsidR="00226441" w:rsidRPr="0074625C">
        <w:rPr>
          <w:rFonts w:ascii="Calibri" w:hAnsi="Calibri" w:cs="Calibri"/>
        </w:rPr>
        <w:t xml:space="preserve">model goes beyond prediction by providing statistically </w:t>
      </w:r>
      <w:r w:rsidR="003E7C1C">
        <w:rPr>
          <w:rFonts w:ascii="Calibri" w:hAnsi="Calibri" w:cs="Calibri"/>
        </w:rPr>
        <w:t>grounded</w:t>
      </w:r>
      <w:r w:rsidR="00226441" w:rsidRPr="0074625C">
        <w:rPr>
          <w:rFonts w:ascii="Calibri" w:hAnsi="Calibri" w:cs="Calibri"/>
        </w:rPr>
        <w:t xml:space="preserve"> explanations of the response of interest and suggesting potential underlying regulatory mechanisms, while not implying explicit biological causalit</w:t>
      </w:r>
      <w:r w:rsidR="00226441" w:rsidRPr="0097057A">
        <w:rPr>
          <w:rFonts w:ascii="Calibri" w:hAnsi="Calibri" w:cs="Calibri"/>
        </w:rPr>
        <w:t>y.</w:t>
      </w:r>
      <w:r w:rsidR="002D2444" w:rsidRPr="0097057A">
        <w:rPr>
          <w:rFonts w:ascii="Calibri" w:hAnsi="Calibri" w:cs="Calibri"/>
        </w:rPr>
        <w:t xml:space="preserve"> </w:t>
      </w:r>
      <w:proofErr w:type="spellStart"/>
      <w:r w:rsidRPr="0097057A">
        <w:rPr>
          <w:rFonts w:ascii="Calibri" w:hAnsi="Calibri" w:cs="Calibri"/>
        </w:rPr>
        <w:t>FIREFate</w:t>
      </w:r>
      <w:proofErr w:type="spellEnd"/>
      <w:r w:rsidR="00196746" w:rsidRPr="0097057A">
        <w:rPr>
          <w:rFonts w:ascii="Calibri" w:hAnsi="Calibri" w:cs="Calibri"/>
        </w:rPr>
        <w:t xml:space="preserve"> then</w:t>
      </w:r>
      <w:r w:rsidRPr="0097057A">
        <w:rPr>
          <w:rFonts w:ascii="Calibri" w:hAnsi="Calibri" w:cs="Calibri"/>
        </w:rPr>
        <w:t xml:space="preserve"> </w:t>
      </w:r>
      <w:r w:rsidRPr="0097057A">
        <w:rPr>
          <w:rFonts w:ascii="Calibri" w:eastAsia="Times New Roman" w:hAnsi="Calibri" w:cs="Calibri"/>
          <w:lang w:val="en-US"/>
        </w:rPr>
        <w:t xml:space="preserve">encodes </w:t>
      </w:r>
      <w:r w:rsidRPr="0097057A">
        <w:rPr>
          <w:rFonts w:ascii="Calibri" w:hAnsi="Calibri" w:cs="Calibri"/>
        </w:rPr>
        <w:t>th</w:t>
      </w:r>
      <w:r w:rsidR="005154D3">
        <w:rPr>
          <w:rFonts w:ascii="Calibri" w:hAnsi="Calibri" w:cs="Calibri"/>
        </w:rPr>
        <w:t>e</w:t>
      </w:r>
      <w:r w:rsidR="00373C79">
        <w:rPr>
          <w:rFonts w:ascii="Calibri" w:hAnsi="Calibri" w:cs="Calibri"/>
        </w:rPr>
        <w:t>se</w:t>
      </w:r>
      <w:r w:rsidRPr="0097057A">
        <w:rPr>
          <w:rFonts w:ascii="Calibri" w:hAnsi="Calibri" w:cs="Calibri"/>
        </w:rPr>
        <w:t xml:space="preserve"> programs </w:t>
      </w:r>
      <w:r w:rsidR="005154D3">
        <w:rPr>
          <w:rFonts w:ascii="Calibri" w:hAnsi="Calibri" w:cs="Calibri"/>
        </w:rPr>
        <w:t xml:space="preserve">derived from the interpretable machine learning model </w:t>
      </w:r>
      <w:r w:rsidRPr="0097057A">
        <w:rPr>
          <w:rFonts w:ascii="Calibri" w:hAnsi="Calibri" w:cs="Calibri"/>
        </w:rPr>
        <w:t xml:space="preserve">into </w:t>
      </w:r>
      <w:r w:rsidR="00941419" w:rsidRPr="0097057A">
        <w:rPr>
          <w:rFonts w:ascii="Calibri" w:hAnsi="Calibri" w:cs="Calibri"/>
        </w:rPr>
        <w:t>GRNs</w:t>
      </w:r>
      <w:r w:rsidR="00A40CD7">
        <w:rPr>
          <w:rFonts w:ascii="Calibri" w:hAnsi="Calibri" w:cs="Calibri"/>
        </w:rPr>
        <w:t>,</w:t>
      </w:r>
      <w:r w:rsidR="002D2444" w:rsidRPr="0097057A">
        <w:rPr>
          <w:rFonts w:ascii="Calibri" w:hAnsi="Calibri" w:cs="Calibri"/>
        </w:rPr>
        <w:t xml:space="preserve"> </w:t>
      </w:r>
      <w:r w:rsidR="00A40CD7">
        <w:rPr>
          <w:rFonts w:ascii="Calibri" w:hAnsi="Calibri" w:cs="Calibri"/>
        </w:rPr>
        <w:t>which</w:t>
      </w:r>
      <w:r w:rsidR="002D2444" w:rsidRPr="0097057A">
        <w:rPr>
          <w:rFonts w:ascii="Calibri" w:hAnsi="Calibri" w:cs="Calibri"/>
        </w:rPr>
        <w:t xml:space="preserve"> provide a causal representation of transcriptional regulation</w:t>
      </w:r>
      <w:r w:rsidR="00D95F67">
        <w:rPr>
          <w:rFonts w:ascii="Calibri" w:hAnsi="Calibri" w:cs="Calibri"/>
        </w:rPr>
        <w:t>,</w:t>
      </w:r>
      <w:r w:rsidR="00CB0E86">
        <w:rPr>
          <w:rFonts w:ascii="Calibri" w:hAnsi="Calibri" w:cs="Calibri"/>
        </w:rPr>
        <w:t xml:space="preserve"> and </w:t>
      </w:r>
      <w:r w:rsidR="00CB0E86" w:rsidRPr="0097057A">
        <w:rPr>
          <w:rFonts w:ascii="Calibri" w:hAnsi="Calibri" w:cs="Calibri"/>
        </w:rPr>
        <w:t>highlight</w:t>
      </w:r>
      <w:r w:rsidR="0011048D">
        <w:rPr>
          <w:rFonts w:ascii="Calibri" w:hAnsi="Calibri" w:cs="Calibri"/>
        </w:rPr>
        <w:t>s</w:t>
      </w:r>
      <w:r w:rsidR="00CB0E86" w:rsidRPr="0097057A">
        <w:rPr>
          <w:rFonts w:ascii="Calibri" w:hAnsi="Calibri" w:cs="Calibri"/>
        </w:rPr>
        <w:t xml:space="preserve"> the most relevant and distinctive regulatory circuits that distinguish cell</w:t>
      </w:r>
      <w:r w:rsidR="00CB0E86">
        <w:rPr>
          <w:rFonts w:ascii="Calibri" w:hAnsi="Calibri" w:cs="Calibri"/>
        </w:rPr>
        <w:t xml:space="preserve"> </w:t>
      </w:r>
      <w:r w:rsidR="00D95F67">
        <w:rPr>
          <w:rFonts w:ascii="Calibri" w:hAnsi="Calibri" w:cs="Calibri"/>
        </w:rPr>
        <w:t>states</w:t>
      </w:r>
      <w:r w:rsidR="00CB0E86">
        <w:rPr>
          <w:rFonts w:ascii="Calibri" w:hAnsi="Calibri" w:cs="Calibri"/>
        </w:rPr>
        <w:t xml:space="preserve">. </w:t>
      </w:r>
      <w:r w:rsidR="00131C57" w:rsidRPr="0097057A">
        <w:rPr>
          <w:rFonts w:ascii="Calibri" w:hAnsi="Calibri" w:cs="Calibri"/>
        </w:rPr>
        <w:t>By</w:t>
      </w:r>
      <w:r w:rsidR="00385673" w:rsidRPr="0097057A">
        <w:rPr>
          <w:rFonts w:ascii="Calibri" w:hAnsi="Calibri" w:cs="Calibri"/>
        </w:rPr>
        <w:t xml:space="preserve"> integrat</w:t>
      </w:r>
      <w:r w:rsidR="00131C57" w:rsidRPr="0097057A">
        <w:rPr>
          <w:rFonts w:ascii="Calibri" w:hAnsi="Calibri" w:cs="Calibri"/>
        </w:rPr>
        <w:t>ing</w:t>
      </w:r>
      <w:r w:rsidR="00385673" w:rsidRPr="0097057A">
        <w:rPr>
          <w:rFonts w:ascii="Calibri" w:hAnsi="Calibri" w:cs="Calibri"/>
        </w:rPr>
        <w:t xml:space="preserve"> </w:t>
      </w:r>
      <w:r w:rsidR="00AF6669" w:rsidRPr="0097057A">
        <w:rPr>
          <w:rFonts w:ascii="Calibri" w:hAnsi="Calibri" w:cs="Calibri"/>
        </w:rPr>
        <w:t>interpretable machine learning progr</w:t>
      </w:r>
      <w:r w:rsidR="00904877" w:rsidRPr="0097057A">
        <w:rPr>
          <w:rFonts w:ascii="Calibri" w:hAnsi="Calibri" w:cs="Calibri"/>
        </w:rPr>
        <w:t>ams with GRNs</w:t>
      </w:r>
      <w:r w:rsidR="006A489F">
        <w:rPr>
          <w:rFonts w:ascii="Calibri" w:hAnsi="Calibri" w:cs="Calibri"/>
        </w:rPr>
        <w:t xml:space="preserve"> derived from multiple </w:t>
      </w:r>
      <w:r w:rsidR="009E5728">
        <w:rPr>
          <w:rFonts w:ascii="Calibri" w:hAnsi="Calibri" w:cs="Calibri"/>
        </w:rPr>
        <w:t xml:space="preserve">inference </w:t>
      </w:r>
      <w:r w:rsidR="006A489F">
        <w:rPr>
          <w:rFonts w:ascii="Calibri" w:hAnsi="Calibri" w:cs="Calibri"/>
        </w:rPr>
        <w:t>methods</w:t>
      </w:r>
      <w:r w:rsidR="0018730B" w:rsidRPr="0097057A">
        <w:rPr>
          <w:rFonts w:ascii="Calibri" w:hAnsi="Calibri" w:cs="Calibri"/>
        </w:rPr>
        <w:t>,</w:t>
      </w:r>
      <w:r w:rsidR="00904877" w:rsidRPr="0097057A">
        <w:rPr>
          <w:rFonts w:ascii="Calibri" w:hAnsi="Calibri" w:cs="Calibri"/>
        </w:rPr>
        <w:t xml:space="preserve"> </w:t>
      </w:r>
      <w:proofErr w:type="spellStart"/>
      <w:r w:rsidR="009E5728" w:rsidRPr="0097057A">
        <w:rPr>
          <w:rFonts w:ascii="Calibri" w:hAnsi="Calibri" w:cs="Calibri"/>
        </w:rPr>
        <w:t>FIREFate</w:t>
      </w:r>
      <w:proofErr w:type="spellEnd"/>
      <w:r w:rsidR="009E5728" w:rsidRPr="009E5728">
        <w:rPr>
          <w:rFonts w:ascii="Calibri" w:hAnsi="Calibri" w:cs="Calibri"/>
        </w:rPr>
        <w:t xml:space="preserve"> </w:t>
      </w:r>
      <w:r w:rsidR="009E5728" w:rsidRPr="00686C9F">
        <w:rPr>
          <w:rFonts w:ascii="Calibri" w:hAnsi="Calibri" w:cs="Calibri"/>
        </w:rPr>
        <w:t>extend</w:t>
      </w:r>
      <w:r w:rsidR="009E5728">
        <w:rPr>
          <w:rFonts w:ascii="Calibri" w:hAnsi="Calibri" w:cs="Calibri"/>
        </w:rPr>
        <w:t>s</w:t>
      </w:r>
      <w:r w:rsidR="009E5728" w:rsidRPr="00686C9F">
        <w:rPr>
          <w:rFonts w:ascii="Calibri" w:hAnsi="Calibri" w:cs="Calibri"/>
        </w:rPr>
        <w:t xml:space="preserve"> beyond differential expression signatures </w:t>
      </w:r>
      <w:r w:rsidR="009E5728" w:rsidRPr="00D30736">
        <w:rPr>
          <w:rFonts w:ascii="Calibri" w:hAnsi="Calibri" w:cs="Calibri"/>
        </w:rPr>
        <w:t xml:space="preserve">and </w:t>
      </w:r>
      <w:r w:rsidR="009E5728">
        <w:rPr>
          <w:rFonts w:ascii="Calibri" w:hAnsi="Calibri" w:cs="Calibri"/>
        </w:rPr>
        <w:t>enables</w:t>
      </w:r>
      <w:r w:rsidR="009E5728" w:rsidRPr="00D30736">
        <w:rPr>
          <w:rFonts w:ascii="Calibri" w:hAnsi="Calibri" w:cs="Calibri"/>
        </w:rPr>
        <w:t xml:space="preserve"> prioritization of </w:t>
      </w:r>
      <w:r w:rsidR="00106FBC">
        <w:rPr>
          <w:rFonts w:ascii="Calibri" w:hAnsi="Calibri" w:cs="Calibri"/>
        </w:rPr>
        <w:t xml:space="preserve">key </w:t>
      </w:r>
      <w:r w:rsidR="009E5728" w:rsidRPr="00D30736">
        <w:rPr>
          <w:rFonts w:ascii="Calibri" w:hAnsi="Calibri" w:cs="Calibri"/>
        </w:rPr>
        <w:t xml:space="preserve">GRN modules and </w:t>
      </w:r>
      <w:r w:rsidR="009E5728">
        <w:rPr>
          <w:rFonts w:ascii="Calibri" w:hAnsi="Calibri" w:cs="Calibri"/>
        </w:rPr>
        <w:t xml:space="preserve">individual </w:t>
      </w:r>
      <w:r w:rsidR="00106FBC">
        <w:rPr>
          <w:rFonts w:ascii="Calibri" w:hAnsi="Calibri" w:cs="Calibri"/>
        </w:rPr>
        <w:t xml:space="preserve">regulatory </w:t>
      </w:r>
      <w:r w:rsidR="009E5728" w:rsidRPr="00D30736">
        <w:rPr>
          <w:rFonts w:ascii="Calibri" w:hAnsi="Calibri" w:cs="Calibri"/>
        </w:rPr>
        <w:t xml:space="preserve">components for experimental </w:t>
      </w:r>
      <w:r w:rsidR="00BB01ED">
        <w:rPr>
          <w:rFonts w:ascii="Calibri" w:hAnsi="Calibri" w:cs="Calibri"/>
        </w:rPr>
        <w:t>validation</w:t>
      </w:r>
      <w:r w:rsidR="009E5728" w:rsidRPr="00D30736">
        <w:rPr>
          <w:rFonts w:ascii="Calibri" w:hAnsi="Calibri" w:cs="Calibri"/>
        </w:rPr>
        <w:t>.</w:t>
      </w:r>
      <w:r w:rsidR="009E5728" w:rsidRPr="00686C9F">
        <w:rPr>
          <w:rFonts w:ascii="Calibri" w:hAnsi="Calibri" w:cs="Calibri"/>
        </w:rPr>
        <w:t xml:space="preserve"> </w:t>
      </w:r>
      <w:r w:rsidRPr="00686C9F">
        <w:rPr>
          <w:rFonts w:ascii="Calibri" w:hAnsi="Calibri" w:cs="Calibri"/>
        </w:rPr>
        <w:t xml:space="preserve">Orthogonally, </w:t>
      </w:r>
      <w:proofErr w:type="spellStart"/>
      <w:r w:rsidRPr="00686C9F">
        <w:rPr>
          <w:rFonts w:ascii="Calibri" w:hAnsi="Calibri" w:cs="Calibri"/>
        </w:rPr>
        <w:t>FIREFate</w:t>
      </w:r>
      <w:proofErr w:type="spellEnd"/>
      <w:r w:rsidRPr="00686C9F">
        <w:rPr>
          <w:rFonts w:ascii="Calibri" w:hAnsi="Calibri" w:cs="Calibri"/>
        </w:rPr>
        <w:t xml:space="preserve"> provides a GRN-independent formalization by transferring the cellular programs </w:t>
      </w:r>
      <w:r w:rsidRPr="00FB0275">
        <w:rPr>
          <w:rFonts w:ascii="Calibri" w:eastAsia="Calibri" w:hAnsi="Calibri" w:cs="Calibri"/>
          <w:color w:val="000000" w:themeColor="text1"/>
          <w:lang w:val="en-US"/>
        </w:rPr>
        <w:t>inferred from TF-perturbation data</w:t>
      </w:r>
      <w:r w:rsidRPr="00686C9F">
        <w:rPr>
          <w:rFonts w:ascii="Calibri" w:hAnsi="Calibri" w:cs="Calibri"/>
        </w:rPr>
        <w:t xml:space="preserve"> to resolve dynamic TF activity, enabling prediction of fate bias in uncommitted cells and uncovering latent</w:t>
      </w:r>
      <w:r w:rsidR="00936230">
        <w:rPr>
          <w:rFonts w:ascii="Calibri" w:hAnsi="Calibri" w:cs="Calibri"/>
        </w:rPr>
        <w:t xml:space="preserve"> </w:t>
      </w:r>
      <w:r w:rsidR="00936230" w:rsidRPr="00936230">
        <w:rPr>
          <w:rFonts w:ascii="Calibri" w:hAnsi="Calibri" w:cs="Calibri"/>
        </w:rPr>
        <w:t>architectures that emerge prior to clear phenotypic divergence</w:t>
      </w:r>
      <w:r w:rsidRPr="00686C9F">
        <w:rPr>
          <w:rFonts w:ascii="Calibri" w:hAnsi="Calibri" w:cs="Calibri"/>
        </w:rPr>
        <w:t xml:space="preserve">. Applied to the B-cell PB–GC cell bifurcation and to T-cell exhaustion, </w:t>
      </w:r>
      <w:proofErr w:type="spellStart"/>
      <w:r w:rsidRPr="00686C9F">
        <w:rPr>
          <w:rFonts w:ascii="Calibri" w:hAnsi="Calibri" w:cs="Calibri"/>
        </w:rPr>
        <w:t>FIREFate</w:t>
      </w:r>
      <w:proofErr w:type="spellEnd"/>
      <w:r w:rsidRPr="00686C9F">
        <w:rPr>
          <w:rFonts w:ascii="Calibri" w:hAnsi="Calibri" w:cs="Calibri"/>
        </w:rPr>
        <w:t xml:space="preserve"> uncovers key sets of canonical regulators without prior knowledge </w:t>
      </w:r>
      <w:r w:rsidRPr="3FC5F5E9">
        <w:rPr>
          <w:rFonts w:ascii="Calibri" w:hAnsi="Calibri" w:cs="Calibri"/>
        </w:rPr>
        <w:t>identifies</w:t>
      </w:r>
      <w:r w:rsidRPr="00686C9F">
        <w:rPr>
          <w:rFonts w:ascii="Calibri" w:hAnsi="Calibri" w:cs="Calibri"/>
        </w:rPr>
        <w:t xml:space="preserve"> previously unrecognized drivers and consistently outperforms state-of-the-art methods in regulatory specificity and sensitivity.</w:t>
      </w:r>
    </w:p>
    <w:p w14:paraId="23E9531D" w14:textId="77777777" w:rsidR="008515C4" w:rsidRPr="009658C3" w:rsidRDefault="008515C4" w:rsidP="008515C4">
      <w:pPr>
        <w:pStyle w:val="Heading2"/>
        <w:pBdr>
          <w:bottom w:val="single" w:sz="4" w:space="1" w:color="auto"/>
        </w:pBdr>
        <w:jc w:val="both"/>
        <w:rPr>
          <w:rFonts w:ascii="Calibri" w:hAnsi="Calibri" w:cs="Calibri"/>
          <w:b/>
          <w:bCs/>
          <w:color w:val="000000" w:themeColor="text1"/>
          <w:sz w:val="28"/>
          <w:szCs w:val="28"/>
        </w:rPr>
      </w:pPr>
      <w:r w:rsidRPr="009658C3">
        <w:rPr>
          <w:rFonts w:ascii="Calibri" w:hAnsi="Calibri" w:cs="Calibri"/>
          <w:b/>
          <w:bCs/>
          <w:color w:val="000000" w:themeColor="text1"/>
          <w:sz w:val="28"/>
          <w:szCs w:val="28"/>
        </w:rPr>
        <w:t>RESULTS</w:t>
      </w:r>
    </w:p>
    <w:p w14:paraId="492635B5" w14:textId="77777777" w:rsidR="008515C4" w:rsidRPr="009658C3" w:rsidRDefault="008515C4" w:rsidP="008515C4">
      <w:pPr>
        <w:spacing w:before="320" w:after="80"/>
        <w:jc w:val="both"/>
        <w:rPr>
          <w:rFonts w:ascii="Calibri" w:hAnsi="Calibri" w:cs="Calibri"/>
          <w:b/>
          <w:color w:val="000000" w:themeColor="text1"/>
          <w:sz w:val="24"/>
          <w:szCs w:val="24"/>
        </w:rPr>
      </w:pPr>
      <w:r w:rsidRPr="009658C3">
        <w:rPr>
          <w:rFonts w:ascii="Calibri" w:hAnsi="Calibri" w:cs="Calibri"/>
          <w:b/>
          <w:color w:val="000000" w:themeColor="text1"/>
          <w:sz w:val="24"/>
          <w:szCs w:val="24"/>
        </w:rPr>
        <w:t>Integrative Module for linking Interpretable Cellular programs with Gene Regulatory Networks Uncovers Regulons Driving Cell Fate Decisions</w:t>
      </w:r>
    </w:p>
    <w:p w14:paraId="189FB54C" w14:textId="4EB5A752" w:rsidR="008515C4" w:rsidRPr="004843ED" w:rsidRDefault="008515C4" w:rsidP="008515C4">
      <w:pPr>
        <w:spacing w:before="240" w:after="240"/>
        <w:jc w:val="both"/>
        <w:rPr>
          <w:rFonts w:ascii="Calibri" w:hAnsi="Calibri" w:cs="Calibri"/>
          <w:color w:val="000000" w:themeColor="text1"/>
        </w:rPr>
      </w:pPr>
      <w:r w:rsidRPr="004843ED">
        <w:rPr>
          <w:rFonts w:ascii="Calibri" w:hAnsi="Calibri" w:cs="Calibri"/>
          <w:color w:val="000000" w:themeColor="text1"/>
          <w:lang w:val="en-US"/>
        </w:rPr>
        <w:t>Cell fate</w:t>
      </w:r>
      <w:r w:rsidRPr="004843ED">
        <w:rPr>
          <w:rFonts w:ascii="Calibri" w:hAnsi="Calibri" w:cs="Calibri"/>
          <w:color w:val="000000" w:themeColor="text1"/>
        </w:rPr>
        <w:t xml:space="preserve"> determination</w:t>
      </w:r>
      <w:r w:rsidRPr="004843ED">
        <w:rPr>
          <w:rFonts w:ascii="Calibri" w:hAnsi="Calibri" w:cs="Calibri"/>
          <w:color w:val="000000" w:themeColor="text1"/>
          <w:lang w:val="en-US"/>
        </w:rPr>
        <w:t xml:space="preserve"> is governed by epigenetic features shaped through cell-autonomous logic and external environment</w:t>
      </w:r>
      <w:r>
        <w:rPr>
          <w:rFonts w:ascii="Calibri" w:hAnsi="Calibri" w:cs="Calibri"/>
          <w:color w:val="000000" w:themeColor="text1"/>
          <w:lang w:val="en-US"/>
        </w:rPr>
        <w:fldChar w:fldCharType="begin"/>
      </w:r>
      <w:r>
        <w:rPr>
          <w:rFonts w:ascii="Calibri" w:hAnsi="Calibri" w:cs="Calibri"/>
          <w:color w:val="000000" w:themeColor="text1"/>
          <w:lang w:val="en-US"/>
        </w:rPr>
        <w:instrText xml:space="preserve"> ADDIN ZOTERO_ITEM CSL_CITATION {"citationID":"yotiWT4F","properties":{"formattedCitation":"\\super 2\\nosupersub{}","plainCitation":"2","noteIndex":0},"citationItems":[{"id":2702,"uris":["http://zotero.org/groups/6337619/items/9MPNSVQ3"],"itemData":{"id":2702,"type":"article-journal","container-title":"Nature Reviews Genetics","DOI":"10.1038/nrg.2016.98","ISSN":"1471-0056, 1471-0064","issue":"11","journalAbbreviation":"Nat Rev Genet","language":"en","page":"693-703","source":"DOI.org (Crossref)","title":"Transition states and cell fate decisions in epigenetic landscapes","volume":"17","author":[{"family":"Moris","given":"Naomi"},{"family":"Pina","given":"Cristina"},{"family":"Arias","given":"Alfonso Martinez"}],"issued":{"date-parts":[["2016",11]]}}}],"schema":"https://github.com/citation-style-language/schema/raw/master/csl-citation.json"} </w:instrText>
      </w:r>
      <w:r>
        <w:rPr>
          <w:rFonts w:ascii="Calibri" w:hAnsi="Calibri" w:cs="Calibri"/>
          <w:color w:val="000000" w:themeColor="text1"/>
          <w:lang w:val="en-US"/>
        </w:rPr>
        <w:fldChar w:fldCharType="separate"/>
      </w:r>
      <w:r w:rsidRPr="005D4371">
        <w:rPr>
          <w:rFonts w:ascii="Calibri" w:hAnsi="Calibri" w:cs="Calibri"/>
          <w:color w:val="000000"/>
          <w:szCs w:val="24"/>
          <w:vertAlign w:val="superscript"/>
          <w:lang w:val="en-US"/>
        </w:rPr>
        <w:t>2</w:t>
      </w:r>
      <w:r>
        <w:rPr>
          <w:rFonts w:ascii="Calibri" w:hAnsi="Calibri" w:cs="Calibri"/>
          <w:color w:val="000000" w:themeColor="text1"/>
          <w:lang w:val="en-US"/>
        </w:rPr>
        <w:fldChar w:fldCharType="end"/>
      </w:r>
      <w:r w:rsidRPr="004843ED">
        <w:rPr>
          <w:rFonts w:ascii="Calibri" w:hAnsi="Calibri" w:cs="Calibri"/>
          <w:color w:val="000000" w:themeColor="text1"/>
          <w:lang w:val="en-US"/>
        </w:rPr>
        <w:t>.</w:t>
      </w:r>
      <w:r w:rsidRPr="004843ED">
        <w:rPr>
          <w:rFonts w:ascii="Calibri" w:eastAsia="Calibri" w:hAnsi="Calibri" w:cs="Calibri"/>
          <w:color w:val="000000" w:themeColor="text1"/>
          <w:lang w:val="en-US"/>
        </w:rPr>
        <w:t xml:space="preserve"> </w:t>
      </w:r>
      <w:r w:rsidRPr="004843ED">
        <w:rPr>
          <w:rFonts w:ascii="Calibri" w:hAnsi="Calibri" w:cs="Calibri"/>
          <w:color w:val="000000" w:themeColor="text1"/>
        </w:rPr>
        <w:t xml:space="preserve">Capturing this complexity requires models that go beyond static representations of gene regulation. Available computational approaches, particularly those based on GRNs, have been instrumental in mapping the regulatory architecture underlying distinct cell fates, and understanding how transcriptional regulators shape distinct cell fates. </w:t>
      </w:r>
      <w:r w:rsidRPr="006223EC">
        <w:rPr>
          <w:rFonts w:ascii="Calibri" w:hAnsi="Calibri" w:cs="Calibri"/>
          <w:color w:val="000000" w:themeColor="text1"/>
        </w:rPr>
        <w:t xml:space="preserve">Yet, despite </w:t>
      </w:r>
      <w:r w:rsidRPr="00FB0275">
        <w:rPr>
          <w:rFonts w:ascii="Calibri" w:hAnsi="Calibri" w:cs="Calibri"/>
        </w:rPr>
        <w:t>substantial progress and their intent to encode causal, biologically grounded</w:t>
      </w:r>
      <w:r w:rsidRPr="006223EC" w:rsidDel="00455A33">
        <w:rPr>
          <w:rFonts w:ascii="Calibri" w:hAnsi="Calibri" w:cs="Calibri"/>
          <w:color w:val="000000" w:themeColor="text1"/>
        </w:rPr>
        <w:t xml:space="preserve"> </w:t>
      </w:r>
      <w:r w:rsidRPr="006223EC">
        <w:rPr>
          <w:rFonts w:ascii="Calibri" w:hAnsi="Calibri" w:cs="Calibri"/>
          <w:color w:val="000000" w:themeColor="text1"/>
        </w:rPr>
        <w:t xml:space="preserve">TF-target interactions, most existing GRN inference methods provide </w:t>
      </w:r>
      <w:r w:rsidR="00197B61">
        <w:rPr>
          <w:rFonts w:ascii="Calibri" w:hAnsi="Calibri" w:cs="Calibri"/>
          <w:color w:val="000000" w:themeColor="text1"/>
        </w:rPr>
        <w:t xml:space="preserve">a </w:t>
      </w:r>
      <w:r w:rsidRPr="006223EC">
        <w:rPr>
          <w:rFonts w:ascii="Calibri" w:hAnsi="Calibri" w:cs="Calibri"/>
          <w:color w:val="000000" w:themeColor="text1"/>
        </w:rPr>
        <w:t>larg</w:t>
      </w:r>
      <w:r>
        <w:rPr>
          <w:rFonts w:ascii="Calibri" w:hAnsi="Calibri" w:cs="Calibri"/>
          <w:color w:val="000000" w:themeColor="text1"/>
        </w:rPr>
        <w:t>e</w:t>
      </w:r>
      <w:r w:rsidRPr="006223EC">
        <w:rPr>
          <w:rFonts w:ascii="Calibri" w:hAnsi="Calibri" w:cs="Calibri"/>
          <w:color w:val="000000" w:themeColor="text1"/>
        </w:rPr>
        <w:t xml:space="preserve"> view of</w:t>
      </w:r>
      <w:r>
        <w:rPr>
          <w:rFonts w:ascii="Calibri" w:hAnsi="Calibri" w:cs="Calibri"/>
          <w:color w:val="000000" w:themeColor="text1"/>
        </w:rPr>
        <w:t xml:space="preserve"> </w:t>
      </w:r>
      <w:r w:rsidRPr="006223EC">
        <w:rPr>
          <w:rFonts w:ascii="Calibri" w:hAnsi="Calibri" w:cs="Calibri"/>
          <w:color w:val="000000" w:themeColor="text1"/>
        </w:rPr>
        <w:t>regulatory architecture with causal insight fundamentally constrained by estimation errors that inflate false positives</w:t>
      </w:r>
      <w:r>
        <w:rPr>
          <w:rFonts w:ascii="Calibri" w:hAnsi="Calibri" w:cs="Calibri"/>
        </w:rPr>
        <w:t xml:space="preserve">. </w:t>
      </w:r>
      <w:r w:rsidRPr="004843ED">
        <w:rPr>
          <w:rFonts w:ascii="Calibri" w:hAnsi="Calibri" w:cs="Calibri"/>
          <w:color w:val="000000" w:themeColor="text1"/>
        </w:rPr>
        <w:t xml:space="preserve">Even recent approaches incorporating dynamic GRNs </w:t>
      </w:r>
      <w:r w:rsidRPr="00FB0275">
        <w:rPr>
          <w:rFonts w:ascii="Calibri" w:hAnsi="Calibri" w:cs="Calibri"/>
        </w:rPr>
        <w:t>often result in</w:t>
      </w:r>
      <w:r w:rsidRPr="004843ED" w:rsidDel="006568AA">
        <w:rPr>
          <w:rFonts w:ascii="Calibri" w:hAnsi="Calibri" w:cs="Calibri"/>
          <w:color w:val="000000" w:themeColor="text1"/>
        </w:rPr>
        <w:t xml:space="preserve"> </w:t>
      </w:r>
      <w:r w:rsidRPr="004843ED">
        <w:rPr>
          <w:rFonts w:ascii="Calibri" w:hAnsi="Calibri" w:cs="Calibri"/>
          <w:color w:val="000000" w:themeColor="text1"/>
        </w:rPr>
        <w:t>inflated regulatory links as well as limited interpretability, often focusing on network topology or correlation-based features without linking them to biologically meaningful regulatory mechanisms</w:t>
      </w:r>
      <w:r>
        <w:rPr>
          <w:rFonts w:ascii="Calibri" w:hAnsi="Calibri" w:cs="Calibri"/>
          <w:color w:val="000000" w:themeColor="text1"/>
        </w:rPr>
        <w:fldChar w:fldCharType="begin"/>
      </w:r>
      <w:r w:rsidR="00BD6670">
        <w:rPr>
          <w:rFonts w:ascii="Calibri" w:hAnsi="Calibri" w:cs="Calibri"/>
          <w:color w:val="000000" w:themeColor="text1"/>
        </w:rPr>
        <w:instrText xml:space="preserve"> ADDIN ZOTERO_ITEM CSL_CITATION {"citationID":"fzegu4tB","properties":{"formattedCitation":"\\super 17\\nosupersub{}","plainCitation":"17","noteIndex":0},"citationItems":[{"id":2591,"uris":["http://zotero.org/groups/6337619/items/8ZTRY5Y6"],"itemData":{"id":2591,"type":"article-journal","abstract":"Abstract\n            \n              Cell identity is governed by the complex regulation of gene expression, represented as gene-regulatory networks\n              1\n              . Here we use gene-regulatory networks inferred from single-cell multi-omics data to perform in silico transcription factor perturbations, simulating the consequent changes in cell identity using only unperturbed wild-type data. We apply this machine-learning-based approach, CellOracle, to well-established paradigms—mouse and human haematopoiesis, and zebrafish embryogenesis—and we correctly model reported changes in phenotype that occur as a result of transcription factor perturbation. Through systematic in silico transcription factor perturbation in the developing zebrafish, we simulate and experimentally validate a previously unreported phenotype that results from the loss of\n              noto\n              , an established notochord regulator. Furthermore, we identify an axial mesoderm regulator,\n              lhx1a\n              . Together, these results show that CellOracle can be used to analyse the regulation of cell identity by transcription factors, and can provide mechanistic insights into development and differentiation.","container-title":"Nature","DOI":"10.1038/s41586-022-05688-9","ISSN":"0028-0836, 1476-4687","issue":"7949","journalAbbreviation":"Nature","language":"en","page":"742-751","source":"DOI.org (Crossref)","title":"Dissecting cell identity via network inference and in silico gene perturbation","volume":"614","author":[{"family":"Kamimoto","given":"Kenji"},{"family":"Stringa","given":"Blerta"},{"family":"Hoffmann","given":"Christy M."},{"family":"Jindal","given":"Kunal"},{"family":"Solnica-Krezel","given":"Lilianna"},{"family":"Morris","given":"Samantha A."}],"issued":{"date-parts":[["2023",2,23]]}}}],"schema":"https://github.com/citation-style-language/schema/raw/master/csl-citation.json"} </w:instrText>
      </w:r>
      <w:r>
        <w:rPr>
          <w:rFonts w:ascii="Calibri" w:hAnsi="Calibri" w:cs="Calibri"/>
          <w:color w:val="000000" w:themeColor="text1"/>
        </w:rPr>
        <w:fldChar w:fldCharType="separate"/>
      </w:r>
      <w:r w:rsidR="00BD6670" w:rsidRPr="00BD6670">
        <w:rPr>
          <w:rFonts w:ascii="Calibri" w:eastAsiaTheme="minorHAnsi" w:hAnsi="Calibri" w:cs="Calibri"/>
          <w:color w:val="000000"/>
          <w:szCs w:val="24"/>
          <w:vertAlign w:val="superscript"/>
          <w:lang w:val="en-US"/>
          <w14:ligatures w14:val="standardContextual"/>
        </w:rPr>
        <w:t>17</w:t>
      </w:r>
      <w:r>
        <w:rPr>
          <w:rFonts w:ascii="Calibri" w:hAnsi="Calibri" w:cs="Calibri"/>
          <w:color w:val="000000" w:themeColor="text1"/>
        </w:rPr>
        <w:fldChar w:fldCharType="end"/>
      </w:r>
      <w:r>
        <w:rPr>
          <w:rFonts w:ascii="Calibri" w:hAnsi="Calibri" w:cs="Calibri"/>
          <w:color w:val="000000" w:themeColor="text1"/>
          <w:vertAlign w:val="superscript"/>
        </w:rPr>
        <w:t xml:space="preserve">, </w:t>
      </w:r>
      <w:r>
        <w:rPr>
          <w:rFonts w:ascii="Calibri" w:hAnsi="Calibri" w:cs="Calibri"/>
          <w:color w:val="000000" w:themeColor="text1"/>
          <w:vertAlign w:val="superscript"/>
        </w:rPr>
        <w:fldChar w:fldCharType="begin"/>
      </w:r>
      <w:r w:rsidR="00BD6670">
        <w:rPr>
          <w:rFonts w:ascii="Calibri" w:hAnsi="Calibri" w:cs="Calibri"/>
          <w:color w:val="000000" w:themeColor="text1"/>
          <w:vertAlign w:val="superscript"/>
        </w:rPr>
        <w:instrText xml:space="preserve"> ADDIN ZOTERO_ITEM CSL_CITATION {"citationID":"WTNees5t","properties":{"formattedCitation":"\\super 18\\nosupersub{}","plainCitation":"18","noteIndex":0},"citationItems":[{"id":2589,"uris":["http://zotero.org/groups/6337619/items/FM9ADSYS"],"itemData":{"id":2589,"type":"article-journal","container-title":"Nature Methods","DOI":"10.1038/s41592-023-01971-3","ISSN":"1548-7091, 1548-7105","issue":"9","journalAbbreviation":"Nat Methods","language":"en","page":"1368-1378","source":"DOI.org (Crossref)","title":"Dictys: dynamic gene regulatory network dissects developmental continuum with single-cell multiomics","title-short":"Dictys","volume":"20","author":[{"family":"Wang","given":"Lingfei"},{"family":"Trasanidis","given":"Nikolaos"},{"family":"Wu","given":"Ting"},{"family":"Dong","given":"Guanlan"},{"family":"Hu","given":"Michael"},{"family":"Bauer","given":"Daniel E."},{"family":"Pinello","given":"Luca"}],"issued":{"date-parts":[["2023",9]]}}}],"schema":"https://github.com/citation-style-language/schema/raw/master/csl-citation.json"} </w:instrText>
      </w:r>
      <w:r>
        <w:rPr>
          <w:rFonts w:ascii="Calibri" w:hAnsi="Calibri" w:cs="Calibri"/>
          <w:color w:val="000000" w:themeColor="text1"/>
          <w:vertAlign w:val="superscript"/>
        </w:rPr>
        <w:fldChar w:fldCharType="separate"/>
      </w:r>
      <w:r w:rsidR="00BD6670" w:rsidRPr="00BD6670">
        <w:rPr>
          <w:rFonts w:ascii="Calibri" w:eastAsiaTheme="minorHAnsi" w:hAnsi="Calibri" w:cs="Calibri"/>
          <w:color w:val="000000"/>
          <w:szCs w:val="24"/>
          <w:vertAlign w:val="superscript"/>
          <w:lang w:val="en-US"/>
          <w14:ligatures w14:val="standardContextual"/>
        </w:rPr>
        <w:t>18</w:t>
      </w:r>
      <w:r>
        <w:rPr>
          <w:rFonts w:ascii="Calibri" w:hAnsi="Calibri" w:cs="Calibri"/>
          <w:color w:val="000000" w:themeColor="text1"/>
          <w:vertAlign w:val="superscript"/>
        </w:rPr>
        <w:fldChar w:fldCharType="end"/>
      </w:r>
      <w:r>
        <w:rPr>
          <w:rFonts w:ascii="Calibri" w:hAnsi="Calibri" w:cs="Calibri"/>
          <w:color w:val="000000" w:themeColor="text1"/>
          <w:vertAlign w:val="superscript"/>
        </w:rPr>
        <w:t xml:space="preserve">, </w:t>
      </w:r>
      <w:r>
        <w:rPr>
          <w:rFonts w:ascii="Calibri" w:hAnsi="Calibri" w:cs="Calibri"/>
          <w:color w:val="000000" w:themeColor="text1"/>
          <w:vertAlign w:val="superscript"/>
        </w:rPr>
        <w:fldChar w:fldCharType="begin"/>
      </w:r>
      <w:r w:rsidR="00BD6670">
        <w:rPr>
          <w:rFonts w:ascii="Calibri" w:hAnsi="Calibri" w:cs="Calibri"/>
          <w:color w:val="000000" w:themeColor="text1"/>
          <w:vertAlign w:val="superscript"/>
        </w:rPr>
        <w:instrText xml:space="preserve"> ADDIN ZOTERO_ITEM CSL_CITATION {"citationID":"FW1pFdag","properties":{"formattedCitation":"\\super 19\\nosupersub{}","plainCitation":"19","noteIndex":0},"citationItems":[{"id":2700,"uris":["http://zotero.org/groups/6337619/items/ZNZ49YHC"],"itemData":{"id":2700,"type":"article-journal","abstract":"Abstract\n            \n              Joint profiling of chromatin accessibility and gene expression in individual cells provides an opportunity to decipher enhancer-driven gene regulatory networks (GRNs). Here we present a method for the inference of enhancer-driven GRNs, called SCENIC+. SCENIC+ predicts genomic enhancers along with candidate upstream transcription factors (TFs) and links these enhancers to candidate target genes. To improve both recall and precision of TF identification, we curated and clustered a motif collection with more than 30,000 motifs. We benchmarked SCENIC+ on diverse datasets from different species, including human peripheral blood mononuclear cells, ENCODE cell lines, melanoma cell states and\n              Drosophila\n              retinal development. Next, we exploit SCENIC+ predictions to study conserved TFs, enhancers and GRNs between human and mouse cell types in the cerebral cortex. Finally, we use SCENIC+ to study the dynamics of gene regulation along differentiation trajectories and the effect of TF perturbations on cell state. SCENIC+ is available at\n              scenicplus.readthedocs.io\n              .","container-title":"Nature Methods","DOI":"10.1038/s41592-023-01938-4","ISSN":"1548-7091, 1548-7105","issue":"9","journalAbbreviation":"Nat Methods","language":"en","page":"1355-1367","source":"DOI.org (Crossref)","title":"SCENIC+: single-cell multiomic inference of enhancers and gene regulatory networks","title-short":"SCENIC+","volume":"20","author":[{"family":"Bravo González-Blas","given":"Carmen"},{"family":"De Winter","given":"Seppe"},{"family":"Hulselmans","given":"Gert"},{"family":"Hecker","given":"Nikolai"},{"family":"Matetovici","given":"Irina"},{"family":"Christiaens","given":"Valerie"},{"family":"Poovathingal","given":"Suresh"},{"family":"Wouters","given":"Jasper"},{"family":"Aibar","given":"Sara"},{"family":"Aerts","given":"Stein"}],"issued":{"date-parts":[["2023",9]]}}}],"schema":"https://github.com/citation-style-language/schema/raw/master/csl-citation.json"} </w:instrText>
      </w:r>
      <w:r>
        <w:rPr>
          <w:rFonts w:ascii="Calibri" w:hAnsi="Calibri" w:cs="Calibri"/>
          <w:color w:val="000000" w:themeColor="text1"/>
          <w:vertAlign w:val="superscript"/>
        </w:rPr>
        <w:fldChar w:fldCharType="separate"/>
      </w:r>
      <w:r w:rsidR="00BD6670" w:rsidRPr="00BD6670">
        <w:rPr>
          <w:rFonts w:ascii="Calibri" w:eastAsiaTheme="minorHAnsi" w:hAnsi="Calibri" w:cs="Calibri"/>
          <w:color w:val="000000"/>
          <w:szCs w:val="24"/>
          <w:vertAlign w:val="superscript"/>
          <w:lang w:val="en-US"/>
          <w14:ligatures w14:val="standardContextual"/>
        </w:rPr>
        <w:t>19</w:t>
      </w:r>
      <w:r>
        <w:rPr>
          <w:rFonts w:ascii="Calibri" w:hAnsi="Calibri" w:cs="Calibri"/>
          <w:color w:val="000000" w:themeColor="text1"/>
          <w:vertAlign w:val="superscript"/>
        </w:rPr>
        <w:fldChar w:fldCharType="end"/>
      </w:r>
      <w:r>
        <w:rPr>
          <w:rFonts w:ascii="Calibri" w:hAnsi="Calibri" w:cs="Calibri"/>
          <w:color w:val="000000" w:themeColor="text1"/>
          <w:vertAlign w:val="superscript"/>
        </w:rPr>
        <w:t xml:space="preserve"> </w:t>
      </w:r>
      <w:r w:rsidRPr="004843ED">
        <w:rPr>
          <w:rFonts w:ascii="Calibri" w:hAnsi="Calibri" w:cs="Calibri"/>
          <w:color w:val="000000" w:themeColor="text1"/>
        </w:rPr>
        <w:t xml:space="preserve">. As a result, they struggle to identify a </w:t>
      </w:r>
      <w:r w:rsidR="0080733B">
        <w:rPr>
          <w:rFonts w:ascii="Calibri" w:hAnsi="Calibri" w:cs="Calibri"/>
          <w:color w:val="000000" w:themeColor="text1"/>
        </w:rPr>
        <w:lastRenderedPageBreak/>
        <w:t>distinctive</w:t>
      </w:r>
      <w:r w:rsidRPr="004843ED">
        <w:rPr>
          <w:rFonts w:ascii="Calibri" w:hAnsi="Calibri" w:cs="Calibri"/>
          <w:color w:val="000000" w:themeColor="text1"/>
        </w:rPr>
        <w:t xml:space="preserve"> set </w:t>
      </w:r>
      <w:r w:rsidR="0080733B">
        <w:rPr>
          <w:rFonts w:ascii="Calibri" w:hAnsi="Calibri" w:cs="Calibri"/>
          <w:color w:val="000000" w:themeColor="text1"/>
        </w:rPr>
        <w:t>of</w:t>
      </w:r>
      <w:r w:rsidRPr="004843ED">
        <w:rPr>
          <w:rFonts w:ascii="Calibri" w:hAnsi="Calibri" w:cs="Calibri"/>
          <w:color w:val="000000" w:themeColor="text1"/>
        </w:rPr>
        <w:t xml:space="preserve"> regulons that orchestrate decision-making processes such as activation, differentiation, or reprogramming. </w:t>
      </w:r>
      <w:r w:rsidR="00AA2D2E" w:rsidRPr="00AA2D2E">
        <w:rPr>
          <w:rFonts w:ascii="Calibri" w:hAnsi="Calibri" w:cs="Calibri"/>
          <w:color w:val="000000" w:themeColor="text1"/>
        </w:rPr>
        <w:t>These challenges underscore the need for hybrid approaches that integrate mechanistic frameworks with interpretable machine learning models capable of systematically identifying the most informative regulatory signals and dynamic transcriptional programs that govern cellular bifurcation and commitment trajectories.</w:t>
      </w:r>
    </w:p>
    <w:p w14:paraId="3F09BD9A" w14:textId="77777777" w:rsidR="00AE2AE5" w:rsidRDefault="00770268" w:rsidP="008515C4">
      <w:pPr>
        <w:spacing w:before="240" w:after="240"/>
        <w:jc w:val="both"/>
        <w:rPr>
          <w:rFonts w:ascii="Calibri" w:hAnsi="Calibri" w:cs="Calibri"/>
          <w:color w:val="000000" w:themeColor="text1"/>
          <w:lang w:val="en-US"/>
        </w:rPr>
      </w:pPr>
      <w:r>
        <w:rPr>
          <w:rFonts w:ascii="Calibri" w:hAnsi="Calibri" w:cs="Calibri"/>
          <w:color w:val="000000" w:themeColor="text1"/>
          <w:lang w:val="en-US"/>
        </w:rPr>
        <w:t>Here</w:t>
      </w:r>
      <w:r w:rsidR="008515C4" w:rsidRPr="009658C3">
        <w:rPr>
          <w:rFonts w:ascii="Calibri" w:hAnsi="Calibri" w:cs="Calibri"/>
          <w:color w:val="000000" w:themeColor="text1"/>
          <w:lang w:val="en-US"/>
        </w:rPr>
        <w:t xml:space="preserve">, we developed </w:t>
      </w:r>
      <w:proofErr w:type="spellStart"/>
      <w:r w:rsidR="008515C4">
        <w:rPr>
          <w:rFonts w:ascii="Calibri" w:hAnsi="Calibri" w:cs="Calibri"/>
          <w:color w:val="000000" w:themeColor="text1"/>
          <w:lang w:val="en-US"/>
        </w:rPr>
        <w:t>FIREFate</w:t>
      </w:r>
      <w:proofErr w:type="spellEnd"/>
      <w:r w:rsidR="008515C4">
        <w:rPr>
          <w:rFonts w:ascii="Calibri" w:hAnsi="Calibri" w:cs="Calibri"/>
          <w:color w:val="000000" w:themeColor="text1"/>
          <w:lang w:val="en-US"/>
        </w:rPr>
        <w:t xml:space="preserve">, </w:t>
      </w:r>
      <w:r w:rsidR="008515C4" w:rsidRPr="009658C3">
        <w:rPr>
          <w:rFonts w:ascii="Calibri" w:hAnsi="Calibri" w:cs="Calibri"/>
          <w:color w:val="000000" w:themeColor="text1"/>
          <w:lang w:val="en-US"/>
        </w:rPr>
        <w:t xml:space="preserve">a </w:t>
      </w:r>
      <w:r w:rsidR="008515C4">
        <w:rPr>
          <w:rFonts w:ascii="Calibri" w:hAnsi="Calibri" w:cs="Calibri"/>
          <w:color w:val="000000" w:themeColor="text1"/>
          <w:lang w:val="en-US"/>
        </w:rPr>
        <w:t>conceptual</w:t>
      </w:r>
      <w:r w:rsidR="008515C4" w:rsidRPr="009658C3">
        <w:rPr>
          <w:rFonts w:ascii="Calibri" w:hAnsi="Calibri" w:cs="Calibri"/>
          <w:color w:val="000000" w:themeColor="text1"/>
          <w:lang w:val="en-US"/>
        </w:rPr>
        <w:t xml:space="preserve"> framework </w:t>
      </w:r>
      <w:r w:rsidR="008515C4">
        <w:rPr>
          <w:rFonts w:ascii="Calibri" w:hAnsi="Calibri" w:cs="Calibri"/>
          <w:color w:val="000000" w:themeColor="text1"/>
          <w:lang w:val="en-US"/>
        </w:rPr>
        <w:t xml:space="preserve">to </w:t>
      </w:r>
      <w:r w:rsidR="008515C4" w:rsidRPr="00C52D5A">
        <w:rPr>
          <w:rFonts w:ascii="Calibri" w:hAnsi="Calibri" w:cs="Calibri"/>
          <w:color w:val="000000" w:themeColor="text1"/>
          <w:lang w:val="en-US"/>
        </w:rPr>
        <w:t>decode the regulatory logic of cell-fate determination.</w:t>
      </w:r>
      <w:r w:rsidR="008515C4">
        <w:rPr>
          <w:rFonts w:ascii="Calibri" w:hAnsi="Calibri" w:cs="Calibri"/>
          <w:color w:val="000000" w:themeColor="text1"/>
          <w:lang w:val="en-US"/>
        </w:rPr>
        <w:t xml:space="preserve"> </w:t>
      </w:r>
      <w:proofErr w:type="spellStart"/>
      <w:r w:rsidR="008515C4">
        <w:rPr>
          <w:rFonts w:ascii="Calibri" w:hAnsi="Calibri" w:cs="Calibri"/>
          <w:color w:val="000000" w:themeColor="text1"/>
          <w:lang w:val="en-US"/>
        </w:rPr>
        <w:t>FIREFate</w:t>
      </w:r>
      <w:proofErr w:type="spellEnd"/>
      <w:r w:rsidR="008515C4">
        <w:rPr>
          <w:rFonts w:ascii="Calibri" w:hAnsi="Calibri" w:cs="Calibri"/>
          <w:color w:val="000000" w:themeColor="text1"/>
          <w:lang w:val="en-US"/>
        </w:rPr>
        <w:t xml:space="preserve"> </w:t>
      </w:r>
      <w:r w:rsidR="008515C4" w:rsidRPr="009658C3">
        <w:rPr>
          <w:rFonts w:ascii="Calibri" w:hAnsi="Calibri" w:cs="Calibri"/>
          <w:color w:val="000000" w:themeColor="text1"/>
          <w:lang w:val="en-US"/>
        </w:rPr>
        <w:t xml:space="preserve">integrates </w:t>
      </w:r>
      <w:r w:rsidR="008515C4">
        <w:rPr>
          <w:rFonts w:ascii="Calibri" w:hAnsi="Calibri" w:cs="Calibri"/>
          <w:color w:val="000000" w:themeColor="text1"/>
          <w:lang w:val="en-US"/>
        </w:rPr>
        <w:t xml:space="preserve">mechanistic models including </w:t>
      </w:r>
      <w:r w:rsidR="008515C4" w:rsidRPr="009658C3">
        <w:rPr>
          <w:rFonts w:ascii="Calibri" w:hAnsi="Calibri" w:cs="Calibri"/>
          <w:color w:val="000000" w:themeColor="text1"/>
          <w:lang w:val="en-US"/>
        </w:rPr>
        <w:t xml:space="preserve">high-resolution static and dynamic GRNs with interpretable machine learning to uncover </w:t>
      </w:r>
      <w:r w:rsidR="008515C4">
        <w:rPr>
          <w:rFonts w:ascii="Calibri" w:hAnsi="Calibri" w:cs="Calibri"/>
          <w:color w:val="000000" w:themeColor="text1"/>
          <w:lang w:val="en-US"/>
        </w:rPr>
        <w:t xml:space="preserve">key </w:t>
      </w:r>
      <w:r w:rsidR="008515C4" w:rsidRPr="009658C3">
        <w:rPr>
          <w:rFonts w:ascii="Calibri" w:hAnsi="Calibri" w:cs="Calibri"/>
          <w:color w:val="000000" w:themeColor="text1"/>
          <w:lang w:val="en-US"/>
        </w:rPr>
        <w:t xml:space="preserve">regulatory modules </w:t>
      </w:r>
      <w:r w:rsidR="008515C4">
        <w:rPr>
          <w:rFonts w:ascii="Calibri" w:hAnsi="Calibri" w:cs="Calibri"/>
          <w:color w:val="000000" w:themeColor="text1"/>
          <w:lang w:val="en-US"/>
        </w:rPr>
        <w:t xml:space="preserve">that </w:t>
      </w:r>
      <w:r w:rsidR="008515C4" w:rsidRPr="009658C3">
        <w:rPr>
          <w:rFonts w:ascii="Calibri" w:hAnsi="Calibri" w:cs="Calibri"/>
          <w:color w:val="000000" w:themeColor="text1"/>
          <w:lang w:val="en-US"/>
        </w:rPr>
        <w:t>orchestrat</w:t>
      </w:r>
      <w:r w:rsidR="008515C4">
        <w:rPr>
          <w:rFonts w:ascii="Calibri" w:hAnsi="Calibri" w:cs="Calibri"/>
          <w:color w:val="000000" w:themeColor="text1"/>
          <w:lang w:val="en-US"/>
        </w:rPr>
        <w:t>e</w:t>
      </w:r>
      <w:r w:rsidR="008515C4" w:rsidRPr="009658C3">
        <w:rPr>
          <w:rFonts w:ascii="Calibri" w:hAnsi="Calibri" w:cs="Calibri"/>
          <w:color w:val="000000" w:themeColor="text1"/>
          <w:lang w:val="en-US"/>
        </w:rPr>
        <w:t xml:space="preserve"> cellular transitions (Fig. 1A). </w:t>
      </w:r>
      <w:r w:rsidR="008515C4">
        <w:rPr>
          <w:rFonts w:ascii="Calibri" w:hAnsi="Calibri" w:cs="Calibri"/>
          <w:color w:val="000000" w:themeColor="text1"/>
          <w:lang w:val="en-US"/>
        </w:rPr>
        <w:t>It</w:t>
      </w:r>
      <w:r w:rsidR="008515C4" w:rsidRPr="009658C3">
        <w:rPr>
          <w:rFonts w:ascii="Calibri" w:hAnsi="Calibri" w:cs="Calibri"/>
          <w:color w:val="000000" w:themeColor="text1"/>
          <w:lang w:val="en-US"/>
        </w:rPr>
        <w:t xml:space="preserve"> </w:t>
      </w:r>
      <w:r w:rsidR="008515C4">
        <w:rPr>
          <w:rFonts w:ascii="Calibri" w:hAnsi="Calibri" w:cs="Calibri"/>
          <w:color w:val="000000" w:themeColor="text1"/>
          <w:lang w:val="en-US"/>
        </w:rPr>
        <w:t>employs</w:t>
      </w:r>
      <w:r w:rsidR="008515C4" w:rsidRPr="009658C3">
        <w:rPr>
          <w:rFonts w:ascii="Calibri" w:hAnsi="Calibri" w:cs="Calibri"/>
          <w:color w:val="000000" w:themeColor="text1"/>
          <w:lang w:val="en-US"/>
        </w:rPr>
        <w:t xml:space="preserve"> an interpretable learning method that identifies distinct </w:t>
      </w:r>
      <w:r w:rsidR="008515C4">
        <w:rPr>
          <w:rFonts w:ascii="Calibri" w:hAnsi="Calibri" w:cs="Calibri"/>
          <w:color w:val="000000" w:themeColor="text1"/>
          <w:lang w:val="en-US"/>
        </w:rPr>
        <w:t xml:space="preserve">modules </w:t>
      </w:r>
      <w:r w:rsidR="008515C4" w:rsidRPr="009658C3">
        <w:rPr>
          <w:rFonts w:ascii="Calibri" w:hAnsi="Calibri" w:cs="Calibri"/>
          <w:color w:val="000000" w:themeColor="text1"/>
          <w:lang w:val="en-US"/>
        </w:rPr>
        <w:t xml:space="preserve">of co-regulated genes underlying outcomes of interest in high-dimensional </w:t>
      </w:r>
      <w:proofErr w:type="spellStart"/>
      <w:r w:rsidR="008515C4" w:rsidRPr="009658C3">
        <w:rPr>
          <w:rFonts w:ascii="Calibri" w:hAnsi="Calibri" w:cs="Calibri"/>
          <w:color w:val="000000" w:themeColor="text1"/>
          <w:lang w:val="en-US"/>
        </w:rPr>
        <w:t>omic</w:t>
      </w:r>
      <w:proofErr w:type="spellEnd"/>
      <w:r w:rsidR="008515C4" w:rsidRPr="009658C3">
        <w:rPr>
          <w:rFonts w:ascii="Calibri" w:hAnsi="Calibri" w:cs="Calibri"/>
          <w:color w:val="000000" w:themeColor="text1"/>
          <w:lang w:val="en-US"/>
        </w:rPr>
        <w:t xml:space="preserve"> datasets</w:t>
      </w:r>
      <w:r w:rsidR="008515C4">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{"citationID":"JGE1exXK","properties":{"formattedCitation":"\\super 22\\nosupersub{}","plainCitation":"22","noteIndex":0},"citationItems":[{"id":2592,"uris":["http://zotero.org/groups/6337619/items/FSWW5Z88"],"itemData":{"id":2592,"type":"article-journal","abstract":"Modern multiomic technologies can generate deep multiscale profiles. However, differences in data modalities, multicollinearity of the data, and large numbers of irrelevant features make analyses and integration of high-dimensional omic datasets challenging. Here we present Significant Latent Factor Interaction Discovery and Exploration (SLIDE), a first-in-class interpretable machine learning technique for identifying significant interacting latent factors underlying outcomes of interest from high-dimensional omic datasets. SLIDE makes no assumptions regarding data-generating mechanisms, comes with theoretical guarantees regarding identifiability of the latent factors/corresponding inference, and has rigorous false discovery rate control. Using SLIDE on single-cell and spatial omic datasets, we uncovered significant interacting latent factors underlying a range of molecular, cellular and organismal phenotypes. SLIDE outperforms/performs at least as well as a wide range of state-of-the-art approaches, including other latent factor approaches. More importantly, it provides biological inference beyond prediction that other methods do not afford. Thus, SLIDE is a versatile engine for biological discovery from modern multiomic datasets.","container-title":"Nature Methods","DOI":"10.1038/s41592-024-02175-z","ISSN":"1548-7105","issue":"5","journalAbbreviation":"Nat Methods","language":"eng","page":"835-845","PMID":"38374265","PMCID":"PMC11588359","source":"PubMed","title":"SLIDE: Significant Latent Factor Interaction Discovery and Exploration across biological domains","title-short":"SLIDE","volume":"21","author":[{"family":"Rahimikollu","given":"Javad"},{"family":"Xiao","given":"Hanxi"},{"family":"Rosengart","given":"AnnaElaine"},{"family":"Rosen","given":"Aaron B. I."},{"family":"Tabib","given":"Tracy"},{"family":"Zdinak","given":"Paul M."},{"family":"He","given":"Kun"},{"family":"Bing","given":"Xin"},{"family":"Bunea","given":"Florentina"},{"family":"Wegkamp","given":"Marten"},{"family":"Poholek","given":"Amanda C."},{"family":"Joglekar","given":"Alok V."},{"family":"Lafyatis","given":"Robert A."},{"family":"Das","given":"Jishnu"}],"issued":{"date-parts":[["2024",5]]}}}],"schema":"https://github.com/citation-style-language/schema/raw/master/csl-citation.json"} </w:instrText>
      </w:r>
      <w:r w:rsidR="008515C4">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22</w:t>
      </w:r>
      <w:r w:rsidR="008515C4">
        <w:rPr>
          <w:rFonts w:ascii="Calibri" w:hAnsi="Calibri" w:cs="Calibri"/>
          <w:color w:val="000000" w:themeColor="text1"/>
          <w:lang w:val="en-US"/>
        </w:rPr>
        <w:fldChar w:fldCharType="end"/>
      </w:r>
      <w:r w:rsidR="008515C4" w:rsidRPr="009658C3">
        <w:rPr>
          <w:rFonts w:ascii="Calibri" w:hAnsi="Calibri" w:cs="Calibri"/>
          <w:color w:val="000000" w:themeColor="text1"/>
          <w:lang w:val="en-US"/>
        </w:rPr>
        <w:t xml:space="preserve">. These cellular programs, analogous to co-expression modules enable fine-grained discrimination between emergent cell states </w:t>
      </w:r>
      <w:r w:rsidR="008515C4">
        <w:rPr>
          <w:rFonts w:ascii="Calibri" w:hAnsi="Calibri" w:cs="Calibri"/>
          <w:color w:val="000000" w:themeColor="text1"/>
          <w:lang w:val="en-US"/>
        </w:rPr>
        <w:t>and</w:t>
      </w:r>
      <w:r w:rsidR="008515C4" w:rsidRPr="009658C3">
        <w:rPr>
          <w:rFonts w:ascii="Calibri" w:hAnsi="Calibri" w:cs="Calibri"/>
          <w:color w:val="000000" w:themeColor="text1"/>
          <w:lang w:val="en-US"/>
        </w:rPr>
        <w:t xml:space="preserve"> </w:t>
      </w:r>
      <w:r w:rsidR="008515C4">
        <w:rPr>
          <w:rFonts w:ascii="Calibri" w:hAnsi="Calibri" w:cs="Calibri"/>
          <w:color w:val="000000" w:themeColor="text1"/>
          <w:lang w:val="en-US"/>
        </w:rPr>
        <w:t>provide a fundamental layer of biological interpretation, particularly once incorporated with gene set analysis tools leveraging large language models (LLMs)</w:t>
      </w:r>
      <w:r w:rsidR="008515C4">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{"citationID":"Tb7xTWJG","properties":{"formattedCitation":"\\super 23\\nosupersub{}","plainCitation":"23","noteIndex":0},"citationItems":[{"id":2598,"uris":["http://zotero.org/groups/6337619/items/MWCHMRX9"],"itemData":{"id":2598,"type":"article-journal","abstract":"Gene set analysis is a mainstay of functional genomics, but it relies on manually curated databases of gene functions that are incomplete and unaware of biological context. Here we evaluate the ability of OpenAI's GPT-4, a Large Language Model (LLM), to develop hypotheses about common gene functions from its embedded biomedical knowledge. We created a GPT-4 pipeline to label gene sets with names that summarize their consensus functions, substantiated by analysis text and citations. Benchmarking against named gene sets in the Gene Ontology, GPT-4 generated very similar names in 50% of cases, while in most remaining cases it recovered the name of a more general concept. In gene sets discovered in 'omics data, GPT-4 names were more informative than gene set enrichment, with supporting statements and citations that largely verified in human review. The ability to rapidly synthesize common gene functions positions LLMs as valuable functional genomics assistants.","container-title":"Research Square","DOI":"10.21203/rs.3.rs-3270331/v1","ISSN":"2693-5015","journalAbbreviation":"Res Sq","language":"eng","page":"rs.3.rs-3270331","PMID":"37790547","PMCID":"PMC10543283","source":"PubMed","title":"Evaluation of large language models for discovery of gene set function","author":[{"family":"Hu","given":"Mengzhou"},{"family":"Alkhairy","given":"Sahar"},{"family":"Lee","given":"Ingoo"},{"family":"Pillich","given":"Rudolf T."},{"family":"Bachelder","given":"Robin"},{"family":"Ideker","given":"Trey"},{"family":"Pratt","given":"Dexter"}],"issued":{"date-parts":[["2023",9,18]]}}}],"schema":"https://github.com/citation-style-language/schema/raw/master/csl-citation.json"} </w:instrText>
      </w:r>
      <w:r w:rsidR="008515C4">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23</w:t>
      </w:r>
      <w:r w:rsidR="008515C4">
        <w:rPr>
          <w:rFonts w:ascii="Calibri" w:hAnsi="Calibri" w:cs="Calibri"/>
          <w:color w:val="000000" w:themeColor="text1"/>
          <w:lang w:val="en-US"/>
        </w:rPr>
        <w:fldChar w:fldCharType="end"/>
      </w:r>
      <w:r w:rsidR="008515C4">
        <w:rPr>
          <w:rFonts w:ascii="Calibri" w:hAnsi="Calibri" w:cs="Calibri"/>
          <w:color w:val="000000" w:themeColor="text1"/>
          <w:lang w:val="en-US"/>
        </w:rPr>
        <w:t xml:space="preserve">. Then </w:t>
      </w:r>
      <w:proofErr w:type="spellStart"/>
      <w:r w:rsidR="008515C4">
        <w:rPr>
          <w:rFonts w:ascii="Calibri" w:hAnsi="Calibri" w:cs="Calibri"/>
          <w:color w:val="000000" w:themeColor="text1"/>
          <w:lang w:val="en-US"/>
        </w:rPr>
        <w:t>FIREFate</w:t>
      </w:r>
      <w:proofErr w:type="spellEnd"/>
      <w:r w:rsidR="008515C4" w:rsidRPr="009658C3">
        <w:rPr>
          <w:rFonts w:ascii="Calibri" w:hAnsi="Calibri" w:cs="Calibri"/>
          <w:color w:val="000000" w:themeColor="text1"/>
          <w:lang w:val="en-US"/>
        </w:rPr>
        <w:t xml:space="preserve"> </w:t>
      </w:r>
      <w:r w:rsidR="008515C4">
        <w:rPr>
          <w:rFonts w:ascii="Calibri" w:hAnsi="Calibri" w:cs="Calibri"/>
          <w:color w:val="000000" w:themeColor="text1"/>
          <w:lang w:val="en-US"/>
        </w:rPr>
        <w:t>i</w:t>
      </w:r>
      <w:r w:rsidR="008515C4" w:rsidRPr="009658C3">
        <w:rPr>
          <w:rFonts w:ascii="Calibri" w:hAnsi="Calibri" w:cs="Calibri"/>
          <w:color w:val="000000" w:themeColor="text1"/>
          <w:lang w:val="en-US"/>
        </w:rPr>
        <w:t>ntegrat</w:t>
      </w:r>
      <w:r w:rsidR="008515C4">
        <w:rPr>
          <w:rFonts w:ascii="Calibri" w:hAnsi="Calibri" w:cs="Calibri"/>
          <w:color w:val="000000" w:themeColor="text1"/>
          <w:lang w:val="en-US"/>
        </w:rPr>
        <w:t>es</w:t>
      </w:r>
      <w:r w:rsidR="008515C4" w:rsidRPr="009658C3">
        <w:rPr>
          <w:rFonts w:ascii="Calibri" w:hAnsi="Calibri" w:cs="Calibri"/>
          <w:color w:val="000000" w:themeColor="text1"/>
          <w:lang w:val="en-US"/>
        </w:rPr>
        <w:t xml:space="preserve"> genes within </w:t>
      </w:r>
      <w:r w:rsidR="008515C4">
        <w:rPr>
          <w:rFonts w:ascii="Calibri" w:hAnsi="Calibri" w:cs="Calibri"/>
          <w:color w:val="000000" w:themeColor="text1"/>
          <w:lang w:val="en-US"/>
        </w:rPr>
        <w:t xml:space="preserve">these </w:t>
      </w:r>
      <w:r w:rsidR="008515C4" w:rsidRPr="009658C3">
        <w:rPr>
          <w:rFonts w:ascii="Calibri" w:hAnsi="Calibri" w:cs="Calibri"/>
          <w:color w:val="000000" w:themeColor="text1"/>
          <w:lang w:val="en-US"/>
        </w:rPr>
        <w:t>cellular programs</w:t>
      </w:r>
      <w:r w:rsidR="009B1357">
        <w:rPr>
          <w:rFonts w:ascii="Calibri" w:hAnsi="Calibri" w:cs="Calibri"/>
          <w:color w:val="000000" w:themeColor="text1"/>
          <w:lang w:val="en-US"/>
        </w:rPr>
        <w:t xml:space="preserve">- </w:t>
      </w:r>
      <w:r w:rsidR="008515C4" w:rsidRPr="009658C3">
        <w:rPr>
          <w:rFonts w:ascii="Calibri" w:hAnsi="Calibri" w:cs="Calibri"/>
          <w:color w:val="000000" w:themeColor="text1"/>
          <w:lang w:val="en-US"/>
        </w:rPr>
        <w:t xml:space="preserve">identified through feature-level interpretability- </w:t>
      </w:r>
      <w:r w:rsidR="008515C4">
        <w:rPr>
          <w:rFonts w:ascii="Calibri" w:hAnsi="Calibri" w:cs="Calibri"/>
          <w:color w:val="000000" w:themeColor="text1"/>
          <w:lang w:val="en-US"/>
        </w:rPr>
        <w:t>into</w:t>
      </w:r>
      <w:r w:rsidR="008515C4" w:rsidRPr="009658C3">
        <w:rPr>
          <w:rFonts w:ascii="Calibri" w:hAnsi="Calibri" w:cs="Calibri"/>
          <w:color w:val="000000" w:themeColor="text1"/>
          <w:lang w:val="en-US"/>
        </w:rPr>
        <w:t xml:space="preserve"> </w:t>
      </w:r>
      <w:r w:rsidR="008515C4">
        <w:rPr>
          <w:rFonts w:ascii="Calibri" w:hAnsi="Calibri" w:cs="Calibri"/>
          <w:color w:val="000000" w:themeColor="text1"/>
          <w:lang w:val="en-US"/>
        </w:rPr>
        <w:t>mechanistic models, adding a causal layer of regulatory insights to the inferred programs. By i</w:t>
      </w:r>
      <w:r w:rsidR="008515C4" w:rsidRPr="009658C3">
        <w:rPr>
          <w:rFonts w:ascii="Calibri" w:hAnsi="Calibri" w:cs="Calibri"/>
          <w:color w:val="000000" w:themeColor="text1"/>
          <w:lang w:val="en-US"/>
        </w:rPr>
        <w:t>ntegrat</w:t>
      </w:r>
      <w:r w:rsidR="008515C4">
        <w:rPr>
          <w:rFonts w:ascii="Calibri" w:hAnsi="Calibri" w:cs="Calibri"/>
          <w:color w:val="000000" w:themeColor="text1"/>
          <w:lang w:val="en-US"/>
        </w:rPr>
        <w:t xml:space="preserve">ing </w:t>
      </w:r>
      <w:r w:rsidR="008515C4" w:rsidRPr="009658C3">
        <w:rPr>
          <w:rFonts w:ascii="Calibri" w:hAnsi="Calibri" w:cs="Calibri"/>
          <w:color w:val="000000" w:themeColor="text1"/>
          <w:lang w:val="en-US"/>
        </w:rPr>
        <w:t xml:space="preserve">genes </w:t>
      </w:r>
      <w:r w:rsidR="008515C4">
        <w:rPr>
          <w:rFonts w:ascii="Calibri" w:hAnsi="Calibri" w:cs="Calibri"/>
          <w:color w:val="000000" w:themeColor="text1"/>
          <w:lang w:val="en-US"/>
        </w:rPr>
        <w:t>associated with the inferred cellular programs into the state-specific static</w:t>
      </w:r>
      <w:r w:rsidR="008515C4" w:rsidRPr="009658C3">
        <w:rPr>
          <w:rFonts w:ascii="Calibri" w:hAnsi="Calibri" w:cs="Calibri"/>
          <w:color w:val="000000" w:themeColor="text1"/>
          <w:lang w:val="en-US"/>
        </w:rPr>
        <w:t xml:space="preserve"> GRNs derived from transcriptomic and epigenomic data</w:t>
      </w:r>
      <w:r w:rsidR="008515C4">
        <w:rPr>
          <w:rFonts w:ascii="Calibri" w:hAnsi="Calibri" w:cs="Calibri"/>
          <w:color w:val="000000" w:themeColor="text1"/>
          <w:lang w:val="en-US"/>
        </w:rPr>
        <w:t xml:space="preserve">, and quantifying </w:t>
      </w:r>
      <w:r w:rsidR="008515C4" w:rsidRPr="009658C3">
        <w:rPr>
          <w:rFonts w:ascii="Calibri" w:hAnsi="Calibri" w:cs="Calibri"/>
          <w:color w:val="000000" w:themeColor="text1"/>
          <w:lang w:val="en-US"/>
        </w:rPr>
        <w:t>TF enrichment</w:t>
      </w:r>
      <w:r w:rsidR="008515C4">
        <w:rPr>
          <w:rFonts w:ascii="Calibri" w:hAnsi="Calibri" w:cs="Calibri"/>
          <w:color w:val="000000" w:themeColor="text1"/>
          <w:lang w:val="en-US"/>
        </w:rPr>
        <w:t xml:space="preserve"> by </w:t>
      </w:r>
      <w:r w:rsidR="008515C4" w:rsidRPr="009658C3">
        <w:rPr>
          <w:rFonts w:ascii="Calibri" w:hAnsi="Calibri" w:cs="Calibri"/>
          <w:color w:val="000000" w:themeColor="text1"/>
          <w:lang w:val="en-US"/>
        </w:rPr>
        <w:t>estimating the relative bias of each TF toward specific lineages</w:t>
      </w:r>
      <w:r w:rsidR="008515C4">
        <w:rPr>
          <w:rFonts w:ascii="Calibri" w:hAnsi="Calibri" w:cs="Calibri"/>
          <w:color w:val="000000" w:themeColor="text1"/>
          <w:lang w:val="en-US"/>
        </w:rPr>
        <w:t xml:space="preserve">, </w:t>
      </w:r>
      <w:proofErr w:type="spellStart"/>
      <w:r w:rsidR="008515C4">
        <w:rPr>
          <w:rFonts w:ascii="Calibri" w:hAnsi="Calibri" w:cs="Calibri"/>
          <w:color w:val="000000" w:themeColor="text1"/>
          <w:lang w:val="en-US"/>
        </w:rPr>
        <w:t>FIREFate</w:t>
      </w:r>
      <w:proofErr w:type="spellEnd"/>
      <w:r w:rsidR="008515C4">
        <w:rPr>
          <w:rFonts w:ascii="Calibri" w:hAnsi="Calibri" w:cs="Calibri"/>
          <w:color w:val="000000" w:themeColor="text1"/>
          <w:lang w:val="en-US"/>
        </w:rPr>
        <w:t xml:space="preserve"> enables</w:t>
      </w:r>
      <w:r w:rsidR="008515C4" w:rsidRPr="00CA15D4">
        <w:rPr>
          <w:rFonts w:ascii="Calibri" w:hAnsi="Calibri" w:cs="Calibri"/>
          <w:color w:val="000000" w:themeColor="text1"/>
          <w:lang w:val="en-US"/>
        </w:rPr>
        <w:t xml:space="preserve"> </w:t>
      </w:r>
      <w:r w:rsidR="008515C4" w:rsidRPr="009658C3">
        <w:rPr>
          <w:rFonts w:ascii="Calibri" w:hAnsi="Calibri" w:cs="Calibri"/>
          <w:color w:val="000000" w:themeColor="text1"/>
          <w:lang w:val="en-US"/>
        </w:rPr>
        <w:t>de novo identification of</w:t>
      </w:r>
      <w:r w:rsidR="008515C4">
        <w:rPr>
          <w:rFonts w:ascii="Calibri" w:hAnsi="Calibri" w:cs="Calibri"/>
          <w:color w:val="000000" w:themeColor="text1"/>
          <w:lang w:val="en-US"/>
        </w:rPr>
        <w:t xml:space="preserve"> </w:t>
      </w:r>
      <w:r w:rsidR="008515C4" w:rsidRPr="009658C3">
        <w:rPr>
          <w:rFonts w:ascii="Calibri" w:hAnsi="Calibri" w:cs="Calibri"/>
          <w:color w:val="000000" w:themeColor="text1"/>
          <w:lang w:val="en-US"/>
        </w:rPr>
        <w:t>TF</w:t>
      </w:r>
      <w:r w:rsidR="008515C4">
        <w:rPr>
          <w:rFonts w:ascii="Calibri" w:hAnsi="Calibri" w:cs="Calibri"/>
          <w:color w:val="000000" w:themeColor="text1"/>
          <w:lang w:val="en-US"/>
        </w:rPr>
        <w:t>-</w:t>
      </w:r>
      <w:r w:rsidR="008515C4" w:rsidRPr="009658C3">
        <w:rPr>
          <w:rFonts w:ascii="Calibri" w:hAnsi="Calibri" w:cs="Calibri"/>
          <w:color w:val="000000" w:themeColor="text1"/>
          <w:lang w:val="en-US"/>
        </w:rPr>
        <w:t>regulons</w:t>
      </w:r>
      <w:r w:rsidR="008515C4">
        <w:rPr>
          <w:rFonts w:ascii="Calibri" w:hAnsi="Calibri" w:cs="Calibri"/>
          <w:color w:val="000000" w:themeColor="text1"/>
          <w:lang w:val="en-US"/>
        </w:rPr>
        <w:t xml:space="preserve"> which</w:t>
      </w:r>
      <w:r w:rsidR="008515C4" w:rsidRPr="00CA15D4">
        <w:rPr>
          <w:rFonts w:ascii="Calibri" w:hAnsi="Calibri" w:cs="Calibri"/>
          <w:color w:val="000000" w:themeColor="text1"/>
          <w:lang w:val="en-US"/>
        </w:rPr>
        <w:t xml:space="preserve"> </w:t>
      </w:r>
      <w:r w:rsidR="008515C4">
        <w:rPr>
          <w:rFonts w:ascii="Calibri" w:hAnsi="Calibri" w:cs="Calibri"/>
          <w:color w:val="000000" w:themeColor="text1"/>
          <w:lang w:val="en-US"/>
        </w:rPr>
        <w:t>drive</w:t>
      </w:r>
      <w:r w:rsidR="008515C4" w:rsidRPr="009658C3">
        <w:rPr>
          <w:rFonts w:ascii="Calibri" w:hAnsi="Calibri" w:cs="Calibri"/>
          <w:color w:val="000000" w:themeColor="text1"/>
          <w:lang w:val="en-US"/>
        </w:rPr>
        <w:t xml:space="preserve"> the </w:t>
      </w:r>
      <w:r w:rsidR="008515C4">
        <w:rPr>
          <w:rFonts w:ascii="Calibri" w:hAnsi="Calibri" w:cs="Calibri"/>
          <w:color w:val="000000" w:themeColor="text1"/>
          <w:lang w:val="en-US"/>
        </w:rPr>
        <w:t xml:space="preserve">cellular </w:t>
      </w:r>
      <w:r w:rsidR="008515C4" w:rsidRPr="009658C3">
        <w:rPr>
          <w:rFonts w:ascii="Calibri" w:hAnsi="Calibri" w:cs="Calibri"/>
          <w:color w:val="000000" w:themeColor="text1"/>
          <w:lang w:val="en-US"/>
        </w:rPr>
        <w:t>transition.</w:t>
      </w:r>
      <w:r w:rsidR="008515C4">
        <w:rPr>
          <w:rFonts w:ascii="Calibri" w:hAnsi="Calibri" w:cs="Calibri"/>
          <w:color w:val="000000" w:themeColor="text1"/>
          <w:lang w:val="en-US"/>
        </w:rPr>
        <w:t xml:space="preserve"> </w:t>
      </w:r>
      <w:r w:rsidR="008515C4" w:rsidRPr="009658C3">
        <w:rPr>
          <w:rFonts w:ascii="Calibri" w:hAnsi="Calibri" w:cs="Calibri"/>
          <w:color w:val="000000" w:themeColor="text1"/>
          <w:lang w:val="en-US"/>
        </w:rPr>
        <w:t xml:space="preserve">Benchmarking across multiple immune systems demonstrated that the inferred TF-centric regulons exhibit high specificity and sensitivity in capturing state transitions, underscoring the robustness, interpretability, and generalizability of </w:t>
      </w:r>
      <w:proofErr w:type="spellStart"/>
      <w:r w:rsidR="008515C4" w:rsidRPr="009658C3">
        <w:rPr>
          <w:rFonts w:ascii="Calibri" w:hAnsi="Calibri" w:cs="Calibri"/>
          <w:color w:val="000000" w:themeColor="text1"/>
          <w:lang w:val="en-US"/>
        </w:rPr>
        <w:t>FIREFate</w:t>
      </w:r>
      <w:proofErr w:type="spellEnd"/>
      <w:r w:rsidR="008515C4" w:rsidRPr="009658C3">
        <w:rPr>
          <w:rFonts w:ascii="Calibri" w:hAnsi="Calibri" w:cs="Calibri"/>
          <w:color w:val="000000" w:themeColor="text1"/>
          <w:lang w:val="en-US"/>
        </w:rPr>
        <w:t xml:space="preserve"> for dissecting regulatory mechanisms across diverse contexts.</w:t>
      </w:r>
      <w:r w:rsidR="008515C4">
        <w:rPr>
          <w:rFonts w:ascii="Calibri" w:hAnsi="Calibri" w:cs="Calibri"/>
          <w:color w:val="000000" w:themeColor="text1"/>
          <w:lang w:val="en-US"/>
        </w:rPr>
        <w:t xml:space="preserve"> </w:t>
      </w:r>
    </w:p>
    <w:p w14:paraId="41FAD9F5" w14:textId="0B61B92E" w:rsidR="008515C4" w:rsidRPr="009658C3" w:rsidRDefault="008515C4" w:rsidP="008515C4">
      <w:pPr>
        <w:spacing w:before="240" w:after="240"/>
        <w:jc w:val="both"/>
        <w:rPr>
          <w:rFonts w:ascii="Calibri" w:hAnsi="Calibri" w:cs="Calibri"/>
          <w:color w:val="000000" w:themeColor="text1"/>
          <w:lang w:val="en-US"/>
        </w:rPr>
      </w:pPr>
      <w:r w:rsidRPr="009658C3">
        <w:rPr>
          <w:rFonts w:ascii="Calibri" w:hAnsi="Calibri" w:cs="Calibri"/>
          <w:color w:val="000000" w:themeColor="text1"/>
          <w:lang w:val="en-US"/>
        </w:rPr>
        <w:t xml:space="preserve">While static GRNs reveal state-specific </w:t>
      </w:r>
      <w:r>
        <w:rPr>
          <w:rFonts w:ascii="Calibri" w:hAnsi="Calibri" w:cs="Calibri"/>
          <w:color w:val="000000" w:themeColor="text1"/>
          <w:lang w:val="en-US"/>
        </w:rPr>
        <w:t xml:space="preserve">regulatory </w:t>
      </w:r>
      <w:r w:rsidRPr="009658C3">
        <w:rPr>
          <w:rFonts w:ascii="Calibri" w:hAnsi="Calibri" w:cs="Calibri"/>
          <w:color w:val="000000" w:themeColor="text1"/>
          <w:lang w:val="en-US"/>
        </w:rPr>
        <w:t xml:space="preserve">architectures, they often obscure transient TF activities and dynamic interactions essential for lineage commitment. To address this,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quantifi</w:t>
      </w:r>
      <w:r>
        <w:rPr>
          <w:rFonts w:ascii="Calibri" w:hAnsi="Calibri" w:cs="Calibri"/>
          <w:color w:val="000000" w:themeColor="text1"/>
          <w:lang w:val="en-US"/>
        </w:rPr>
        <w:t>es</w:t>
      </w:r>
      <w:r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transient TF </w:t>
      </w:r>
      <w:r w:rsidRPr="009658C3">
        <w:rPr>
          <w:rFonts w:ascii="Calibri" w:hAnsi="Calibri" w:cs="Calibri"/>
          <w:color w:val="000000" w:themeColor="text1"/>
          <w:lang w:val="en-US"/>
        </w:rPr>
        <w:t>dynamic</w:t>
      </w:r>
      <w:r>
        <w:rPr>
          <w:rFonts w:ascii="Calibri" w:hAnsi="Calibri" w:cs="Calibri"/>
          <w:color w:val="000000" w:themeColor="text1"/>
          <w:lang w:val="en-US"/>
        </w:rPr>
        <w:t xml:space="preserve">s and </w:t>
      </w:r>
      <w:r w:rsidRPr="009658C3">
        <w:rPr>
          <w:rFonts w:ascii="Calibri" w:hAnsi="Calibri" w:cs="Calibri"/>
          <w:color w:val="000000" w:themeColor="text1"/>
          <w:lang w:val="en-US"/>
        </w:rPr>
        <w:t>uncover</w:t>
      </w:r>
      <w:r>
        <w:rPr>
          <w:rFonts w:ascii="Calibri" w:hAnsi="Calibri" w:cs="Calibri"/>
          <w:color w:val="000000" w:themeColor="text1"/>
          <w:lang w:val="en-US"/>
        </w:rPr>
        <w:t>s</w:t>
      </w:r>
      <w:r w:rsidRPr="009658C3">
        <w:rPr>
          <w:rFonts w:ascii="Calibri" w:hAnsi="Calibri" w:cs="Calibri"/>
          <w:color w:val="000000" w:themeColor="text1"/>
          <w:lang w:val="en-US"/>
        </w:rPr>
        <w:t xml:space="preserve"> sequential waves of TF activation that orchestrate</w:t>
      </w:r>
      <w:r>
        <w:rPr>
          <w:rFonts w:ascii="Calibri" w:hAnsi="Calibri" w:cs="Calibri"/>
          <w:color w:val="000000" w:themeColor="text1"/>
          <w:lang w:val="en-US"/>
        </w:rPr>
        <w:t xml:space="preserve"> cell fate</w:t>
      </w:r>
      <w:r w:rsidRPr="009658C3">
        <w:rPr>
          <w:rFonts w:ascii="Calibri" w:hAnsi="Calibri" w:cs="Calibri"/>
          <w:color w:val="000000" w:themeColor="text1"/>
          <w:lang w:val="en-US"/>
        </w:rPr>
        <w:t xml:space="preserve"> bifurcation</w:t>
      </w:r>
      <w:r>
        <w:rPr>
          <w:rFonts w:ascii="Calibri" w:hAnsi="Calibri" w:cs="Calibri"/>
          <w:color w:val="000000" w:themeColor="text1"/>
          <w:lang w:val="en-US"/>
        </w:rPr>
        <w:t xml:space="preserve">. This is achieved by integrating inferred cellular programs with a dynamic GRN which constructed using a </w:t>
      </w:r>
      <w:r w:rsidRPr="009658C3">
        <w:rPr>
          <w:rFonts w:ascii="Calibri" w:hAnsi="Calibri" w:cs="Calibri"/>
          <w:color w:val="000000" w:themeColor="text1"/>
          <w:lang w:val="en-US"/>
        </w:rPr>
        <w:t>stochastic ODE-based approach that simulate</w:t>
      </w:r>
      <w:r>
        <w:rPr>
          <w:rFonts w:ascii="Calibri" w:hAnsi="Calibri" w:cs="Calibri"/>
          <w:color w:val="000000" w:themeColor="text1"/>
          <w:lang w:val="en-US"/>
        </w:rPr>
        <w:t>s</w:t>
      </w:r>
      <w:r w:rsidRPr="009658C3">
        <w:rPr>
          <w:rFonts w:ascii="Calibri" w:hAnsi="Calibri" w:cs="Calibri"/>
          <w:color w:val="000000" w:themeColor="text1"/>
          <w:lang w:val="en-US"/>
        </w:rPr>
        <w:t xml:space="preserve"> continuous differentiation trajectories from epigenomic and transcriptomic data</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{"citationID":"SVXn1mBA","properties":{"formattedCitation":"\\super 18\\nosupersub{}","plainCitation":"18","noteIndex":0},"citationItems":[{"id":2589,"uris":["http://zotero.org/groups/6337619/items/FM9ADSYS"],"itemData":{"id":2589,"type":"article-journal","container-title":"Nature Methods","DOI":"10.1038/s41592-023-01971-3","ISSN":"1548-7091, 1548-7105","issue":"9","journalAbbreviation":"Nat Methods","language":"en","page":"1368-1378","source":"DOI.org (Crossref)","title":"Dictys: dynamic gene regulatory network dissects developmental continuum with single-cell multiomics","title-short":"Dictys","volume":"20","author":[{"family":"Wang","given":"Lingfei"},{"family":"Trasanidis","given":"Nikolaos"},{"family":"Wu","given":"Ting"},{"family":"Dong","given":"Guanlan"},{"family":"Hu","given":"Michael"},{"family":"Bauer","given":"Daniel E."},{"family":"Pinello","given":"Luca"}],"issued":{"date-parts":[["2023",9]]}}}],"schema":"https://github.com/citation-style-language/schema/raw/master/csl-citation.json"}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18</w:t>
      </w:r>
      <w:r>
        <w:rPr>
          <w:rFonts w:ascii="Calibri" w:hAnsi="Calibri" w:cs="Calibri"/>
          <w:color w:val="000000" w:themeColor="text1"/>
          <w:lang w:val="en-US"/>
        </w:rPr>
        <w:fldChar w:fldCharType="end"/>
      </w:r>
      <w:r w:rsidRPr="009658C3">
        <w:rPr>
          <w:rFonts w:ascii="Calibri" w:hAnsi="Calibri" w:cs="Calibri"/>
          <w:color w:val="000000" w:themeColor="text1"/>
          <w:lang w:val="en-US"/>
        </w:rPr>
        <w:t xml:space="preserve"> (Fig. 1B).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then </w:t>
      </w:r>
      <w:r w:rsidRPr="009658C3">
        <w:rPr>
          <w:rFonts w:ascii="Calibri" w:hAnsi="Calibri" w:cs="Calibri"/>
          <w:color w:val="000000" w:themeColor="text1"/>
          <w:lang w:val="en-US"/>
        </w:rPr>
        <w:t>quanti</w:t>
      </w:r>
      <w:r>
        <w:rPr>
          <w:rFonts w:ascii="Calibri" w:hAnsi="Calibri" w:cs="Calibri"/>
          <w:color w:val="000000" w:themeColor="text1"/>
          <w:lang w:val="en-US"/>
        </w:rPr>
        <w:t>fies</w:t>
      </w:r>
      <w:r w:rsidRPr="009658C3">
        <w:rPr>
          <w:rFonts w:ascii="Calibri" w:hAnsi="Calibri" w:cs="Calibri"/>
          <w:color w:val="000000" w:themeColor="text1"/>
          <w:lang w:val="en-US"/>
        </w:rPr>
        <w:t xml:space="preserve"> TF</w:t>
      </w:r>
      <w:r>
        <w:rPr>
          <w:rFonts w:ascii="Calibri" w:hAnsi="Calibri" w:cs="Calibri"/>
          <w:color w:val="000000" w:themeColor="text1"/>
          <w:lang w:val="en-US"/>
        </w:rPr>
        <w:t xml:space="preserve"> </w:t>
      </w:r>
      <w:r w:rsidRPr="009658C3">
        <w:rPr>
          <w:rFonts w:ascii="Calibri" w:hAnsi="Calibri" w:cs="Calibri"/>
          <w:color w:val="000000" w:themeColor="text1"/>
          <w:lang w:val="en-US"/>
        </w:rPr>
        <w:t>episodic enrichmen</w:t>
      </w:r>
      <w:r>
        <w:rPr>
          <w:rFonts w:ascii="Calibri" w:hAnsi="Calibri" w:cs="Calibri"/>
          <w:color w:val="000000" w:themeColor="text1"/>
          <w:lang w:val="en-US"/>
        </w:rPr>
        <w:t>t enables us to</w:t>
      </w:r>
      <w:r w:rsidRPr="004943ED">
        <w:rPr>
          <w:rFonts w:ascii="Calibri" w:hAnsi="Calibri" w:cs="Calibri"/>
          <w:color w:val="000000" w:themeColor="text1"/>
          <w:lang w:val="en-US"/>
        </w:rPr>
        <w:t xml:space="preserve"> </w:t>
      </w:r>
      <w:r w:rsidRPr="009658C3">
        <w:rPr>
          <w:rFonts w:ascii="Calibri" w:hAnsi="Calibri" w:cs="Calibri"/>
          <w:color w:val="000000" w:themeColor="text1"/>
          <w:lang w:val="en-US"/>
        </w:rPr>
        <w:t>identi</w:t>
      </w:r>
      <w:r>
        <w:rPr>
          <w:rFonts w:ascii="Calibri" w:hAnsi="Calibri" w:cs="Calibri"/>
          <w:color w:val="000000" w:themeColor="text1"/>
          <w:lang w:val="en-US"/>
        </w:rPr>
        <w:t>fy</w:t>
      </w:r>
      <w:r w:rsidRPr="009658C3">
        <w:rPr>
          <w:rFonts w:ascii="Calibri" w:hAnsi="Calibri" w:cs="Calibri"/>
          <w:color w:val="000000" w:themeColor="text1"/>
          <w:lang w:val="en-US"/>
        </w:rPr>
        <w:t xml:space="preserve"> temporal window of action for transient TFs, </w:t>
      </w:r>
      <w:r>
        <w:rPr>
          <w:rFonts w:ascii="Calibri" w:hAnsi="Calibri" w:cs="Calibri"/>
          <w:color w:val="000000" w:themeColor="text1"/>
          <w:lang w:val="en-US"/>
        </w:rPr>
        <w:t>adding</w:t>
      </w:r>
      <w:r w:rsidRPr="009658C3">
        <w:rPr>
          <w:rFonts w:ascii="Calibri" w:hAnsi="Calibri" w:cs="Calibri"/>
          <w:color w:val="000000" w:themeColor="text1"/>
          <w:lang w:val="en-US"/>
        </w:rPr>
        <w:t xml:space="preserve"> mechanistic insight into regulatory decision-making during fate transitions.</w:t>
      </w:r>
      <w:r>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Through this integrative </w:t>
      </w:r>
      <w:r>
        <w:rPr>
          <w:rFonts w:ascii="Calibri" w:hAnsi="Calibri" w:cs="Calibri"/>
          <w:color w:val="000000" w:themeColor="text1"/>
          <w:lang w:val="en-US"/>
        </w:rPr>
        <w:t>paradigm</w:t>
      </w:r>
      <w:r w:rsidRPr="009658C3">
        <w:rPr>
          <w:rFonts w:ascii="Calibri" w:hAnsi="Calibri" w:cs="Calibri"/>
          <w:color w:val="000000" w:themeColor="text1"/>
          <w:lang w:val="en-US"/>
        </w:rPr>
        <w:t xml:space="preserve">,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w:t>
      </w:r>
      <w:r w:rsidRPr="009658C3">
        <w:rPr>
          <w:rFonts w:ascii="Calibri" w:hAnsi="Calibri" w:cs="Calibri"/>
          <w:color w:val="000000" w:themeColor="text1"/>
          <w:lang w:val="en-US"/>
        </w:rPr>
        <w:t>offers a systems-level lens to dissect how hierarchical gene regulation evolves as cells progress through decision-making landscapes toward their final fates.</w:t>
      </w:r>
    </w:p>
    <w:p w14:paraId="4F88726E" w14:textId="77777777" w:rsidR="008515C4" w:rsidRPr="00FB0275" w:rsidRDefault="008515C4" w:rsidP="008515C4">
      <w:pPr>
        <w:spacing w:before="240" w:after="240"/>
        <w:jc w:val="both"/>
        <w:rPr>
          <w:rFonts w:ascii="Calibri" w:eastAsia="Calibri" w:hAnsi="Calibri" w:cs="Calibri"/>
          <w:color w:val="000000" w:themeColor="text1"/>
        </w:rPr>
      </w:pPr>
      <w:r w:rsidRPr="00686C9F">
        <w:rPr>
          <w:rFonts w:ascii="Calibri" w:hAnsi="Calibri" w:cs="Calibri"/>
        </w:rPr>
        <w:t xml:space="preserve">Orthogonally, </w:t>
      </w:r>
      <w:r>
        <w:rPr>
          <w:rFonts w:ascii="Calibri" w:hAnsi="Calibri" w:cs="Calibri"/>
        </w:rPr>
        <w:t xml:space="preserve">the conceptual design of </w:t>
      </w:r>
      <w:proofErr w:type="spellStart"/>
      <w:r>
        <w:rPr>
          <w:rFonts w:ascii="Calibri" w:hAnsi="Calibri" w:cs="Calibri"/>
        </w:rPr>
        <w:t>FIREFate</w:t>
      </w:r>
      <w:proofErr w:type="spellEnd"/>
      <w:r>
        <w:rPr>
          <w:rFonts w:ascii="Calibri" w:hAnsi="Calibri" w:cs="Calibri"/>
        </w:rPr>
        <w:t xml:space="preserve"> enables resolution of </w:t>
      </w:r>
      <w:r w:rsidRPr="00686C9F">
        <w:rPr>
          <w:rFonts w:ascii="Calibri" w:hAnsi="Calibri" w:cs="Calibri"/>
        </w:rPr>
        <w:t>dynamic</w:t>
      </w:r>
      <w:r>
        <w:rPr>
          <w:rFonts w:ascii="Calibri" w:hAnsi="Calibri" w:cs="Calibri"/>
        </w:rPr>
        <w:t xml:space="preserve"> </w:t>
      </w:r>
      <w:r w:rsidRPr="00686C9F">
        <w:rPr>
          <w:rFonts w:ascii="Calibri" w:hAnsi="Calibri" w:cs="Calibri"/>
        </w:rPr>
        <w:t>TF</w:t>
      </w:r>
      <w:r>
        <w:rPr>
          <w:rFonts w:ascii="Calibri" w:hAnsi="Calibri" w:cs="Calibri"/>
        </w:rPr>
        <w:t xml:space="preserve"> </w:t>
      </w:r>
      <w:r w:rsidRPr="00686C9F">
        <w:rPr>
          <w:rFonts w:ascii="Calibri" w:hAnsi="Calibri" w:cs="Calibri"/>
        </w:rPr>
        <w:t>activit</w:t>
      </w:r>
      <w:r>
        <w:rPr>
          <w:rFonts w:ascii="Calibri" w:hAnsi="Calibri" w:cs="Calibri"/>
        </w:rPr>
        <w:t xml:space="preserve">ies that drive cell fate commitment, identifying </w:t>
      </w:r>
      <w:r w:rsidRPr="6C4092E4">
        <w:rPr>
          <w:rFonts w:ascii="Calibri" w:hAnsi="Calibri" w:cs="Calibri"/>
          <w:color w:val="000000" w:themeColor="text1"/>
          <w:lang w:val="en-US"/>
        </w:rPr>
        <w:t>lineage-defining TFs</w:t>
      </w:r>
      <w:r>
        <w:rPr>
          <w:rFonts w:ascii="Calibri" w:hAnsi="Calibri" w:cs="Calibri"/>
        </w:rPr>
        <w:t xml:space="preserve">. The framework </w:t>
      </w:r>
      <w:r w:rsidRPr="00686C9F">
        <w:rPr>
          <w:rFonts w:ascii="Calibri" w:hAnsi="Calibri" w:cs="Calibri"/>
        </w:rPr>
        <w:t>provides a GRN-independent formul</w:t>
      </w:r>
      <w:r>
        <w:rPr>
          <w:rFonts w:ascii="Calibri" w:hAnsi="Calibri" w:cs="Calibri"/>
        </w:rPr>
        <w:t>ation</w:t>
      </w:r>
      <w:r w:rsidRPr="00686C9F">
        <w:rPr>
          <w:rFonts w:ascii="Calibri" w:hAnsi="Calibri" w:cs="Calibri"/>
        </w:rPr>
        <w:t xml:space="preserve"> by transferring the cellular programs </w:t>
      </w:r>
      <w:r w:rsidRPr="00BA6951">
        <w:rPr>
          <w:rFonts w:ascii="Calibri" w:eastAsia="Calibri" w:hAnsi="Calibri" w:cs="Calibri"/>
          <w:color w:val="000000" w:themeColor="text1"/>
        </w:rPr>
        <w:t>inferred from TF-perturbation</w:t>
      </w:r>
      <w:r>
        <w:rPr>
          <w:rFonts w:ascii="Calibri" w:eastAsia="Calibri" w:hAnsi="Calibri" w:cs="Calibri"/>
          <w:color w:val="000000" w:themeColor="text1"/>
        </w:rPr>
        <w:t xml:space="preserve"> onto </w:t>
      </w:r>
      <w:r w:rsidRPr="009658C3">
        <w:rPr>
          <w:rFonts w:ascii="Calibri" w:hAnsi="Calibri" w:cs="Calibri"/>
          <w:color w:val="000000" w:themeColor="text1"/>
          <w:lang w:val="en-US"/>
        </w:rPr>
        <w:t>uncommitted cel</w:t>
      </w:r>
      <w:r>
        <w:rPr>
          <w:rFonts w:ascii="Calibri" w:hAnsi="Calibri" w:cs="Calibri"/>
          <w:color w:val="000000" w:themeColor="text1"/>
          <w:lang w:val="en-US"/>
        </w:rPr>
        <w:t>ls</w:t>
      </w:r>
      <w:r w:rsidRPr="00686C9F">
        <w:rPr>
          <w:rFonts w:ascii="Calibri" w:hAnsi="Calibri" w:cs="Calibri"/>
        </w:rPr>
        <w:t xml:space="preserve">, </w:t>
      </w:r>
      <w:r w:rsidRPr="6C4092E4">
        <w:rPr>
          <w:rFonts w:ascii="Calibri" w:hAnsi="Calibri" w:cs="Calibri"/>
          <w:color w:val="000000" w:themeColor="text1"/>
          <w:lang w:val="en-US"/>
        </w:rPr>
        <w:t xml:space="preserve">enabling </w:t>
      </w:r>
      <w:r>
        <w:rPr>
          <w:rFonts w:ascii="Calibri" w:hAnsi="Calibri" w:cs="Calibri"/>
          <w:color w:val="000000" w:themeColor="text1"/>
          <w:lang w:val="en-US"/>
        </w:rPr>
        <w:t xml:space="preserve">revealing </w:t>
      </w:r>
      <w:r w:rsidRPr="009658C3">
        <w:rPr>
          <w:rFonts w:ascii="Calibri" w:hAnsi="Calibri" w:cs="Calibri"/>
          <w:color w:val="000000" w:themeColor="text1"/>
          <w:lang w:val="en-US"/>
        </w:rPr>
        <w:t>upstream regulatory circuits that prime bifurcation events</w:t>
      </w:r>
      <w:r w:rsidRPr="6C4092E4">
        <w:rPr>
          <w:rFonts w:ascii="Calibri" w:hAnsi="Calibri" w:cs="Calibri"/>
          <w:color w:val="000000" w:themeColor="text1"/>
          <w:lang w:val="en-US"/>
        </w:rPr>
        <w:t xml:space="preserve"> </w:t>
      </w:r>
      <w:r>
        <w:rPr>
          <w:rFonts w:ascii="Calibri" w:hAnsi="Calibri" w:cs="Calibri"/>
          <w:color w:val="000000" w:themeColor="text1"/>
          <w:lang w:val="en-US"/>
        </w:rPr>
        <w:t xml:space="preserve">and </w:t>
      </w:r>
      <w:r w:rsidRPr="6C4092E4">
        <w:rPr>
          <w:rFonts w:ascii="Calibri" w:hAnsi="Calibri" w:cs="Calibri"/>
          <w:color w:val="000000" w:themeColor="text1"/>
          <w:lang w:val="en-US"/>
        </w:rPr>
        <w:t>prediction of lineage outcome</w:t>
      </w:r>
      <w:r>
        <w:rPr>
          <w:rFonts w:ascii="Calibri" w:hAnsi="Calibri" w:cs="Calibri"/>
          <w:color w:val="000000" w:themeColor="text1"/>
          <w:lang w:val="en-US"/>
        </w:rPr>
        <w:t>s</w:t>
      </w:r>
      <w:r w:rsidRPr="6C4092E4">
        <w:rPr>
          <w:rFonts w:ascii="Calibri" w:hAnsi="Calibri" w:cs="Calibri"/>
          <w:color w:val="000000" w:themeColor="text1"/>
          <w:lang w:val="en-US"/>
        </w:rPr>
        <w:t xml:space="preserve"> before bifurcation becomes transcriptionally apparent</w:t>
      </w:r>
      <w:r>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(Fig. 1C). Across multiple cellular systems, this approach consistently captured fate-predisposing patterns overlooked by DEG-based and conventional machine learning methods, demonstrating its superior accuracy and generalizability. Altogether, this integrative framework fuses </w:t>
      </w:r>
      <w:r>
        <w:rPr>
          <w:rFonts w:ascii="Calibri" w:hAnsi="Calibri" w:cs="Calibri"/>
          <w:color w:val="000000" w:themeColor="text1"/>
          <w:lang w:val="en-US"/>
        </w:rPr>
        <w:t xml:space="preserve">mechanistic </w:t>
      </w:r>
      <w:r w:rsidRPr="009658C3">
        <w:rPr>
          <w:rFonts w:ascii="Calibri" w:hAnsi="Calibri" w:cs="Calibri"/>
          <w:color w:val="000000" w:themeColor="text1"/>
          <w:lang w:val="en-US"/>
        </w:rPr>
        <w:t>views with interpretable machine learning to delineate the cellular programs that steer fate bifurcation and commitment. Its robustness across diverse systems demonstrates its ability to resolve the molecular logic underlying cell fate decisions beyond the reach of existing approaches.</w:t>
      </w:r>
    </w:p>
    <w:p w14:paraId="409ACB6A" w14:textId="77777777" w:rsidR="008515C4" w:rsidRPr="009658C3" w:rsidRDefault="008515C4" w:rsidP="008515C4">
      <w:pPr>
        <w:pStyle w:val="Heading3"/>
        <w:jc w:val="both"/>
        <w:rPr>
          <w:rFonts w:ascii="Calibri" w:hAnsi="Calibri" w:cs="Calibri"/>
          <w:b/>
          <w:bCs/>
          <w:color w:val="000000" w:themeColor="text1"/>
          <w:sz w:val="24"/>
          <w:szCs w:val="24"/>
          <w:lang w:val="en-US"/>
        </w:rPr>
      </w:pPr>
      <w:proofErr w:type="spellStart"/>
      <w:r w:rsidRPr="009658C3">
        <w:rPr>
          <w:rFonts w:ascii="Calibri" w:hAnsi="Calibri" w:cs="Calibri"/>
          <w:b/>
          <w:bCs/>
          <w:color w:val="000000" w:themeColor="text1"/>
          <w:sz w:val="24"/>
          <w:szCs w:val="24"/>
          <w:lang w:val="en-US"/>
        </w:rPr>
        <w:t>FIREFate</w:t>
      </w:r>
      <w:proofErr w:type="spellEnd"/>
      <w:r w:rsidRPr="009658C3">
        <w:rPr>
          <w:rFonts w:ascii="Calibri" w:hAnsi="Calibri" w:cs="Calibri"/>
          <w:b/>
          <w:bCs/>
          <w:color w:val="000000" w:themeColor="text1"/>
          <w:sz w:val="24"/>
          <w:szCs w:val="24"/>
          <w:lang w:val="en-US"/>
        </w:rPr>
        <w:t xml:space="preserve"> Reveals </w:t>
      </w:r>
      <w:r w:rsidRPr="009658C3">
        <w:rPr>
          <w:rFonts w:ascii="Calibri" w:hAnsi="Calibri" w:cs="Calibri"/>
          <w:b/>
          <w:bCs/>
          <w:color w:val="000000" w:themeColor="text1"/>
          <w:sz w:val="24"/>
          <w:szCs w:val="24"/>
        </w:rPr>
        <w:t>Robust and Transferable Regulatory Programs Driving B-Cell Fate Bifurcation</w:t>
      </w:r>
    </w:p>
    <w:p w14:paraId="0D7A791A" w14:textId="1C21B6A3" w:rsidR="008515C4" w:rsidRPr="009658C3" w:rsidRDefault="008515C4" w:rsidP="008515C4">
      <w:pPr>
        <w:jc w:val="both"/>
        <w:rPr>
          <w:rFonts w:ascii="Calibri" w:hAnsi="Calibri" w:cs="Calibri"/>
          <w:color w:val="000000" w:themeColor="text1"/>
        </w:rPr>
      </w:pPr>
      <w:r w:rsidRPr="009658C3">
        <w:rPr>
          <w:rFonts w:ascii="Calibri" w:hAnsi="Calibri" w:cs="Calibri"/>
          <w:color w:val="000000" w:themeColor="text1"/>
        </w:rPr>
        <w:t>Adaptive humoral immunity depends on naïve B cells that, after antigen encounter, can differentiate into extrafollicular plasma blasts (PBs) producing early but low-affinity immunoglobulins.  Alternatively, they can enter germinal centers (GCs) to generate high-affinity, long-lived plasma cells and memory B cells that sustain durable humoral immunity</w:t>
      </w:r>
      <w:r w:rsidRPr="009658C3">
        <w:rPr>
          <w:rFonts w:ascii="Calibri" w:hAnsi="Calibri" w:cs="Calibri"/>
          <w:color w:val="000000" w:themeColor="text1"/>
        </w:rPr>
        <w:fldChar w:fldCharType="begin"/>
      </w:r>
      <w:r w:rsidR="00BD6670">
        <w:rPr>
          <w:rFonts w:ascii="Calibri" w:hAnsi="Calibri" w:cs="Calibri"/>
          <w:color w:val="000000" w:themeColor="text1"/>
        </w:rPr>
        <w:instrText xml:space="preserve"> ADDIN ZOTERO_ITEM CSL_CITATION {"citationID":"ipgsf1AJ","properties":{"formattedCitation":"\\super 24\\nosupersub{}","plainCitation":"24","noteIndex":0},"citationItems":[{"id":2596,"uris":["http://zotero.org/groups/6337619/items/5RW9I7VE"],"itemData":{"id":2596,"type":"article-journal","container-title":"Nature Reviews Immunology","DOI":"10.1038/nri3795","ISSN":"1474-1733, 1474-1741","issue":"3","journalAbbreviation":"Nat Rev Immunol","language":"en","page":"160-171","source":"DOI.org (Crossref)","title":"The generation of antibody-secreting plasma cells","volume":"15","author":[{"family":"Nutt","given":"Stephen L."},{"family":"Hodgkin","given":"Philip D."},{"family":"Tarlinton","given":"David M."},{"family":"Corcoran","given":"Lynn M."}],"issued":{"date-parts":[["2015",3]]}}}],"schema":"https://github.com/citation-style-language/schema/raw/master/csl-citation.json"} </w:instrText>
      </w:r>
      <w:r w:rsidRPr="009658C3">
        <w:rPr>
          <w:rFonts w:ascii="Calibri" w:hAnsi="Calibri" w:cs="Calibri"/>
          <w:color w:val="000000" w:themeColor="text1"/>
        </w:rPr>
        <w:fldChar w:fldCharType="separate"/>
      </w:r>
      <w:r w:rsidR="00BD6670" w:rsidRPr="00BD6670">
        <w:rPr>
          <w:rFonts w:ascii="Calibri" w:eastAsiaTheme="minorHAnsi" w:hAnsi="Calibri" w:cs="Calibri"/>
          <w:color w:val="000000"/>
          <w:szCs w:val="24"/>
          <w:vertAlign w:val="superscript"/>
          <w:lang w:val="en-US"/>
          <w14:ligatures w14:val="standardContextual"/>
        </w:rPr>
        <w:t>24</w:t>
      </w:r>
      <w:r w:rsidRPr="009658C3">
        <w:rPr>
          <w:rFonts w:ascii="Calibri" w:hAnsi="Calibri" w:cs="Calibri"/>
          <w:color w:val="000000" w:themeColor="text1"/>
        </w:rPr>
        <w:fldChar w:fldCharType="end"/>
      </w:r>
      <w:r w:rsidRPr="009658C3">
        <w:rPr>
          <w:rFonts w:ascii="Calibri" w:hAnsi="Calibri" w:cs="Calibri"/>
          <w:color w:val="000000" w:themeColor="text1"/>
          <w:vertAlign w:val="superscript"/>
        </w:rPr>
        <w:t>,</w:t>
      </w:r>
      <w:r w:rsidRPr="009658C3">
        <w:rPr>
          <w:rFonts w:ascii="Calibri" w:hAnsi="Calibri" w:cs="Calibri"/>
          <w:color w:val="000000" w:themeColor="text1"/>
          <w:vertAlign w:val="superscript"/>
        </w:rPr>
        <w:fldChar w:fldCharType="begin"/>
      </w:r>
      <w:r w:rsidR="00BD6670">
        <w:rPr>
          <w:rFonts w:ascii="Calibri" w:hAnsi="Calibri" w:cs="Calibri"/>
          <w:color w:val="000000" w:themeColor="text1"/>
          <w:vertAlign w:val="superscript"/>
        </w:rPr>
        <w:instrText xml:space="preserve"> ADDIN ZOTERO_ITEM CSL_CITATION {"citationID":"CSD0HGNt","properties":{"formattedCitation":"\\super 25\\nosupersub{}","plainCitation":"25","noteIndex":0},"citationItems":[{"id":2597,"uris":["http://zotero.org/groups/6337619/items/N35TCRQZ"],"itemData":{"id":2597,"type":"article-journal","container-title":"Immunity","DOI":"10.1016/j.immuni.2020.11.006","ISSN":"10747613","issue":"6","journalAbbreviation":"Immunity","language":"en","page":"1136-1150","source":"DOI.org (Crossref)","title":"Germinal Center and Extrafollicular B Cell Responses in Vaccination, Immunity, and Autoimmunity","volume":"53","author":[{"family":"Elsner","given":"Rebecca A."},{"family":"Shlomchik","given":"Mark J."}],"issued":{"date-parts":[["2020",12]]}}}],"schema":"https://github.com/citation-style-language/schema/raw/master/csl-citation.json"} </w:instrText>
      </w:r>
      <w:r w:rsidRPr="009658C3">
        <w:rPr>
          <w:rFonts w:ascii="Calibri" w:hAnsi="Calibri" w:cs="Calibri"/>
          <w:color w:val="000000" w:themeColor="text1"/>
          <w:vertAlign w:val="superscript"/>
        </w:rPr>
        <w:fldChar w:fldCharType="separate"/>
      </w:r>
      <w:r w:rsidR="00BD6670" w:rsidRPr="00BD6670">
        <w:rPr>
          <w:rFonts w:ascii="Calibri" w:eastAsiaTheme="minorHAnsi" w:hAnsi="Calibri" w:cs="Calibri"/>
          <w:color w:val="000000"/>
          <w:szCs w:val="24"/>
          <w:vertAlign w:val="superscript"/>
          <w:lang w:val="en-US"/>
          <w14:ligatures w14:val="standardContextual"/>
        </w:rPr>
        <w:t>25</w:t>
      </w:r>
      <w:r w:rsidRPr="009658C3">
        <w:rPr>
          <w:rFonts w:ascii="Calibri" w:hAnsi="Calibri" w:cs="Calibri"/>
          <w:color w:val="000000" w:themeColor="text1"/>
          <w:vertAlign w:val="superscript"/>
        </w:rPr>
        <w:fldChar w:fldCharType="end"/>
      </w:r>
      <w:r w:rsidRPr="009658C3">
        <w:rPr>
          <w:rFonts w:ascii="Calibri" w:hAnsi="Calibri" w:cs="Calibri"/>
          <w:color w:val="000000" w:themeColor="text1"/>
        </w:rPr>
        <w:t xml:space="preserve">. The </w:t>
      </w:r>
      <w:r>
        <w:rPr>
          <w:rFonts w:ascii="Calibri" w:hAnsi="Calibri" w:cs="Calibri"/>
          <w:color w:val="000000" w:themeColor="text1"/>
        </w:rPr>
        <w:t xml:space="preserve">key </w:t>
      </w:r>
      <w:r w:rsidRPr="009658C3">
        <w:rPr>
          <w:rFonts w:ascii="Calibri" w:hAnsi="Calibri" w:cs="Calibri"/>
          <w:color w:val="000000" w:themeColor="text1"/>
        </w:rPr>
        <w:lastRenderedPageBreak/>
        <w:t>regulatory programs governing this fate bifurcation remain incompletely defined, despite their direct relevance to selectively tuning antibody responses.</w:t>
      </w:r>
    </w:p>
    <w:p w14:paraId="2E849AE3" w14:textId="77777777" w:rsidR="008515C4" w:rsidRPr="009658C3" w:rsidRDefault="008515C4" w:rsidP="008515C4">
      <w:pPr>
        <w:jc w:val="both"/>
        <w:rPr>
          <w:rFonts w:ascii="Calibri" w:hAnsi="Calibri" w:cs="Calibri"/>
          <w:color w:val="000000" w:themeColor="text1"/>
          <w:lang w:val="en-US"/>
        </w:rPr>
      </w:pPr>
    </w:p>
    <w:p w14:paraId="3036B209" w14:textId="77777777" w:rsidR="008515C4" w:rsidRDefault="008515C4" w:rsidP="008515C4">
      <w:pPr>
        <w:jc w:val="both"/>
        <w:rPr>
          <w:rFonts w:ascii="Calibri" w:hAnsi="Calibri" w:cs="Calibri"/>
          <w:color w:val="000000" w:themeColor="text1"/>
          <w:lang w:val="en-US"/>
        </w:rPr>
      </w:pPr>
      <w:r w:rsidRPr="009658C3">
        <w:rPr>
          <w:rFonts w:ascii="Calibri" w:hAnsi="Calibri" w:cs="Calibri"/>
          <w:color w:val="000000" w:themeColor="text1"/>
          <w:lang w:val="en-US"/>
        </w:rPr>
        <w:t xml:space="preserve">Existing </w:t>
      </w:r>
      <w:r>
        <w:rPr>
          <w:rFonts w:ascii="Calibri" w:hAnsi="Calibri" w:cs="Calibri"/>
          <w:color w:val="000000" w:themeColor="text1"/>
          <w:lang w:val="en-US"/>
        </w:rPr>
        <w:t>approaches</w:t>
      </w:r>
      <w:r w:rsidRPr="009658C3">
        <w:rPr>
          <w:rFonts w:ascii="Calibri" w:hAnsi="Calibri" w:cs="Calibri"/>
          <w:color w:val="000000" w:themeColor="text1"/>
          <w:lang w:val="en-US"/>
        </w:rPr>
        <w:t xml:space="preserve"> fail to</w:t>
      </w:r>
      <w:r>
        <w:rPr>
          <w:rFonts w:ascii="Calibri" w:hAnsi="Calibri" w:cs="Calibri"/>
          <w:color w:val="000000" w:themeColor="text1"/>
          <w:lang w:val="en-US"/>
        </w:rPr>
        <w:t xml:space="preserve"> fully</w:t>
      </w:r>
      <w:r w:rsidRPr="009658C3">
        <w:rPr>
          <w:rFonts w:ascii="Calibri" w:hAnsi="Calibri" w:cs="Calibri"/>
          <w:color w:val="000000" w:themeColor="text1"/>
          <w:lang w:val="en-US"/>
        </w:rPr>
        <w:t xml:space="preserve"> capture the</w:t>
      </w:r>
      <w:r>
        <w:rPr>
          <w:rFonts w:ascii="Calibri" w:hAnsi="Calibri" w:cs="Calibri"/>
          <w:color w:val="000000" w:themeColor="text1"/>
          <w:lang w:val="en-US"/>
        </w:rPr>
        <w:t xml:space="preserve"> maximally informative, biologically causal and interpretable</w:t>
      </w:r>
      <w:r w:rsidRPr="009658C3">
        <w:rPr>
          <w:rFonts w:ascii="Calibri" w:hAnsi="Calibri" w:cs="Calibri"/>
          <w:color w:val="000000" w:themeColor="text1"/>
          <w:lang w:val="en-US"/>
        </w:rPr>
        <w:t xml:space="preserve"> systemic regulatory logic </w:t>
      </w:r>
      <w:r>
        <w:rPr>
          <w:rFonts w:ascii="Calibri" w:hAnsi="Calibri" w:cs="Calibri"/>
          <w:color w:val="000000" w:themeColor="text1"/>
          <w:lang w:val="en-US"/>
        </w:rPr>
        <w:t>underlying</w:t>
      </w:r>
      <w:r w:rsidRPr="009658C3">
        <w:rPr>
          <w:rFonts w:ascii="Calibri" w:hAnsi="Calibri" w:cs="Calibri"/>
          <w:color w:val="000000" w:themeColor="text1"/>
          <w:lang w:val="en-US"/>
        </w:rPr>
        <w:t xml:space="preserve"> B-cell fate bifurcation at a mechanistic level. DE analyses are univariate</w:t>
      </w:r>
      <w:r w:rsidRPr="009658C3">
        <w:rPr>
          <w:rFonts w:ascii="Calibri" w:hAnsi="Calibri" w:cs="Calibri"/>
          <w:color w:val="000000" w:themeColor="text1"/>
        </w:rPr>
        <w:t xml:space="preserve"> </w:t>
      </w:r>
      <w:r w:rsidRPr="009658C3">
        <w:rPr>
          <w:rFonts w:ascii="Calibri" w:hAnsi="Calibri" w:cs="Calibri"/>
          <w:color w:val="000000" w:themeColor="text1"/>
          <w:lang w:val="en-US"/>
        </w:rPr>
        <w:t xml:space="preserve">capturing </w:t>
      </w:r>
      <w:r>
        <w:rPr>
          <w:rFonts w:ascii="Calibri" w:hAnsi="Calibri" w:cs="Calibri"/>
          <w:color w:val="000000" w:themeColor="text1"/>
          <w:lang w:val="en-US"/>
        </w:rPr>
        <w:t>marginal</w:t>
      </w:r>
      <w:r w:rsidRPr="009658C3">
        <w:rPr>
          <w:rFonts w:ascii="Calibri" w:hAnsi="Calibri" w:cs="Calibri"/>
          <w:color w:val="000000" w:themeColor="text1"/>
          <w:lang w:val="en-US"/>
        </w:rPr>
        <w:t xml:space="preserve"> effects, decomposition methods </w:t>
      </w:r>
      <w:r w:rsidRPr="003F5F0B">
        <w:rPr>
          <w:rFonts w:ascii="Calibri" w:hAnsi="Calibri" w:cs="Calibri"/>
          <w:color w:val="000000" w:themeColor="text1"/>
          <w:lang w:val="en-US"/>
        </w:rPr>
        <w:t xml:space="preserve">including standard latent factor approaches and topic modeling </w:t>
      </w:r>
      <w:r w:rsidRPr="009658C3">
        <w:rPr>
          <w:rFonts w:ascii="Calibri" w:hAnsi="Calibri" w:cs="Calibri"/>
          <w:color w:val="000000" w:themeColor="text1"/>
          <w:lang w:val="en-US"/>
        </w:rPr>
        <w:t>suffer from non-identifiability and instability, and deep learning</w:t>
      </w:r>
      <w:r>
        <w:rPr>
          <w:rFonts w:ascii="Calibri" w:hAnsi="Calibri" w:cs="Calibri"/>
          <w:color w:val="000000" w:themeColor="text1"/>
          <w:lang w:val="en-US"/>
        </w:rPr>
        <w:t>-based approaches</w:t>
      </w:r>
      <w:r w:rsidRPr="009658C3">
        <w:rPr>
          <w:rFonts w:ascii="Calibri" w:hAnsi="Calibri" w:cs="Calibri"/>
          <w:color w:val="000000" w:themeColor="text1"/>
          <w:lang w:val="en-US"/>
        </w:rPr>
        <w:t xml:space="preserve"> are</w:t>
      </w:r>
      <w:r>
        <w:rPr>
          <w:rFonts w:ascii="Calibri" w:hAnsi="Calibri" w:cs="Calibri"/>
          <w:color w:val="000000" w:themeColor="text1"/>
          <w:lang w:val="en-US"/>
        </w:rPr>
        <w:t xml:space="preserve"> </w:t>
      </w:r>
      <w:r w:rsidRPr="00B75C71">
        <w:rPr>
          <w:rFonts w:ascii="Calibri" w:hAnsi="Calibri" w:cs="Calibri"/>
          <w:color w:val="000000" w:themeColor="text1"/>
          <w:lang w:val="en-US"/>
        </w:rPr>
        <w:t>mostly black-box with excellent predictive but minimal mechanistic insight</w:t>
      </w:r>
      <w:r w:rsidRPr="009658C3">
        <w:rPr>
          <w:rFonts w:ascii="Calibri" w:hAnsi="Calibri" w:cs="Calibri"/>
          <w:color w:val="000000" w:themeColor="text1"/>
          <w:lang w:val="en-US"/>
        </w:rPr>
        <w:t xml:space="preserve">. Although biologically motivated, network-based approaches prioritize hubs, producing node-centric views that ignore program-level organization. None interrogate fate as an integrated regulatory program-coherent systems where genes, regulators, and interactions are jointly enriched and functionally constrained.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w:t>
      </w:r>
      <w:r>
        <w:rPr>
          <w:rFonts w:ascii="Calibri" w:hAnsi="Calibri" w:cs="Calibri"/>
          <w:color w:val="000000" w:themeColor="text1"/>
          <w:lang w:val="en-US"/>
        </w:rPr>
        <w:t>fills</w:t>
      </w:r>
      <w:r w:rsidRPr="009658C3">
        <w:rPr>
          <w:rFonts w:ascii="Calibri" w:hAnsi="Calibri" w:cs="Calibri"/>
          <w:color w:val="000000" w:themeColor="text1"/>
          <w:lang w:val="en-US"/>
        </w:rPr>
        <w:t xml:space="preserve"> this critical gap</w:t>
      </w:r>
      <w:r>
        <w:rPr>
          <w:rFonts w:ascii="Calibri" w:hAnsi="Calibri" w:cs="Calibri"/>
          <w:color w:val="000000" w:themeColor="text1"/>
          <w:lang w:val="en-US"/>
        </w:rPr>
        <w:t xml:space="preserve"> by providing a conceptual framework that integrates biologically interpretable cellular programs </w:t>
      </w:r>
      <w:r w:rsidRPr="18435F78">
        <w:rPr>
          <w:rFonts w:ascii="Calibri" w:hAnsi="Calibri" w:cs="Calibri"/>
          <w:color w:val="000000" w:themeColor="text1"/>
          <w:lang w:val="en-US"/>
        </w:rPr>
        <w:t>with the</w:t>
      </w:r>
      <w:r>
        <w:rPr>
          <w:rFonts w:ascii="Calibri" w:hAnsi="Calibri" w:cs="Calibri"/>
          <w:color w:val="000000" w:themeColor="text1"/>
          <w:lang w:val="en-US"/>
        </w:rPr>
        <w:t xml:space="preserve"> mechanistic structures to uncover highly functional regulons.</w:t>
      </w:r>
    </w:p>
    <w:p w14:paraId="3D58C642" w14:textId="77777777" w:rsidR="008515C4" w:rsidRPr="009658C3" w:rsidRDefault="008515C4" w:rsidP="008515C4">
      <w:pPr>
        <w:jc w:val="both"/>
        <w:rPr>
          <w:rFonts w:ascii="Calibri" w:hAnsi="Calibri" w:cs="Calibri"/>
          <w:color w:val="000000" w:themeColor="text1"/>
          <w:lang w:val="en-US"/>
        </w:rPr>
      </w:pPr>
    </w:p>
    <w:p w14:paraId="3DD7AB35" w14:textId="1BB70B6E" w:rsidR="008515C4" w:rsidRPr="000D59A4" w:rsidRDefault="008515C4" w:rsidP="008515C4">
      <w:pPr>
        <w:jc w:val="both"/>
        <w:rPr>
          <w:rFonts w:ascii="Calibri" w:hAnsi="Calibri" w:cs="Calibri"/>
          <w:color w:val="000000" w:themeColor="text1"/>
          <w:lang w:val="en-US"/>
        </w:rPr>
      </w:pPr>
      <w:r>
        <w:rPr>
          <w:rFonts w:ascii="Calibri" w:hAnsi="Calibri" w:cs="Calibri"/>
          <w:color w:val="000000" w:themeColor="text1"/>
          <w:lang w:val="en-US"/>
        </w:rPr>
        <w:t xml:space="preserve">We first </w:t>
      </w:r>
      <w:r w:rsidRPr="009658C3">
        <w:rPr>
          <w:rFonts w:ascii="Calibri" w:hAnsi="Calibri" w:cs="Calibri"/>
          <w:color w:val="000000" w:themeColor="text1"/>
          <w:lang w:val="en-US"/>
        </w:rPr>
        <w:t xml:space="preserve">derive cellular programs </w:t>
      </w:r>
      <w:r>
        <w:rPr>
          <w:rFonts w:ascii="Calibri" w:hAnsi="Calibri" w:cs="Calibri"/>
          <w:color w:val="000000" w:themeColor="text1"/>
          <w:lang w:val="en-US"/>
        </w:rPr>
        <w:t>necessary and sufficient to distinguish the</w:t>
      </w:r>
      <w:r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cell </w:t>
      </w:r>
      <w:r>
        <w:rPr>
          <w:rFonts w:ascii="Calibri" w:hAnsi="Calibri" w:cs="Calibri"/>
          <w:color w:val="000000" w:themeColor="text1"/>
        </w:rPr>
        <w:t>states</w:t>
      </w:r>
      <w:r w:rsidRPr="009658C3">
        <w:rPr>
          <w:rFonts w:ascii="Calibri" w:hAnsi="Calibri" w:cs="Calibri"/>
          <w:color w:val="000000" w:themeColor="text1"/>
          <w:lang w:val="en-US"/>
        </w:rPr>
        <w:t xml:space="preserve"> in primary human B cells</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{"citationID":"0SkuoqG1","properties":{"formattedCitation":"\\super 26\\nosupersub{}","plainCitation":"26","noteIndex":0},"citationItems":[{"id":2588,"uris":["http://zotero.org/groups/6337619/items/8385INET"],"itemData":{"id":2588,"type":"article","abstract":"SUMMARY\n          \n            Antibody responses are determined by activated B cells bifurcating into plasmablasts (PBs) and germinal center B cells (GCBCs). Gene regulatory networks (GRNs) underlying human B cell fate choice remain uncharted. Temporally resolved single-cell multi-omics, computational modeling and CRISPR-based perturbations were used to assemble, simulate and test high-resolution GRNs underlying PB and GC fates. The results converged with orthogonal predictions of transcription factor (TF) action at single-nucleotide resolution, revealing dominant and reciprocal actions of IRF4 and its binding partners at simple and composite IRF motifs. Single-cell perturbation analysis of these TFs demonstrated multiple reciprocal negative feedback loops controlling the bifurcation. Additionally, IRF4 and BLIMP1, co-repressed the cell cycle regulators\n            MYC\n            and\n            CCND2\n            . G0/G1 lengthening accelerated the switching of cells to an IRF4\n            hi\n            BLIMP1\n            hi\n            regulatory state and enhanced the probability of PB specification, thereby uncovering a self-reinforcing regulatory module that couples cell cycle dynamics to B cell fate choice.","DOI":"10.1101/2025.04.23.649973","language":"en","license":"http://creativecommons.org/licenses/by/4.0/","publisher":"Immunology","source":"DOI.org (Crossref)","title":"Cell cycle-coupled transcriptional network orchestrates human B cell fate bifurcation","URL":"http://biorxiv.org/lookup/doi/10.1101/2025.04.23.649973","author":[{"family":"Pease","given":"Nicholas A"},{"family":"Fan","given":"Jingyu"},{"family":"Keshari","given":"Swapnil"},{"family":"Stratton","given":"Jered"},{"family":"Gerges","given":"Peter"},{"family":"Ann Varghese","given":"Betsy"},{"family":"Nampoothiri Vp","given":"Narayanan"},{"family":"McGinnis","given":"Christopher S"},{"family":"Zhang","given":"Wenxi"},{"family":"Gierlack","given":"Steven B"},{"family":"Swaminathan","given":"Tanush"},{"family":"Sachan","given":"Akanksha"},{"family":"Manakkat Vijay","given":"Godhev"},{"family":"Mena Hernandez","given":"Luis"},{"family":"Heidari Rarani","given":"Zarifeh"},{"family":"Macedo","given":"Camila"},{"family":"Metes","given":"Diana"},{"family":"Satpathy","given":"Ansuman T"},{"family":"Jain","given":"Abhinav K"},{"family":"Sahni","given":"Nidhi"},{"family":"Stallaert","given":"Wayne"},{"family":"Das","given":"Jishnu"},{"family":"Singh","given":"Harinder"}],"accessed":{"date-parts":[["2025",12,5]]},"issued":{"date-parts":[["2025",4,24]]}}}],"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26</w:t>
      </w:r>
      <w:r>
        <w:rPr>
          <w:rFonts w:ascii="Calibri" w:hAnsi="Calibri" w:cs="Calibri"/>
          <w:color w:val="000000" w:themeColor="text1"/>
          <w:lang w:val="en-US"/>
        </w:rPr>
        <w:fldChar w:fldCharType="end"/>
      </w:r>
      <w:r w:rsidRPr="009658C3">
        <w:rPr>
          <w:rFonts w:ascii="Calibri" w:hAnsi="Calibri" w:cs="Calibri"/>
          <w:color w:val="000000" w:themeColor="text1"/>
          <w:lang w:val="en-US"/>
        </w:rPr>
        <w:t xml:space="preserve"> </w:t>
      </w:r>
      <w:r>
        <w:rPr>
          <w:rFonts w:ascii="Calibri" w:hAnsi="Calibri" w:cs="Calibri"/>
          <w:color w:val="000000" w:themeColor="text1"/>
          <w:lang w:val="en-US"/>
        </w:rPr>
        <w:t>utilizing</w:t>
      </w:r>
      <w:r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an interpretable machine learning method </w:t>
      </w:r>
      <w:r w:rsidRPr="009658C3">
        <w:rPr>
          <w:rFonts w:ascii="Calibri" w:hAnsi="Calibri" w:cs="Calibri"/>
          <w:color w:val="000000" w:themeColor="text1"/>
          <w:lang w:val="en-US"/>
        </w:rPr>
        <w:t xml:space="preserve">(Fig. 2A). </w:t>
      </w:r>
      <w:r w:rsidRPr="0048723A">
        <w:rPr>
          <w:rFonts w:ascii="Calibri" w:hAnsi="Calibri" w:cs="Calibri"/>
          <w:color w:val="000000" w:themeColor="text1"/>
        </w:rPr>
        <w:t xml:space="preserve">These cellular programs </w:t>
      </w:r>
      <w:r>
        <w:rPr>
          <w:rFonts w:ascii="Calibri" w:hAnsi="Calibri" w:cs="Calibri"/>
          <w:color w:val="000000" w:themeColor="text1"/>
        </w:rPr>
        <w:t>are divided into</w:t>
      </w:r>
      <w:r w:rsidRPr="0048723A">
        <w:rPr>
          <w:rFonts w:ascii="Calibri" w:hAnsi="Calibri" w:cs="Calibri"/>
          <w:color w:val="000000" w:themeColor="text1"/>
        </w:rPr>
        <w:t xml:space="preserve"> two components</w:t>
      </w:r>
      <w:r>
        <w:rPr>
          <w:rFonts w:ascii="Calibri" w:hAnsi="Calibri" w:cs="Calibri"/>
          <w:color w:val="000000" w:themeColor="text1"/>
        </w:rPr>
        <w:t xml:space="preserve"> </w:t>
      </w:r>
      <w:proofErr w:type="gramStart"/>
      <w:r w:rsidRPr="0048723A">
        <w:rPr>
          <w:rFonts w:ascii="Calibri" w:hAnsi="Calibri" w:cs="Calibri"/>
          <w:color w:val="000000" w:themeColor="text1"/>
        </w:rPr>
        <w:t>standalone</w:t>
      </w:r>
      <w:r>
        <w:rPr>
          <w:rFonts w:ascii="Calibri" w:hAnsi="Calibri" w:cs="Calibri"/>
          <w:color w:val="000000" w:themeColor="text1"/>
        </w:rPr>
        <w:t xml:space="preserve">  and</w:t>
      </w:r>
      <w:proofErr w:type="gramEnd"/>
      <w:r w:rsidRPr="00434E00">
        <w:rPr>
          <w:rFonts w:ascii="Calibri" w:hAnsi="Calibri" w:cs="Calibri"/>
          <w:color w:val="000000" w:themeColor="text1"/>
        </w:rPr>
        <w:t xml:space="preserve"> </w:t>
      </w:r>
      <w:r w:rsidRPr="0048723A">
        <w:rPr>
          <w:rFonts w:ascii="Calibri" w:hAnsi="Calibri" w:cs="Calibri"/>
          <w:color w:val="000000" w:themeColor="text1"/>
        </w:rPr>
        <w:t>interacting</w:t>
      </w:r>
      <w:r>
        <w:rPr>
          <w:rFonts w:ascii="Calibri" w:hAnsi="Calibri" w:cs="Calibri"/>
          <w:color w:val="000000" w:themeColor="text1"/>
        </w:rPr>
        <w:t xml:space="preserve"> cellular programs. Standalone</w:t>
      </w:r>
      <w:r w:rsidRPr="00FA4C69">
        <w:rPr>
          <w:rFonts w:ascii="Calibri" w:hAnsi="Calibri" w:cs="Calibri"/>
          <w:color w:val="000000" w:themeColor="text1"/>
        </w:rPr>
        <w:t xml:space="preserve"> </w:t>
      </w:r>
      <w:r>
        <w:rPr>
          <w:rFonts w:ascii="Calibri" w:hAnsi="Calibri" w:cs="Calibri"/>
          <w:color w:val="000000" w:themeColor="text1"/>
        </w:rPr>
        <w:t>cellular programs</w:t>
      </w:r>
      <w:r w:rsidRPr="0048723A">
        <w:rPr>
          <w:rFonts w:ascii="Calibri" w:hAnsi="Calibri" w:cs="Calibri"/>
          <w:color w:val="000000" w:themeColor="text1"/>
        </w:rPr>
        <w:t xml:space="preserve"> </w:t>
      </w:r>
      <w:r>
        <w:rPr>
          <w:rFonts w:ascii="Calibri" w:hAnsi="Calibri" w:cs="Calibri"/>
          <w:color w:val="000000" w:themeColor="text1"/>
        </w:rPr>
        <w:t>represent</w:t>
      </w:r>
      <w:r w:rsidRPr="0048723A">
        <w:rPr>
          <w:rFonts w:ascii="Calibri" w:hAnsi="Calibri" w:cs="Calibri"/>
          <w:color w:val="000000" w:themeColor="text1"/>
        </w:rPr>
        <w:t xml:space="preserve"> individual </w:t>
      </w:r>
      <w:r>
        <w:rPr>
          <w:rFonts w:ascii="Calibri" w:hAnsi="Calibri" w:cs="Calibri"/>
          <w:color w:val="000000" w:themeColor="text1"/>
        </w:rPr>
        <w:t xml:space="preserve">programs </w:t>
      </w:r>
      <w:r w:rsidRPr="0048723A">
        <w:rPr>
          <w:rFonts w:ascii="Calibri" w:hAnsi="Calibri" w:cs="Calibri"/>
          <w:color w:val="000000" w:themeColor="text1"/>
        </w:rPr>
        <w:t>with direct and independent contributions to the predictive model</w:t>
      </w:r>
      <w:r>
        <w:rPr>
          <w:rFonts w:ascii="Calibri" w:hAnsi="Calibri" w:cs="Calibri"/>
          <w:color w:val="000000" w:themeColor="text1"/>
        </w:rPr>
        <w:t>. On the other hand,</w:t>
      </w:r>
      <w:r w:rsidRPr="0048723A">
        <w:rPr>
          <w:rFonts w:ascii="Calibri" w:hAnsi="Calibri" w:cs="Calibri"/>
          <w:color w:val="000000" w:themeColor="text1"/>
        </w:rPr>
        <w:t xml:space="preserve"> interacting </w:t>
      </w:r>
      <w:r>
        <w:rPr>
          <w:rFonts w:ascii="Calibri" w:hAnsi="Calibri" w:cs="Calibri"/>
          <w:color w:val="000000" w:themeColor="text1"/>
        </w:rPr>
        <w:t xml:space="preserve">cellular </w:t>
      </w:r>
      <w:r w:rsidRPr="0048723A">
        <w:rPr>
          <w:rFonts w:ascii="Calibri" w:hAnsi="Calibri" w:cs="Calibri"/>
          <w:color w:val="000000" w:themeColor="text1"/>
        </w:rPr>
        <w:t>programs</w:t>
      </w:r>
      <w:r>
        <w:rPr>
          <w:rFonts w:ascii="Calibri" w:hAnsi="Calibri" w:cs="Calibri"/>
          <w:color w:val="000000" w:themeColor="text1"/>
        </w:rPr>
        <w:t xml:space="preserve"> </w:t>
      </w:r>
      <w:r w:rsidRPr="0048723A">
        <w:rPr>
          <w:rFonts w:ascii="Calibri" w:hAnsi="Calibri" w:cs="Calibri"/>
          <w:color w:val="000000" w:themeColor="text1"/>
        </w:rPr>
        <w:t xml:space="preserve">capturing higher-order </w:t>
      </w:r>
      <w:r>
        <w:rPr>
          <w:rFonts w:ascii="Calibri" w:hAnsi="Calibri" w:cs="Calibri"/>
          <w:color w:val="000000" w:themeColor="text1"/>
        </w:rPr>
        <w:t xml:space="preserve">and </w:t>
      </w:r>
      <w:r w:rsidRPr="0048723A">
        <w:rPr>
          <w:rFonts w:ascii="Calibri" w:hAnsi="Calibri" w:cs="Calibri"/>
          <w:color w:val="000000" w:themeColor="text1"/>
        </w:rPr>
        <w:t>context-specific regulatory dependencies aris</w:t>
      </w:r>
      <w:r>
        <w:rPr>
          <w:rFonts w:ascii="Calibri" w:hAnsi="Calibri" w:cs="Calibri"/>
          <w:color w:val="000000" w:themeColor="text1"/>
        </w:rPr>
        <w:t>ing</w:t>
      </w:r>
      <w:r w:rsidRPr="0048723A">
        <w:rPr>
          <w:rFonts w:ascii="Calibri" w:hAnsi="Calibri" w:cs="Calibri"/>
          <w:color w:val="000000" w:themeColor="text1"/>
        </w:rPr>
        <w:t xml:space="preserve"> from the model’s nonlinear architecture</w:t>
      </w:r>
      <w:r>
        <w:rPr>
          <w:rFonts w:ascii="Calibri" w:hAnsi="Calibri" w:cs="Calibri"/>
          <w:color w:val="000000" w:themeColor="text1"/>
        </w:rPr>
        <w:t xml:space="preserve"> </w:t>
      </w:r>
      <w:r>
        <w:rPr>
          <w:rFonts w:ascii="Calibri" w:hAnsi="Calibri" w:cs="Calibri"/>
          <w:color w:val="000000" w:themeColor="text1"/>
        </w:rPr>
        <w:fldChar w:fldCharType="begin"/>
      </w:r>
      <w:r w:rsidR="00BD6670">
        <w:rPr>
          <w:rFonts w:ascii="Calibri" w:hAnsi="Calibri" w:cs="Calibri"/>
          <w:color w:val="000000" w:themeColor="text1"/>
        </w:rPr>
        <w:instrText xml:space="preserve"> ADDIN ZOTERO_ITEM CSL_CITATION {"citationID":"ZtATaJBn","properties":{"formattedCitation":"\\super 22\\nosupersub{}","plainCitation":"22","noteIndex":0},"citationItems":[{"id":2592,"uris":["http://zotero.org/groups/6337619/items/FSWW5Z88"],"itemData":{"id":2592,"type":"article-journal","abstract":"Modern multiomic technologies can generate deep multiscale profiles. However, differences in data modalities, multicollinearity of the data, and large numbers of irrelevant features make analyses and integration of high-dimensional omic datasets challenging. Here we present Significant Latent Factor Interaction Discovery and Exploration (SLIDE), a first-in-class interpretable machine learning technique for identifying significant interacting latent factors underlying outcomes of interest from high-dimensional omic datasets. SLIDE makes no assumptions regarding data-generating mechanisms, comes with theoretical guarantees regarding identifiability of the latent factors/corresponding inference, and has rigorous false discovery rate control. Using SLIDE on single-cell and spatial omic datasets, we uncovered significant interacting latent factors underlying a range of molecular, cellular and organismal phenotypes. SLIDE outperforms/performs at least as well as a wide range of state-of-the-art approaches, including other latent factor approaches. More importantly, it provides biological inference beyond prediction that other methods do not afford. Thus, SLIDE is a versatile engine for biological discovery from modern multiomic datasets.","container-title":"Nature Methods","DOI":"10.1038/s41592-024-02175-z","ISSN":"1548-7105","issue":"5","journalAbbreviation":"Nat Methods","language":"eng","page":"835-845","PMID":"38374265","PMCID":"PMC11588359","source":"PubMed","title":"SLIDE: Significant Latent Factor Interaction Discovery and Exploration across biological domains","title-short":"SLIDE","volume":"21","author":[{"family":"Rahimikollu","given":"Javad"},{"family":"Xiao","given":"Hanxi"},{"family":"Rosengart","given":"AnnaElaine"},{"family":"Rosen","given":"Aaron B. I."},{"family":"Tabib","given":"Tracy"},{"family":"Zdinak","given":"Paul M."},{"family":"He","given":"Kun"},{"family":"Bing","given":"Xin"},{"family":"Bunea","given":"Florentina"},{"family":"Wegkamp","given":"Marten"},{"family":"Poholek","given":"Amanda C."},{"family":"Joglekar","given":"Alok V."},{"family":"Lafyatis","given":"Robert A."},{"family":"Das","given":"Jishnu"}],"issued":{"date-parts":[["2024",5]]}}}],"schema":"https://github.com/citation-style-language/schema/raw/master/csl-citation.json"} </w:instrText>
      </w:r>
      <w:r>
        <w:rPr>
          <w:rFonts w:ascii="Calibri" w:hAnsi="Calibri" w:cs="Calibri"/>
          <w:color w:val="000000" w:themeColor="text1"/>
        </w:rPr>
        <w:fldChar w:fldCharType="separate"/>
      </w:r>
      <w:r w:rsidR="00BD6670" w:rsidRPr="00BD6670">
        <w:rPr>
          <w:rFonts w:ascii="Calibri" w:eastAsiaTheme="minorHAnsi" w:hAnsi="Calibri" w:cs="Calibri"/>
          <w:color w:val="000000"/>
          <w:szCs w:val="24"/>
          <w:vertAlign w:val="superscript"/>
          <w:lang w:val="en-US"/>
          <w14:ligatures w14:val="standardContextual"/>
        </w:rPr>
        <w:t>22</w:t>
      </w:r>
      <w:r>
        <w:rPr>
          <w:rFonts w:ascii="Calibri" w:hAnsi="Calibri" w:cs="Calibri"/>
          <w:color w:val="000000" w:themeColor="text1"/>
        </w:rPr>
        <w:fldChar w:fldCharType="end"/>
      </w:r>
      <w:r w:rsidRPr="009658C3">
        <w:rPr>
          <w:rFonts w:ascii="Calibri" w:hAnsi="Calibri" w:cs="Calibri"/>
          <w:color w:val="000000" w:themeColor="text1"/>
        </w:rPr>
        <w:t xml:space="preserve">. </w:t>
      </w:r>
      <w:r>
        <w:rPr>
          <w:rFonts w:ascii="Calibri" w:hAnsi="Calibri" w:cs="Calibri"/>
          <w:color w:val="000000" w:themeColor="text1"/>
        </w:rPr>
        <w:t xml:space="preserve">For B cell context, </w:t>
      </w:r>
      <w:r>
        <w:rPr>
          <w:rFonts w:ascii="Calibri" w:hAnsi="Calibri" w:cs="Calibri"/>
          <w:color w:val="000000" w:themeColor="text1"/>
          <w:lang w:val="en-US"/>
        </w:rPr>
        <w:t>we get</w:t>
      </w:r>
      <w:r w:rsidRPr="009658C3">
        <w:rPr>
          <w:rFonts w:ascii="Calibri" w:hAnsi="Calibri" w:cs="Calibri"/>
          <w:color w:val="000000" w:themeColor="text1"/>
          <w:lang w:val="en-US"/>
        </w:rPr>
        <w:t xml:space="preserve"> </w:t>
      </w:r>
      <w:r>
        <w:rPr>
          <w:rFonts w:ascii="Calibri" w:hAnsi="Calibri" w:cs="Calibri"/>
          <w:color w:val="000000" w:themeColor="text1"/>
          <w:lang w:val="en-US"/>
        </w:rPr>
        <w:t>two</w:t>
      </w:r>
      <w:r w:rsidRPr="009658C3" w:rsidDel="001731AD">
        <w:rPr>
          <w:rFonts w:ascii="Calibri" w:hAnsi="Calibri" w:cs="Calibri"/>
          <w:color w:val="000000" w:themeColor="text1"/>
          <w:lang w:val="en-US"/>
        </w:rPr>
        <w:t xml:space="preserve"> </w:t>
      </w:r>
      <w:r>
        <w:rPr>
          <w:rFonts w:ascii="Calibri" w:hAnsi="Calibri" w:cs="Calibri"/>
          <w:color w:val="000000" w:themeColor="text1"/>
          <w:lang w:val="en-US"/>
        </w:rPr>
        <w:t>cellular</w:t>
      </w:r>
      <w:r w:rsidRPr="009658C3">
        <w:rPr>
          <w:rFonts w:ascii="Calibri" w:hAnsi="Calibri" w:cs="Calibri"/>
          <w:color w:val="000000" w:themeColor="text1"/>
          <w:lang w:val="en-US"/>
        </w:rPr>
        <w:t xml:space="preserve"> programs</w:t>
      </w:r>
      <w:r>
        <w:rPr>
          <w:rFonts w:ascii="Calibri" w:hAnsi="Calibri" w:cs="Calibri"/>
          <w:color w:val="000000" w:themeColor="text1"/>
          <w:lang w:val="en-US"/>
        </w:rPr>
        <w:t xml:space="preserve">, one standalone and one interacting, which </w:t>
      </w:r>
      <w:r w:rsidRPr="009658C3">
        <w:rPr>
          <w:rFonts w:ascii="Calibri" w:hAnsi="Calibri" w:cs="Calibri"/>
          <w:color w:val="000000" w:themeColor="text1"/>
          <w:lang w:val="en-US"/>
        </w:rPr>
        <w:t>distinguish PB and GC states (AUC = 0.98)</w:t>
      </w:r>
      <w:r>
        <w:rPr>
          <w:rFonts w:ascii="Calibri" w:hAnsi="Calibri" w:cs="Calibri"/>
          <w:color w:val="000000" w:themeColor="text1"/>
          <w:lang w:val="en-US"/>
        </w:rPr>
        <w:t xml:space="preserve"> and </w:t>
      </w:r>
      <w:r w:rsidRPr="009658C3">
        <w:rPr>
          <w:rFonts w:ascii="Calibri" w:hAnsi="Calibri" w:cs="Calibri"/>
          <w:color w:val="000000" w:themeColor="text1"/>
          <w:lang w:val="en-US"/>
        </w:rPr>
        <w:t>outperform</w:t>
      </w:r>
      <w:r>
        <w:rPr>
          <w:rFonts w:ascii="Calibri" w:hAnsi="Calibri" w:cs="Calibri"/>
          <w:color w:val="000000" w:themeColor="text1"/>
          <w:lang w:val="en-US"/>
        </w:rPr>
        <w:t xml:space="preserve">s </w:t>
      </w:r>
      <w:r w:rsidRPr="009658C3">
        <w:rPr>
          <w:rFonts w:ascii="Calibri" w:hAnsi="Calibri" w:cs="Calibri"/>
          <w:color w:val="000000" w:themeColor="text1"/>
          <w:lang w:val="en-US"/>
        </w:rPr>
        <w:t>permutation baselines (AUC = 0.</w:t>
      </w:r>
      <w:r>
        <w:rPr>
          <w:rFonts w:ascii="Calibri" w:hAnsi="Calibri" w:cs="Calibri"/>
          <w:color w:val="000000" w:themeColor="text1"/>
          <w:lang w:val="en-US"/>
        </w:rPr>
        <w:t>55</w:t>
      </w:r>
      <w:r w:rsidRPr="009658C3">
        <w:rPr>
          <w:rFonts w:ascii="Calibri" w:hAnsi="Calibri" w:cs="Calibri"/>
          <w:color w:val="000000" w:themeColor="text1"/>
          <w:lang w:val="en-US"/>
        </w:rPr>
        <w:t xml:space="preserve">) (Fig. 2B). </w:t>
      </w:r>
      <w:r>
        <w:rPr>
          <w:rFonts w:ascii="Calibri" w:hAnsi="Calibri" w:cs="Calibri"/>
          <w:color w:val="000000" w:themeColor="text1"/>
          <w:lang w:val="en-US"/>
        </w:rPr>
        <w:t>While the</w:t>
      </w:r>
      <w:r w:rsidRPr="009658C3">
        <w:rPr>
          <w:rFonts w:ascii="Calibri" w:hAnsi="Calibri" w:cs="Calibri"/>
          <w:color w:val="000000" w:themeColor="text1"/>
          <w:lang w:val="en-US"/>
        </w:rPr>
        <w:t xml:space="preserve"> single</w:t>
      </w:r>
      <w:r>
        <w:rPr>
          <w:rFonts w:ascii="Calibri" w:hAnsi="Calibri" w:cs="Calibri"/>
          <w:color w:val="000000" w:themeColor="text1"/>
          <w:lang w:val="en-US"/>
        </w:rPr>
        <w:t xml:space="preserve"> standalone </w:t>
      </w:r>
      <w:r w:rsidRPr="009658C3">
        <w:rPr>
          <w:rFonts w:ascii="Calibri" w:hAnsi="Calibri" w:cs="Calibri"/>
          <w:color w:val="000000" w:themeColor="text1"/>
          <w:lang w:val="en-US"/>
        </w:rPr>
        <w:t xml:space="preserve">program separated </w:t>
      </w:r>
      <w:r>
        <w:rPr>
          <w:rFonts w:ascii="Calibri" w:hAnsi="Calibri" w:cs="Calibri"/>
          <w:color w:val="000000" w:themeColor="text1"/>
          <w:lang w:val="en-US"/>
        </w:rPr>
        <w:t xml:space="preserve">B cell </w:t>
      </w:r>
      <w:r w:rsidRPr="009658C3">
        <w:rPr>
          <w:rFonts w:ascii="Calibri" w:hAnsi="Calibri" w:cs="Calibri"/>
          <w:color w:val="000000" w:themeColor="text1"/>
          <w:lang w:val="en-US"/>
        </w:rPr>
        <w:t xml:space="preserve">states (Extended Fig. 1A) and revealed </w:t>
      </w:r>
      <w:r>
        <w:rPr>
          <w:rFonts w:ascii="Calibri" w:hAnsi="Calibri" w:cs="Calibri"/>
          <w:color w:val="000000" w:themeColor="text1"/>
          <w:lang w:val="en-US"/>
        </w:rPr>
        <w:t>their bifurcation across</w:t>
      </w:r>
      <w:r w:rsidRPr="009658C3" w:rsidDel="00487E72">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pseudo time (Extended Fig. 1B), </w:t>
      </w:r>
      <w:r>
        <w:rPr>
          <w:rFonts w:ascii="Calibri" w:hAnsi="Calibri" w:cs="Calibri"/>
          <w:color w:val="000000" w:themeColor="text1"/>
          <w:lang w:val="en-US"/>
        </w:rPr>
        <w:t>interacting</w:t>
      </w:r>
      <w:r w:rsidRPr="009658C3">
        <w:rPr>
          <w:rFonts w:ascii="Calibri" w:hAnsi="Calibri" w:cs="Calibri"/>
          <w:color w:val="000000" w:themeColor="text1"/>
          <w:lang w:val="en-US"/>
        </w:rPr>
        <w:t xml:space="preserve"> program imbued nonlinearity </w:t>
      </w:r>
      <w:r>
        <w:rPr>
          <w:rFonts w:ascii="Calibri" w:hAnsi="Calibri" w:cs="Calibri"/>
          <w:color w:val="000000" w:themeColor="text1"/>
          <w:lang w:val="en-US"/>
        </w:rPr>
        <w:t xml:space="preserve">pushing the cellular programs </w:t>
      </w:r>
      <w:r w:rsidRPr="009658C3">
        <w:rPr>
          <w:rFonts w:ascii="Calibri" w:hAnsi="Calibri" w:cs="Calibri"/>
          <w:color w:val="000000" w:themeColor="text1"/>
          <w:lang w:val="en-US"/>
        </w:rPr>
        <w:t xml:space="preserve">beyond simple co-expression. </w:t>
      </w:r>
      <w:r>
        <w:rPr>
          <w:rFonts w:ascii="Calibri" w:hAnsi="Calibri" w:cs="Calibri"/>
          <w:color w:val="000000" w:themeColor="text1"/>
          <w:lang w:val="en-US"/>
        </w:rPr>
        <w:t>Even more,</w:t>
      </w:r>
      <w:r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the </w:t>
      </w:r>
      <w:r w:rsidRPr="009658C3">
        <w:rPr>
          <w:rFonts w:ascii="Calibri" w:hAnsi="Calibri" w:cs="Calibri"/>
          <w:color w:val="000000" w:themeColor="text1"/>
          <w:lang w:val="en-US"/>
        </w:rPr>
        <w:t xml:space="preserve">inferred programs generalized across datasets and modalities. Models trained on independent </w:t>
      </w:r>
      <w:proofErr w:type="spellStart"/>
      <w:r w:rsidRPr="009658C3">
        <w:rPr>
          <w:rFonts w:ascii="Calibri" w:hAnsi="Calibri" w:cs="Calibri"/>
          <w:color w:val="000000" w:themeColor="text1"/>
          <w:lang w:val="en-US"/>
        </w:rPr>
        <w:t>scRNA</w:t>
      </w:r>
      <w:proofErr w:type="spellEnd"/>
      <w:r w:rsidRPr="009658C3">
        <w:rPr>
          <w:rFonts w:ascii="Calibri" w:hAnsi="Calibri" w:cs="Calibri"/>
          <w:color w:val="000000" w:themeColor="text1"/>
          <w:lang w:val="en-US"/>
        </w:rPr>
        <w:t>-seq data</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{"citationID":"ruYyoHwm","properties":{"formattedCitation":"\\super 26\\nosupersub{}","plainCitation":"26","noteIndex":0},"citationItems":[{"id":2588,"uris":["http://zotero.org/groups/6337619/items/8385INET"],"itemData":{"id":2588,"type":"article","abstract":"SUMMARY\n          \n            Antibody responses are determined by activated B cells bifurcating into plasmablasts (PBs) and germinal center B cells (GCBCs). Gene regulatory networks (GRNs) underlying human B cell fate choice remain uncharted. Temporally resolved single-cell multi-omics, computational modeling and CRISPR-based perturbations were used to assemble, simulate and test high-resolution GRNs underlying PB and GC fates. The results converged with orthogonal predictions of transcription factor (TF) action at single-nucleotide resolution, revealing dominant and reciprocal actions of IRF4 and its binding partners at simple and composite IRF motifs. Single-cell perturbation analysis of these TFs demonstrated multiple reciprocal negative feedback loops controlling the bifurcation. Additionally, IRF4 and BLIMP1, co-repressed the cell cycle regulators\n            MYC\n            and\n            CCND2\n            . G0/G1 lengthening accelerated the switching of cells to an IRF4\n            hi\n            BLIMP1\n            hi\n            regulatory state and enhanced the probability of PB specification, thereby uncovering a self-reinforcing regulatory module that couples cell cycle dynamics to B cell fate choice.","DOI":"10.1101/2025.04.23.649973","language":"en","license":"http://creativecommons.org/licenses/by/4.0/","publisher":"Immunology","source":"DOI.org (Crossref)","title":"Cell cycle-coupled transcriptional network orchestrates human B cell fate bifurcation","URL":"http://biorxiv.org/lookup/doi/10.1101/2025.04.23.649973","author":[{"family":"Pease","given":"Nicholas A"},{"family":"Fan","given":"Jingyu"},{"family":"Keshari","given":"Swapnil"},{"family":"Stratton","given":"Jered"},{"family":"Gerges","given":"Peter"},{"family":"Ann Varghese","given":"Betsy"},{"family":"Nampoothiri Vp","given":"Narayanan"},{"family":"McGinnis","given":"Christopher S"},{"family":"Zhang","given":"Wenxi"},{"family":"Gierlack","given":"Steven B"},{"family":"Swaminathan","given":"Tanush"},{"family":"Sachan","given":"Akanksha"},{"family":"Manakkat Vijay","given":"Godhev"},{"family":"Mena Hernandez","given":"Luis"},{"family":"Heidari Rarani","given":"Zarifeh"},{"family":"Macedo","given":"Camila"},{"family":"Metes","given":"Diana"},{"family":"Satpathy","given":"Ansuman T"},{"family":"Jain","given":"Abhinav K"},{"family":"Sahni","given":"Nidhi"},{"family":"Stallaert","given":"Wayne"},{"family":"Das","given":"Jishnu"},{"family":"Singh","given":"Harinder"}],"accessed":{"date-parts":[["2025",12,5]]},"issued":{"date-parts":[["2025",4,24]]}}}],"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26</w:t>
      </w:r>
      <w:r>
        <w:rPr>
          <w:rFonts w:ascii="Calibri" w:hAnsi="Calibri" w:cs="Calibri"/>
          <w:color w:val="000000" w:themeColor="text1"/>
          <w:lang w:val="en-US"/>
        </w:rPr>
        <w:fldChar w:fldCharType="end"/>
      </w:r>
      <w:r w:rsidRPr="009658C3">
        <w:rPr>
          <w:rFonts w:ascii="Calibri" w:hAnsi="Calibri" w:cs="Calibri"/>
          <w:color w:val="000000" w:themeColor="text1"/>
          <w:lang w:val="en-US"/>
        </w:rPr>
        <w:t xml:space="preserve"> accurately discriminated PB and GC states (Extended Fig. 1C-E). Cross-modality transfer between </w:t>
      </w:r>
      <w:proofErr w:type="spellStart"/>
      <w:r w:rsidRPr="009658C3">
        <w:rPr>
          <w:rFonts w:ascii="Calibri" w:hAnsi="Calibri" w:cs="Calibri"/>
          <w:color w:val="000000" w:themeColor="text1"/>
          <w:lang w:val="en-US"/>
        </w:rPr>
        <w:t>multiome</w:t>
      </w:r>
      <w:proofErr w:type="spellEnd"/>
      <w:r w:rsidRPr="009658C3">
        <w:rPr>
          <w:rFonts w:ascii="Calibri" w:hAnsi="Calibri" w:cs="Calibri"/>
          <w:color w:val="000000" w:themeColor="text1"/>
          <w:lang w:val="en-US"/>
        </w:rPr>
        <w:t xml:space="preserve"> </w:t>
      </w:r>
      <w:proofErr w:type="spellStart"/>
      <w:r w:rsidRPr="009658C3">
        <w:rPr>
          <w:rFonts w:ascii="Calibri" w:hAnsi="Calibri" w:cs="Calibri"/>
          <w:color w:val="000000" w:themeColor="text1"/>
          <w:lang w:val="en-US"/>
        </w:rPr>
        <w:t>scRNA</w:t>
      </w:r>
      <w:proofErr w:type="spellEnd"/>
      <w:r w:rsidRPr="009658C3">
        <w:rPr>
          <w:rFonts w:ascii="Calibri" w:hAnsi="Calibri" w:cs="Calibri"/>
          <w:color w:val="000000" w:themeColor="text1"/>
          <w:lang w:val="en-US"/>
        </w:rPr>
        <w:t xml:space="preserve">-seq and </w:t>
      </w:r>
      <w:proofErr w:type="spellStart"/>
      <w:r w:rsidRPr="009658C3">
        <w:rPr>
          <w:rFonts w:ascii="Calibri" w:hAnsi="Calibri" w:cs="Calibri"/>
          <w:color w:val="000000" w:themeColor="text1"/>
          <w:lang w:val="en-US"/>
        </w:rPr>
        <w:t>scRNA</w:t>
      </w:r>
      <w:proofErr w:type="spellEnd"/>
      <w:r w:rsidRPr="009658C3">
        <w:rPr>
          <w:rFonts w:ascii="Calibri" w:hAnsi="Calibri" w:cs="Calibri"/>
          <w:color w:val="000000" w:themeColor="text1"/>
          <w:lang w:val="en-US"/>
        </w:rPr>
        <w:t xml:space="preserve">-seq achieved AUCs of 0.94-0.96 (Extended Fig. 1F). </w:t>
      </w:r>
      <w:r>
        <w:rPr>
          <w:rFonts w:ascii="Calibri" w:hAnsi="Calibri" w:cs="Calibri"/>
          <w:color w:val="000000" w:themeColor="text1"/>
          <w:lang w:val="en-US"/>
        </w:rPr>
        <w:t>Altogether</w:t>
      </w:r>
      <w:r w:rsidRPr="009658C3">
        <w:rPr>
          <w:rFonts w:ascii="Calibri" w:hAnsi="Calibri" w:cs="Calibri"/>
          <w:color w:val="000000" w:themeColor="text1"/>
          <w:lang w:val="en-US"/>
        </w:rPr>
        <w:t>, these findings suggest that</w:t>
      </w:r>
      <w:r>
        <w:rPr>
          <w:rFonts w:ascii="Calibri" w:hAnsi="Calibri" w:cs="Calibri"/>
          <w:color w:val="000000" w:themeColor="text1"/>
          <w:lang w:val="en-US"/>
        </w:rPr>
        <w:t xml:space="preserve"> the derived cellular program provide </w:t>
      </w:r>
      <w:r w:rsidRPr="009658C3">
        <w:rPr>
          <w:rFonts w:ascii="Calibri" w:hAnsi="Calibri" w:cs="Calibri"/>
          <w:color w:val="000000" w:themeColor="text1"/>
        </w:rPr>
        <w:t>interpretability by recovering core transcriptional circuitry</w:t>
      </w:r>
      <w:r>
        <w:rPr>
          <w:rFonts w:ascii="Calibri" w:hAnsi="Calibri" w:cs="Calibri"/>
          <w:color w:val="000000" w:themeColor="text1"/>
        </w:rPr>
        <w:t xml:space="preserve"> </w:t>
      </w:r>
      <w:r w:rsidRPr="009658C3">
        <w:rPr>
          <w:rFonts w:ascii="Calibri" w:hAnsi="Calibri" w:cs="Calibri"/>
          <w:color w:val="000000" w:themeColor="text1"/>
          <w:lang w:val="en-US"/>
        </w:rPr>
        <w:t>instead of</w:t>
      </w:r>
      <w:r w:rsidRPr="009658C3" w:rsidDel="005238EA">
        <w:rPr>
          <w:rFonts w:ascii="Calibri" w:hAnsi="Calibri" w:cs="Calibri"/>
          <w:color w:val="000000" w:themeColor="text1"/>
          <w:lang w:val="en-US"/>
        </w:rPr>
        <w:t xml:space="preserve"> </w:t>
      </w:r>
      <w:r w:rsidRPr="009658C3">
        <w:rPr>
          <w:rFonts w:ascii="Calibri" w:hAnsi="Calibri" w:cs="Calibri"/>
          <w:color w:val="000000" w:themeColor="text1"/>
          <w:lang w:val="en-US"/>
        </w:rPr>
        <w:t>artifacts.</w:t>
      </w:r>
    </w:p>
    <w:p w14:paraId="15CFDF4E" w14:textId="46BAC729" w:rsidR="008515C4" w:rsidRPr="00BE2831" w:rsidRDefault="008515C4" w:rsidP="000D59A4">
      <w:pPr>
        <w:pStyle w:val="NormalWeb"/>
        <w:spacing w:line="276" w:lineRule="auto"/>
        <w:jc w:val="both"/>
        <w:rPr>
          <w:rFonts w:ascii="Calibri" w:hAnsi="Calibri" w:cs="Calibri"/>
          <w:color w:val="000000" w:themeColor="text1"/>
          <w:sz w:val="22"/>
          <w:szCs w:val="22"/>
        </w:rPr>
      </w:pPr>
      <w:r w:rsidRPr="008B72D5">
        <w:rPr>
          <w:rFonts w:ascii="Calibri" w:hAnsi="Calibri" w:cs="Calibri"/>
          <w:color w:val="000000" w:themeColor="text1"/>
          <w:sz w:val="22"/>
          <w:szCs w:val="22"/>
        </w:rPr>
        <w:t>Next, we used biomedical literature priors via GSAI</w:t>
      </w:r>
      <w:r w:rsidRPr="008B72D5">
        <w:rPr>
          <w:rFonts w:ascii="Calibri" w:hAnsi="Calibri" w:cs="Calibri"/>
          <w:color w:val="000000" w:themeColor="text1"/>
          <w:sz w:val="22"/>
          <w:szCs w:val="22"/>
        </w:rPr>
        <w:fldChar w:fldCharType="begin"/>
      </w:r>
      <w:r w:rsidR="00BD6670" w:rsidRPr="008B72D5">
        <w:rPr>
          <w:rFonts w:ascii="Calibri" w:hAnsi="Calibri" w:cs="Calibri"/>
          <w:color w:val="000000" w:themeColor="text1"/>
          <w:sz w:val="22"/>
          <w:szCs w:val="22"/>
        </w:rPr>
        <w:instrText xml:space="preserve"> ADDIN ZOTERO_ITEM CSL_CITATION {"citationID":"lrj4oVkN","properties":{"formattedCitation":"\\super 23\\nosupersub{}","plainCitation":"23","noteIndex":0},"citationItems":[{"id":2598,"uris":["http://zotero.org/groups/6337619/items/MWCHMRX9"],"itemData":{"id":2598,"type":"article-journal","abstract":"Gene set analysis is a mainstay of functional genomics, but it relies on manually curated databases of gene functions that are incomplete and unaware of biological context. Here we evaluate the ability of OpenAI's GPT-4, a Large Language Model (LLM), to develop hypotheses about common gene functions from its embedded biomedical knowledge. We created a GPT-4 pipeline to label gene sets with names that summarize their consensus functions, substantiated by analysis text and citations. Benchmarking against named gene sets in the Gene Ontology, GPT-4 generated very similar names in 50% of cases, while in most remaining cases it recovered the name of a more general concept. In gene sets discovered in 'omics data, GPT-4 names were more informative than gene set enrichment, with supporting statements and citations that largely verified in human review. The ability to rapidly synthesize common gene functions positions LLMs as valuable functional genomics assistants.","container-title":"Research Square","DOI":"10.21203/rs.3.rs-3270331/v1","ISSN":"2693-5015","journalAbbreviation":"Res Sq","language":"eng","page":"rs.3.rs-3270331","PMID":"37790547","PMCID":"PMC10543283","source":"PubMed","title":"Evaluation of large language models for discovery of gene set function","author":[{"family":"Hu","given":"Mengzhou"},{"family":"Alkhairy","given":"Sahar"},{"family":"Lee","given":"Ingoo"},{"family":"Pillich","given":"Rudolf T."},{"family":"Bachelder","given":"Robin"},{"family":"Ideker","given":"Trey"},{"family":"Pratt","given":"Dexter"}],"issued":{"date-parts":[["2023",9,18]]}}}],"schema":"https://github.com/citation-style-language/schema/raw/master/csl-citation.json"} </w:instrText>
      </w:r>
      <w:r w:rsidRPr="008B72D5">
        <w:rPr>
          <w:rFonts w:ascii="Calibri" w:hAnsi="Calibri" w:cs="Calibri"/>
          <w:color w:val="000000" w:themeColor="text1"/>
          <w:sz w:val="22"/>
          <w:szCs w:val="22"/>
        </w:rPr>
        <w:fldChar w:fldCharType="separate"/>
      </w:r>
      <w:r w:rsidR="00BD6670" w:rsidRPr="008B72D5">
        <w:rPr>
          <w:rFonts w:ascii="Calibri" w:eastAsiaTheme="minorHAnsi" w:hAnsi="Calibri" w:cs="Calibri"/>
          <w:color w:val="000000"/>
          <w:sz w:val="22"/>
          <w:szCs w:val="22"/>
          <w:vertAlign w:val="superscript"/>
          <w14:ligatures w14:val="standardContextual"/>
        </w:rPr>
        <w:t>23</w:t>
      </w:r>
      <w:r w:rsidRPr="008B72D5">
        <w:rPr>
          <w:rFonts w:ascii="Calibri" w:hAnsi="Calibri" w:cs="Calibri"/>
          <w:color w:val="000000" w:themeColor="text1"/>
          <w:sz w:val="22"/>
          <w:szCs w:val="22"/>
        </w:rPr>
        <w:fldChar w:fldCharType="end"/>
      </w:r>
      <w:r w:rsidRPr="008B72D5">
        <w:rPr>
          <w:rFonts w:ascii="Calibri" w:hAnsi="Calibri" w:cs="Calibri"/>
          <w:color w:val="000000" w:themeColor="text1"/>
          <w:sz w:val="22"/>
          <w:szCs w:val="22"/>
          <w:vertAlign w:val="superscript"/>
        </w:rPr>
        <w:t>,</w:t>
      </w:r>
      <w:r w:rsidRPr="008B72D5">
        <w:rPr>
          <w:rFonts w:ascii="Calibri" w:hAnsi="Calibri" w:cs="Calibri"/>
          <w:color w:val="000000" w:themeColor="text1"/>
          <w:sz w:val="22"/>
          <w:szCs w:val="22"/>
          <w:vertAlign w:val="superscript"/>
        </w:rPr>
        <w:fldChar w:fldCharType="begin"/>
      </w:r>
      <w:r w:rsidR="00BD6670" w:rsidRPr="008B72D5">
        <w:rPr>
          <w:rFonts w:ascii="Calibri" w:hAnsi="Calibri" w:cs="Calibri"/>
          <w:color w:val="000000" w:themeColor="text1"/>
          <w:sz w:val="22"/>
          <w:szCs w:val="22"/>
          <w:vertAlign w:val="superscript"/>
        </w:rPr>
        <w:instrText xml:space="preserve"> ADDIN ZOTERO_ITEM CSL_CITATION {"citationID":"h5jsH51H","properties":{"formattedCitation":"\\super 27\\nosupersub{}","plainCitation":"27","noteIndex":0},"citationItems":[{"id":2601,"uris":["http://zotero.org/groups/6337619/items/3HX37RGI"],"itemData":{"id":2601,"type":"article-journal","title":"OpenAI. (2025). ChatGPT5.1 [Large language model]. https://chat.openai.com/"}}],"schema":"https://github.com/citation-style-language/schema/raw/master/csl-citation.json"} </w:instrText>
      </w:r>
      <w:r w:rsidRPr="008B72D5">
        <w:rPr>
          <w:rFonts w:ascii="Calibri" w:hAnsi="Calibri" w:cs="Calibri"/>
          <w:color w:val="000000" w:themeColor="text1"/>
          <w:sz w:val="22"/>
          <w:szCs w:val="22"/>
          <w:vertAlign w:val="superscript"/>
        </w:rPr>
        <w:fldChar w:fldCharType="separate"/>
      </w:r>
      <w:r w:rsidR="00BD6670" w:rsidRPr="008B72D5">
        <w:rPr>
          <w:rFonts w:ascii="Calibri" w:eastAsiaTheme="minorHAnsi" w:hAnsi="Calibri" w:cs="Calibri"/>
          <w:color w:val="000000"/>
          <w:sz w:val="22"/>
          <w:szCs w:val="22"/>
          <w:vertAlign w:val="superscript"/>
          <w14:ligatures w14:val="standardContextual"/>
        </w:rPr>
        <w:t>27</w:t>
      </w:r>
      <w:r w:rsidRPr="008B72D5">
        <w:rPr>
          <w:rFonts w:ascii="Calibri" w:hAnsi="Calibri" w:cs="Calibri"/>
          <w:color w:val="000000" w:themeColor="text1"/>
          <w:sz w:val="22"/>
          <w:szCs w:val="22"/>
          <w:vertAlign w:val="superscript"/>
        </w:rPr>
        <w:fldChar w:fldCharType="end"/>
      </w:r>
      <w:r w:rsidRPr="008B72D5">
        <w:rPr>
          <w:rFonts w:ascii="Calibri" w:hAnsi="Calibri" w:cs="Calibri"/>
          <w:color w:val="000000" w:themeColor="text1"/>
          <w:sz w:val="22"/>
          <w:szCs w:val="22"/>
        </w:rPr>
        <w:t xml:space="preserve"> to annotate these cellular programs adding biological interpretability. With our context specific prompt engineering [Supplementary DOCX and methods], the cellular programs were annotated as </w:t>
      </w:r>
      <w:r w:rsidRPr="008B72D5">
        <w:rPr>
          <w:rFonts w:ascii="Calibri" w:hAnsi="Calibri" w:cs="Calibri"/>
          <w:i/>
          <w:iCs/>
          <w:color w:val="000000" w:themeColor="text1"/>
          <w:sz w:val="22"/>
          <w:szCs w:val="22"/>
        </w:rPr>
        <w:t>“plasma cell differentiation and immunoglobulin secretion”</w:t>
      </w:r>
      <w:r w:rsidRPr="008B72D5">
        <w:rPr>
          <w:rFonts w:ascii="Calibri" w:hAnsi="Calibri" w:cs="Calibri"/>
          <w:color w:val="000000" w:themeColor="text1"/>
          <w:sz w:val="22"/>
          <w:szCs w:val="22"/>
        </w:rPr>
        <w:t xml:space="preserve">, and </w:t>
      </w:r>
      <w:r w:rsidRPr="008B72D5">
        <w:rPr>
          <w:rFonts w:ascii="Calibri" w:hAnsi="Calibri" w:cs="Calibri"/>
          <w:i/>
          <w:iCs/>
          <w:color w:val="000000" w:themeColor="text1"/>
          <w:sz w:val="22"/>
          <w:szCs w:val="22"/>
        </w:rPr>
        <w:t>“antigen presentation and B-cell activation through the MHC class II pathway”</w:t>
      </w:r>
      <w:r w:rsidRPr="008B72D5">
        <w:rPr>
          <w:rFonts w:ascii="Calibri" w:hAnsi="Calibri" w:cs="Calibri"/>
          <w:color w:val="000000" w:themeColor="text1"/>
          <w:sz w:val="22"/>
          <w:szCs w:val="22"/>
        </w:rPr>
        <w:t xml:space="preserve"> (Fig. 2C). These programs recapitulated canonical regulators, including PRDM1</w:t>
      </w:r>
      <w:r w:rsidRPr="008B72D5">
        <w:rPr>
          <w:rFonts w:ascii="Calibri" w:hAnsi="Calibri" w:cs="Calibri"/>
          <w:color w:val="000000" w:themeColor="text1"/>
          <w:sz w:val="22"/>
          <w:szCs w:val="22"/>
        </w:rPr>
        <w:fldChar w:fldCharType="begin"/>
      </w:r>
      <w:r w:rsidR="00BD6670" w:rsidRPr="008B72D5">
        <w:rPr>
          <w:rFonts w:ascii="Calibri" w:hAnsi="Calibri" w:cs="Calibri"/>
          <w:color w:val="000000" w:themeColor="text1"/>
          <w:sz w:val="22"/>
          <w:szCs w:val="22"/>
        </w:rPr>
        <w:instrText xml:space="preserve"> ADDIN ZOTERO_ITEM CSL_CITATION {"citationID":"OKb7aFxV","properties":{"formattedCitation":"\\super 28\\nosupersub{}","plainCitation":"28","noteIndex":0},"citationItems":[{"id":2710,"uris":["http://zotero.org/groups/6337619/items/W53VFNJS"],"itemData":{"id":2710,"type":"article-journal","abstract":"Abstract\n            \n              PRDM1/Blimp‐1 (in human and mouse, respectively) has a central role in determining and shaping the secretory arm of mature B‐cell differentiation. In this study, a mouse monoclonal antibody that recognizes PRDM1 was used to detail its distribution in normal human lymphoid tissue and in lymphoid neoplasms that correspond to different stages of B‐cell differentiation. PRDM1 was expressed in germinal centre blasts that co‐express Pax5, CD19, CD20, and CD10, but not BCL6 or MTA‐3. Pax5 was downregulated and full plasma cell morphology and phenotype were acquired by PRDM1\n              +\n              , nuclear cREL\n              −\n              , pre‐plasma cells upon exit from the germinal centre. Activated extrafollicular B‐cells (CD30\n              +\n              , Pax5\n              +\n              ) were largely PRDM1\n              −\n              . PRDM1 was also absent in tissue histiocytes and the majority of resting T‐cells and S‐100\n              +\n              antigen‐presenting cells. PRDM1 and CD138 were expressed simultaneously in human lymphomas with plasma cell differentiation, but not in marginal zone lymphomas or chronic lymphocytic leukaemias. A minority of diffuse large B‐cell lymphomas expressed PRDM1 and Hodgkin lymphomas were largely PRDM1\n              −\n              . Infiltrating T‐cells in PRDM1\n              −\n              B‐cell lymphomas expressed PRDM1. In conclusion, PRDM1 staining is a reliable and informative assay to define plasma cell commitment and differentiation in human normal and neoplastic B‐cell lineages. Copyright © 2005 Pathological Society of Great Britain and Ireland. Published by John Wiley &amp; Sons, Ltd.","container-title":"The Journal of Pathology","DOI":"10.1002/path.1752","ISSN":"0022-3417, 1096-9896","issue":"1","journalAbbreviation":"The Journal of Pathology","language":"en","page":"76-86","source":"DOI.org (Crossref)","title":"PRDM1/Blimp‐1 is expressed in human B‐lymphocytes committed to the plasma cell lineage","volume":"206","author":[{"family":"Cattoretti","given":"Giorgio"},{"family":"Angelin‐Duclos","given":"Cristina"},{"family":"Shaknovich","given":"Rita"},{"family":"Zhou","given":"Huiping"},{"family":"Wang","given":"Denong"},{"family":"Alobeid","given":"Bachir"}],"issued":{"date-parts":[["2005",5]]}}}],"schema":"https://github.com/citation-style-language/schema/raw/master/csl-citation.json"} </w:instrText>
      </w:r>
      <w:r w:rsidRPr="008B72D5">
        <w:rPr>
          <w:rFonts w:ascii="Calibri" w:hAnsi="Calibri" w:cs="Calibri"/>
          <w:color w:val="000000" w:themeColor="text1"/>
          <w:sz w:val="22"/>
          <w:szCs w:val="22"/>
        </w:rPr>
        <w:fldChar w:fldCharType="separate"/>
      </w:r>
      <w:r w:rsidR="00BD6670" w:rsidRPr="008B72D5">
        <w:rPr>
          <w:rFonts w:ascii="Calibri" w:eastAsiaTheme="minorHAnsi" w:hAnsi="Calibri" w:cs="Calibri"/>
          <w:color w:val="000000"/>
          <w:sz w:val="22"/>
          <w:szCs w:val="22"/>
          <w:vertAlign w:val="superscript"/>
          <w14:ligatures w14:val="standardContextual"/>
        </w:rPr>
        <w:t>28</w:t>
      </w:r>
      <w:r w:rsidRPr="008B72D5">
        <w:rPr>
          <w:rFonts w:ascii="Calibri" w:hAnsi="Calibri" w:cs="Calibri"/>
          <w:color w:val="000000" w:themeColor="text1"/>
          <w:sz w:val="22"/>
          <w:szCs w:val="22"/>
        </w:rPr>
        <w:fldChar w:fldCharType="end"/>
      </w:r>
      <w:r w:rsidRPr="008B72D5">
        <w:rPr>
          <w:rFonts w:ascii="Calibri" w:hAnsi="Calibri" w:cs="Calibri"/>
          <w:color w:val="000000" w:themeColor="text1"/>
          <w:sz w:val="22"/>
          <w:szCs w:val="22"/>
        </w:rPr>
        <w:t xml:space="preserve"> and PAX5</w:t>
      </w:r>
      <w:r w:rsidRPr="008B72D5">
        <w:rPr>
          <w:rFonts w:ascii="Calibri" w:hAnsi="Calibri" w:cs="Calibri"/>
          <w:color w:val="000000" w:themeColor="text1"/>
          <w:sz w:val="22"/>
          <w:szCs w:val="22"/>
        </w:rPr>
        <w:fldChar w:fldCharType="begin"/>
      </w:r>
      <w:r w:rsidR="00BD6670" w:rsidRPr="008B72D5">
        <w:rPr>
          <w:rFonts w:ascii="Calibri" w:hAnsi="Calibri" w:cs="Calibri"/>
          <w:color w:val="000000" w:themeColor="text1"/>
          <w:sz w:val="22"/>
          <w:szCs w:val="22"/>
        </w:rPr>
        <w:instrText xml:space="preserve"> ADDIN ZOTERO_ITEM CSL_CITATION {"citationID":"RlFIxu3p","properties":{"formattedCitation":"\\super 29\\nosupersub{}","plainCitation":"29","noteIndex":0},"citationItems":[{"id":2709,"uris":["http://zotero.org/groups/6337619/items/9C579XBZ"],"itemData":{"id":2709,"type":"article-journal","abstract":"Summary\n            Diversification of the antibody repertoire is essential for the normal operation of the vertebrate adaptive immune system. Following antigen encounter, B cells are activated, proliferate rapidly and undergo two diversification events; somatic hypermutation (followed by selection), which enhances the affinity of the antibody for its cognate antigen, and class-switch recombination, which alters the effector functions of the antibody to adapt the response to the challenge faced. B cells must then differentiate into antibody-secreting plasma cells or long-lived memory B cells. These activities take place in specialized immunological environments called germinal centres, usually located in the secondary lymphoid organs. To complete the germinal centre activities successfully, a B cell adopts a transcriptional programme that allows it to migrate to specific sites within the germinal centre, proliferate, modify its DNA recombination and repair pathways, alter its apoptotic potential and finally undergo terminal differentiation. To co-ordinate these processes, B cells employ a number of ‘master regulator’ transcription factors which mediate wholesale transcriptomic changes. These master transcription factors are mutually antagonistic and form a complex regulatory network to maintain distinct gene expression programs. Within this network, multiple points of positive and negative feedback ensure the expression of the ‘master regulators’, augmented by a number of ‘secondary’ factors that reinforce these networks and sense the progress of the immune response. In this review we will discuss the different activities B cells must undertake to mount a successful T cell-dependent immune response and describe how a regulatory network of transcription factors controls these processes.","container-title":"Clinical and Experimental Immunology","DOI":"10.1111/cei.12702","ISSN":"1365-2249, 0009-9104","issue":"1","language":"en","license":"https://academic.oup.com/journals/pages/open_access/funder_policies/chorus/standard_publication_model","page":"65-75","source":"DOI.org (Crossref)","title":"Transcription factors regulating B cell fate in the germinal centre","volume":"183","author":[{"family":"Recaldin","given":"T"},{"family":"Fear","given":"D J"}],"issued":{"date-parts":[["2015",12,22]]}}}],"schema":"https://github.com/citation-style-language/schema/raw/master/csl-citation.json"} </w:instrText>
      </w:r>
      <w:r w:rsidRPr="008B72D5">
        <w:rPr>
          <w:rFonts w:ascii="Calibri" w:hAnsi="Calibri" w:cs="Calibri"/>
          <w:color w:val="000000" w:themeColor="text1"/>
          <w:sz w:val="22"/>
          <w:szCs w:val="22"/>
        </w:rPr>
        <w:fldChar w:fldCharType="separate"/>
      </w:r>
      <w:r w:rsidR="00BD6670" w:rsidRPr="008B72D5">
        <w:rPr>
          <w:rFonts w:ascii="Calibri" w:eastAsiaTheme="minorHAnsi" w:hAnsi="Calibri" w:cs="Calibri"/>
          <w:color w:val="000000"/>
          <w:sz w:val="22"/>
          <w:szCs w:val="22"/>
          <w:vertAlign w:val="superscript"/>
          <w14:ligatures w14:val="standardContextual"/>
        </w:rPr>
        <w:t>29</w:t>
      </w:r>
      <w:r w:rsidRPr="008B72D5">
        <w:rPr>
          <w:rFonts w:ascii="Calibri" w:hAnsi="Calibri" w:cs="Calibri"/>
          <w:color w:val="000000" w:themeColor="text1"/>
          <w:sz w:val="22"/>
          <w:szCs w:val="22"/>
        </w:rPr>
        <w:fldChar w:fldCharType="end"/>
      </w:r>
      <w:r w:rsidRPr="008B72D5">
        <w:rPr>
          <w:rFonts w:ascii="Calibri" w:hAnsi="Calibri" w:cs="Calibri"/>
          <w:color w:val="000000" w:themeColor="text1"/>
          <w:sz w:val="22"/>
          <w:szCs w:val="22"/>
        </w:rPr>
        <w:t xml:space="preserve">, alongside genes involved in antibody assembly, folding, and secretion. Notably, we also highlighted immune presentation programs encompassing both MHC class II and class I components, associated transcriptional regulators, signaling mediators, and cell-cycle-linked factors (Fig. 2C). Collectively, we captured feature-level determinants of the PB-GC bifurcation, improving our knowledge of the molecular reasoning behind fate commitment without explicit mechanistic causality. We used </w:t>
      </w:r>
      <w:proofErr w:type="spellStart"/>
      <w:r w:rsidRPr="008B72D5">
        <w:rPr>
          <w:rFonts w:ascii="Calibri" w:hAnsi="Calibri" w:cs="Calibri"/>
          <w:color w:val="000000" w:themeColor="text1"/>
          <w:sz w:val="22"/>
          <w:szCs w:val="22"/>
        </w:rPr>
        <w:t>FIREFate</w:t>
      </w:r>
      <w:proofErr w:type="spellEnd"/>
      <w:r w:rsidRPr="008B72D5">
        <w:rPr>
          <w:rFonts w:ascii="Calibri" w:hAnsi="Calibri" w:cs="Calibri"/>
          <w:color w:val="000000" w:themeColor="text1"/>
          <w:sz w:val="22"/>
          <w:szCs w:val="22"/>
        </w:rPr>
        <w:t xml:space="preserve"> to uncover focused, causally enriched TF-centric subnetworks that capture the minimal, yet highly specific regulators driving B cell state </w:t>
      </w:r>
      <w:proofErr w:type="spellStart"/>
      <w:r w:rsidRPr="008B72D5">
        <w:rPr>
          <w:rFonts w:ascii="Calibri" w:hAnsi="Calibri" w:cs="Calibri"/>
          <w:color w:val="000000" w:themeColor="text1"/>
          <w:sz w:val="22"/>
          <w:szCs w:val="22"/>
        </w:rPr>
        <w:t>pheynotyping</w:t>
      </w:r>
      <w:proofErr w:type="spellEnd"/>
      <w:r w:rsidRPr="008B72D5">
        <w:rPr>
          <w:rFonts w:ascii="Calibri" w:hAnsi="Calibri" w:cs="Calibri"/>
          <w:color w:val="000000" w:themeColor="text1"/>
          <w:sz w:val="22"/>
          <w:szCs w:val="22"/>
        </w:rPr>
        <w:t>, by integrating the inferred cellular programs with state-specific static GRN</w:t>
      </w:r>
      <w:r w:rsidRPr="008B72D5">
        <w:rPr>
          <w:rFonts w:ascii="Calibri" w:hAnsi="Calibri" w:cs="Calibri"/>
          <w:color w:val="000000" w:themeColor="text1"/>
          <w:sz w:val="22"/>
          <w:szCs w:val="22"/>
        </w:rPr>
        <w:fldChar w:fldCharType="begin"/>
      </w:r>
      <w:r w:rsidR="00BD6670" w:rsidRPr="008B72D5">
        <w:rPr>
          <w:rFonts w:ascii="Calibri" w:hAnsi="Calibri" w:cs="Calibri"/>
          <w:color w:val="000000" w:themeColor="text1"/>
          <w:sz w:val="22"/>
          <w:szCs w:val="22"/>
        </w:rPr>
        <w:instrText xml:space="preserve"> ADDIN ZOTERO_ITEM CSL_CITATION {"citationID":"OL113ypE","properties":{"formattedCitation":"\\super 26\\nosupersub{}","plainCitation":"26","noteIndex":0},"citationItems":[{"id":2588,"uris":["http://zotero.org/groups/6337619/items/8385INET"],"itemData":{"id":2588,"type":"article","abstract":"SUMMARY\n          \n            Antibody responses are determined by activated B cells bifurcating into plasmablasts (PBs) and germinal center B cells (GCBCs). Gene regulatory networks (GRNs) underlying human B cell fate choice remain uncharted. Temporally resolved single-cell multi-omics, computational modeling and CRISPR-based perturbations were used to assemble, simulate and test high-resolution GRNs underlying PB and GC fates. The results converged with orthogonal predictions of transcription factor (TF) action at single-nucleotide resolution, revealing dominant and reciprocal actions of IRF4 and its binding partners at simple and composite IRF motifs. Single-cell perturbation analysis of these TFs demonstrated multiple reciprocal negative feedback loops controlling the bifurcation. Additionally, IRF4 and BLIMP1, co-repressed the cell cycle regulators\n            MYC\n            and\n            CCND2\n            . G0/G1 lengthening accelerated the switching of cells to an IRF4\n            hi\n            BLIMP1\n            hi\n            regulatory state and enhanced the probability of PB specification, thereby uncovering a self-reinforcing regulatory module that couples cell cycle dynamics to B cell fate choice.","DOI":"10.1101/2025.04.23.649973","language":"en","license":"http://creativecommons.org/licenses/by/4.0/","publisher":"Immunology","source":"DOI.org (Crossref)","title":"Cell cycle-coupled transcriptional network orchestrates human B cell fate bifurcation","URL":"http://biorxiv.org/lookup/doi/10.1101/2025.04.23.649973","author":[{"family":"Pease","given":"Nicholas A"},{"family":"Fan","given":"Jingyu"},{"family":"Keshari","given":"Swapnil"},{"family":"Stratton","given":"Jered"},{"family":"Gerges","given":"Peter"},{"family":"Ann Varghese","given":"Betsy"},{"family":"Nampoothiri Vp","given":"Narayanan"},{"family":"McGinnis","given":"Christopher S"},{"family":"Zhang","given":"Wenxi"},{"family":"Gierlack","given":"Steven B"},{"family":"Swaminathan","given":"Tanush"},{"family":"Sachan","given":"Akanksha"},{"family":"Manakkat Vijay","given":"Godhev"},{"family":"Mena Hernandez","given":"Luis"},{"family":"Heidari Rarani","given":"Zarifeh"},{"family":"Macedo","given":"Camila"},{"family":"Metes","given":"Diana"},{"family":"Satpathy","given":"Ansuman T"},{"family":"Jain","given":"Abhinav K"},{"family":"Sahni","given":"Nidhi"},{"family":"Stallaert","given":"Wayne"},{"family":"Das","given":"Jishnu"},{"family":"Singh","given":"Harinder"}],"accessed":{"date-parts":[["2025",12,5]]},"issued":{"date-parts":[["2025",4,24]]}}}],"schema":"https://github.com/citation-style-language/schema/raw/master/csl-citation.json"} </w:instrText>
      </w:r>
      <w:r w:rsidRPr="008B72D5">
        <w:rPr>
          <w:rFonts w:ascii="Calibri" w:hAnsi="Calibri" w:cs="Calibri"/>
          <w:color w:val="000000" w:themeColor="text1"/>
          <w:sz w:val="22"/>
          <w:szCs w:val="22"/>
        </w:rPr>
        <w:fldChar w:fldCharType="separate"/>
      </w:r>
      <w:r w:rsidR="00BD6670" w:rsidRPr="008B72D5">
        <w:rPr>
          <w:rFonts w:ascii="Calibri" w:eastAsiaTheme="minorHAnsi" w:hAnsi="Calibri" w:cs="Calibri"/>
          <w:color w:val="000000"/>
          <w:sz w:val="22"/>
          <w:szCs w:val="22"/>
          <w:vertAlign w:val="superscript"/>
          <w14:ligatures w14:val="standardContextual"/>
        </w:rPr>
        <w:t>26</w:t>
      </w:r>
      <w:r w:rsidRPr="008B72D5">
        <w:rPr>
          <w:rFonts w:ascii="Calibri" w:hAnsi="Calibri" w:cs="Calibri"/>
          <w:color w:val="000000" w:themeColor="text1"/>
          <w:sz w:val="22"/>
          <w:szCs w:val="22"/>
        </w:rPr>
        <w:fldChar w:fldCharType="end"/>
      </w:r>
      <w:r w:rsidRPr="008B72D5">
        <w:rPr>
          <w:rFonts w:ascii="Calibri" w:hAnsi="Calibri" w:cs="Calibri"/>
          <w:color w:val="000000" w:themeColor="text1"/>
          <w:sz w:val="22"/>
          <w:szCs w:val="22"/>
        </w:rPr>
        <w:t>. This enables network prioritization beyond node-centric or purely predictive approaches. Consistent with established biology, in the enriched subnetworks PAX5 emerged as a dominant GC regulon, whereas PRDM1 and IRF4 defined PB identity</w:t>
      </w:r>
      <w:r w:rsidRPr="008B72D5">
        <w:rPr>
          <w:rFonts w:ascii="Calibri" w:hAnsi="Calibri" w:cs="Calibri"/>
          <w:color w:val="000000" w:themeColor="text1"/>
          <w:sz w:val="22"/>
          <w:szCs w:val="22"/>
        </w:rPr>
        <w:fldChar w:fldCharType="begin"/>
      </w:r>
      <w:r w:rsidR="00BD6670" w:rsidRPr="008B72D5">
        <w:rPr>
          <w:rFonts w:ascii="Calibri" w:hAnsi="Calibri" w:cs="Calibri"/>
          <w:color w:val="000000" w:themeColor="text1"/>
          <w:sz w:val="22"/>
          <w:szCs w:val="22"/>
        </w:rPr>
        <w:instrText xml:space="preserve"> ADDIN ZOTERO_ITEM CSL_CITATION {"citationID":"HplelxiM","properties":{"formattedCitation":"\\super 30\\nosupersub{}","plainCitation":"30","noteIndex":0},"citationItems":[{"id":2711,"uris":["http://zotero.org/groups/6337619/items/SKZZXT8S"],"itemData":{"id":2711,"type":"article-journal","abstract":"The activated B-cell (ABC) to plasmablast transition encompasses the cusp of antibody-secreting cell (ASC) differentiation. We explore this transition with integrated analysis in human cells, focusing on changes that follow removal from CD40-mediated signals. Within hours of input signal loss, cell growth programs shift toward enhanced proliferation, accompanied by ER-stress response, and up-regulation of ASC features. Clustering of genomic occupancy for IRF4, BLIMP1, XBP1, and CTCF with histone marks identifies a dichotomy: XBP1 and IRF4 link to induced but not repressed gene modules in plasmablasts, whereas BLIMP1 links to modules of ABC genes that are repressed, but not to activated genes. Between ABC and plasmablast states, IRF4 shifts away from AP1/IRF composite elements while maintaining occupancy at IRF and ETS/IRF elements. This parallels the loss of\n              BATF\n              expression, which is identified as a potential BLIMP1 target. In plasmablasts, IRF4 acquires an association with CTCF, a feature maintained in plasma cell myeloma lines. Thus, shifting occupancy links IRF4 to both ABC and ASC gene expression, whereas BLIMP1 occupancy links to repression of the activation state.","container-title":"Life Science Alliance","DOI":"10.26508/lsa.202000654","ISSN":"2575-1077","issue":"10","journalAbbreviation":"Life Sci. Alliance","language":"en","page":"e202000654","source":"DOI.org (Crossref)","title":"A dichotomy of gene regulatory associations during the activated B-cell to plasmablast transition","volume":"3","author":[{"family":"Cocco","given":"Mario"},{"family":"Care","given":"Matthew A"},{"family":"Saadi","given":"Amel"},{"family":"Al-Maskari","given":"Muna"},{"family":"Doody","given":"Gina"},{"family":"Tooze","given":"Reuben"}],"issued":{"date-parts":[["2020",10]]}}}],"schema":"https://github.com/citation-style-language/schema/raw/master/csl-citation.json"} </w:instrText>
      </w:r>
      <w:r w:rsidRPr="008B72D5">
        <w:rPr>
          <w:rFonts w:ascii="Calibri" w:hAnsi="Calibri" w:cs="Calibri"/>
          <w:color w:val="000000" w:themeColor="text1"/>
          <w:sz w:val="22"/>
          <w:szCs w:val="22"/>
        </w:rPr>
        <w:fldChar w:fldCharType="separate"/>
      </w:r>
      <w:r w:rsidR="00BD6670" w:rsidRPr="008B72D5">
        <w:rPr>
          <w:rFonts w:ascii="Calibri" w:eastAsiaTheme="minorHAnsi" w:hAnsi="Calibri" w:cs="Calibri"/>
          <w:color w:val="000000"/>
          <w:sz w:val="22"/>
          <w:szCs w:val="22"/>
          <w:vertAlign w:val="superscript"/>
          <w14:ligatures w14:val="standardContextual"/>
        </w:rPr>
        <w:t>30</w:t>
      </w:r>
      <w:r w:rsidRPr="008B72D5">
        <w:rPr>
          <w:rFonts w:ascii="Calibri" w:hAnsi="Calibri" w:cs="Calibri"/>
          <w:color w:val="000000" w:themeColor="text1"/>
          <w:sz w:val="22"/>
          <w:szCs w:val="22"/>
        </w:rPr>
        <w:fldChar w:fldCharType="end"/>
      </w:r>
      <w:r w:rsidRPr="008B72D5">
        <w:rPr>
          <w:rFonts w:ascii="Calibri" w:hAnsi="Calibri" w:cs="Calibri"/>
          <w:color w:val="000000" w:themeColor="text1"/>
          <w:sz w:val="22"/>
          <w:szCs w:val="22"/>
        </w:rPr>
        <w:t>, despite no prior knowledge of canonical master regulators being encoded in the framework (Fig. 2D). Further, CREB3L2, a regulator of ER stress responses essential for antibody secretion</w:t>
      </w:r>
      <w:r w:rsidRPr="008B72D5">
        <w:rPr>
          <w:rFonts w:ascii="Calibri" w:hAnsi="Calibri" w:cs="Calibri"/>
          <w:color w:val="000000" w:themeColor="text1"/>
          <w:sz w:val="22"/>
          <w:szCs w:val="22"/>
        </w:rPr>
        <w:fldChar w:fldCharType="begin"/>
      </w:r>
      <w:r w:rsidR="00BD6670" w:rsidRPr="008B72D5">
        <w:rPr>
          <w:rFonts w:ascii="Calibri" w:hAnsi="Calibri" w:cs="Calibri"/>
          <w:color w:val="000000" w:themeColor="text1"/>
          <w:sz w:val="22"/>
          <w:szCs w:val="22"/>
        </w:rPr>
        <w:instrText xml:space="preserve"> ADDIN ZOTERO_ITEM CSL_CITATION {"citationID":"wYlaDJM0","properties":{"formattedCitation":"\\super 31\\nosupersub{}","plainCitation":"31","noteIndex":0},"citationItems":[{"id":2603,"uris":["http://zotero.org/groups/6337619/items/HMT6EI8D"],"itemData":{"id":2603,"type":"article-journal","abstract":"Abstract\n            Differentiation of activated B cells into antibody-secreting cells (ASCs) involves extensive endoplasmic reticulum (ER) &amp; Golgi biogenesis and remodeling that enable increased antibody synthesis and secretion. These processes are mediated by the unfolded protein response (UPR). Canonical UPR pathway genes are regulated by the transcription factors (TFs) XBP-1 and ATFs, which are activated upon ER or Golgi stress. Using scRNA-seq to analyze the generation of splenic and bone marrow (BM) plasma cells (PCs), we discovered that the Creb3l2 gene, encoding a non-canonical UPR TF, is specifically expressed in PCs, with highest levels in long-lived PCs (LLPCs). CREB3L2 has been shown to regulate transcription of genes encoding components critical to secretory cells of the pancreas and pituitary gland. To analyze the function of CREB3L2 in ASCs, we pursued a two-pronged strategy (i) using CRISPR/Cas9-RNP editing in the murine CH12 B lymphoma cell line to generate out-of-frame deletions in exon 2 of the Creb3l2 gene (Creb3l2−/−) and (ii) generating Creb3l2 B-cell conditional KO (cKO) mice carrying a floxed allele of the Creb3l2 gene by inserting loxp sites flanking exon 7 with a CD19-cre driver (Creb3l2fl/fl CD19cre/+). RNA-seq of Creb3l2−/− CH12 cells shows CREB3L2 positively regulated genes including Cd93 and Cd28 &amp; its signaling adapter SLP-76 (Lcp2), that are involved in plasma cell survival in the BM niche. Expression of CD28/SLP-76 and CD93 proteins were strongly diminished in Creb3l2−/− CH12 cells. Consistent with these findings, Creb3l2 cKO mice had reduced NP-specific LLPCs (90 d.p.i) after NP-KLH immunization. Thus, CREB3L2 appears to selectively regulate the survival of LLPCs by controlling the expression of CD28/SLP-76 and CD93.\n            Supported by grants from NIAID (U01 AI141990, R01 AI145064).","container-title":"The Journal of Immunology","DOI":"10.4049/jimmunol.210.Supp.162.09","ISSN":"0022-1767, 1550-6606","issue":"Supplement_1","language":"en","license":"https://academic.oup.com/pages/standard-publication-reuse-rights","page":"162.09-162.09","source":"DOI.org (Crossref)","title":"Non-canonical unfolded protein response transcription factor CREB3L2 regulates survival of long-lived plasma cells","volume":"210","author":[{"family":"Lau","given":"Louis C"},{"family":"Manakkat Vijay","given":"Godhev K"},{"family":"Hall","given":"David Reed"},{"family":"Singh","given":"Harinder"}],"issued":{"date-parts":[["2023",5,1]]}}}],"schema":"https://github.com/citation-style-language/schema/raw/master/csl-citation.json"} </w:instrText>
      </w:r>
      <w:r w:rsidRPr="008B72D5">
        <w:rPr>
          <w:rFonts w:ascii="Calibri" w:hAnsi="Calibri" w:cs="Calibri"/>
          <w:color w:val="000000" w:themeColor="text1"/>
          <w:sz w:val="22"/>
          <w:szCs w:val="22"/>
        </w:rPr>
        <w:fldChar w:fldCharType="separate"/>
      </w:r>
      <w:r w:rsidR="00BD6670" w:rsidRPr="008B72D5">
        <w:rPr>
          <w:rFonts w:ascii="Calibri" w:eastAsiaTheme="minorHAnsi" w:hAnsi="Calibri" w:cs="Calibri"/>
          <w:color w:val="000000"/>
          <w:sz w:val="22"/>
          <w:szCs w:val="22"/>
          <w:vertAlign w:val="superscript"/>
          <w14:ligatures w14:val="standardContextual"/>
        </w:rPr>
        <w:t>31</w:t>
      </w:r>
      <w:r w:rsidRPr="008B72D5">
        <w:rPr>
          <w:rFonts w:ascii="Calibri" w:hAnsi="Calibri" w:cs="Calibri"/>
          <w:color w:val="000000" w:themeColor="text1"/>
          <w:sz w:val="22"/>
          <w:szCs w:val="22"/>
        </w:rPr>
        <w:fldChar w:fldCharType="end"/>
      </w:r>
      <w:r w:rsidRPr="008B72D5">
        <w:rPr>
          <w:rFonts w:ascii="Calibri" w:hAnsi="Calibri" w:cs="Calibri"/>
          <w:color w:val="000000" w:themeColor="text1"/>
          <w:sz w:val="22"/>
          <w:szCs w:val="22"/>
        </w:rPr>
        <w:t xml:space="preserve">, activated IRF4, which promote PB differentiation, while repressing PAX5, a key enforcer of GC identity, emerged as a central regulatory hub. </w:t>
      </w:r>
      <w:proofErr w:type="spellStart"/>
      <w:r w:rsidRPr="008B72D5">
        <w:rPr>
          <w:rFonts w:ascii="Calibri" w:hAnsi="Calibri" w:cs="Calibri"/>
          <w:color w:val="000000" w:themeColor="text1"/>
          <w:sz w:val="22"/>
          <w:szCs w:val="22"/>
        </w:rPr>
        <w:t>FIREFate</w:t>
      </w:r>
      <w:proofErr w:type="spellEnd"/>
      <w:r w:rsidRPr="008B72D5">
        <w:rPr>
          <w:rFonts w:ascii="Calibri" w:hAnsi="Calibri" w:cs="Calibri"/>
          <w:color w:val="000000" w:themeColor="text1"/>
          <w:sz w:val="22"/>
          <w:szCs w:val="22"/>
        </w:rPr>
        <w:t xml:space="preserve"> additionally recovered BATF, which facilitates antigen-triggered GC formation</w:t>
      </w:r>
      <w:r w:rsidRPr="008B72D5">
        <w:rPr>
          <w:rFonts w:ascii="Calibri" w:hAnsi="Calibri" w:cs="Calibri"/>
          <w:color w:val="000000" w:themeColor="text1"/>
          <w:sz w:val="22"/>
          <w:szCs w:val="22"/>
        </w:rPr>
        <w:fldChar w:fldCharType="begin"/>
      </w:r>
      <w:r w:rsidR="00BD6670" w:rsidRPr="008B72D5">
        <w:rPr>
          <w:rFonts w:ascii="Calibri" w:hAnsi="Calibri" w:cs="Calibri"/>
          <w:color w:val="000000" w:themeColor="text1"/>
          <w:sz w:val="22"/>
          <w:szCs w:val="22"/>
        </w:rPr>
        <w:instrText xml:space="preserve"> ADDIN ZOTERO_ITEM CSL_CITATION {"citationID":"sglCiwSZ","properties":{"formattedCitation":"\\super 32\\nosupersub{}","plainCitation":"32","noteIndex":0},"citationItems":[{"id":2712,"uris":["http://zotero.org/groups/6337619/items/HHL2II5X"],"itemData":{"id":2712,"type":"article-journal","abstract":"Abstract\n            \n              BATF functions in T cells and B cells to control the host response to antigen and promote the production of class switched immunoglobulins. In this study, we demonstrate that BATF expression increases rapidly, and transiently, following B cell stimulation and use an inducible murine model of BATF deletion to show that this induction is necessary, and sufficient, for immunoglobulin (Ig) class switch recombination (CSR). We examine two genes (\n              Nfil3\n              and\n              miR155gh\n              ) that are positively regulated, and one gene (\n              Wnt10a\n              ) that is negatively regulated by BATF during CSR. These genes play essential roles in CSR and each impacts the expression and/or function of the others. Our observations allow these targets of BATF regulation to be positioned in a network upstream of the activation of germline transcripts (GLT) from the\n              IgH\n              locus and of transcriptional activation of\n              Aicda\n              – the gene encoding the enzyme directing Ig gene rearrangements. This work extends the knowledge of the molecular control of CSR and, importantly, positions the induction and function of BATF as an early event in this process.","container-title":"European Journal of Immunology","DOI":"10.1002/eji.201747360","ISSN":"0014-2980, 1521-4141","issue":"9","journalAbbreviation":"Eur J Immunol","language":"en","page":"1492-1505","source":"DOI.org (Crossref)","title":"BATF regulates the expression of &lt;i&gt;Nfil3&lt;/i&gt; , &lt;i&gt;Wnt10a&lt;/i&gt; and &lt;i&gt;miR155hg&lt;/i&gt; for efficient induction of antibody class switch recombination in mice","volume":"48","author":[{"family":"Morman","given":"Rosemary E."},{"family":"Schweickert","given":"Patrick G."},{"family":"Konieczny","given":"Stephen F."},{"family":"Taparowsky","given":"Elizabeth J."}],"issued":{"date-parts":[["2018",9]]}}}],"schema":"https://github.com/citation-style-language/schema/raw/master/csl-citation.json"} </w:instrText>
      </w:r>
      <w:r w:rsidRPr="008B72D5">
        <w:rPr>
          <w:rFonts w:ascii="Calibri" w:hAnsi="Calibri" w:cs="Calibri"/>
          <w:color w:val="000000" w:themeColor="text1"/>
          <w:sz w:val="22"/>
          <w:szCs w:val="22"/>
        </w:rPr>
        <w:fldChar w:fldCharType="separate"/>
      </w:r>
      <w:r w:rsidR="00BD6670" w:rsidRPr="008B72D5">
        <w:rPr>
          <w:rFonts w:ascii="Calibri" w:eastAsiaTheme="minorHAnsi" w:hAnsi="Calibri" w:cs="Calibri"/>
          <w:color w:val="000000"/>
          <w:sz w:val="22"/>
          <w:szCs w:val="22"/>
          <w:vertAlign w:val="superscript"/>
          <w14:ligatures w14:val="standardContextual"/>
        </w:rPr>
        <w:t>32</w:t>
      </w:r>
      <w:r w:rsidRPr="008B72D5">
        <w:rPr>
          <w:rFonts w:ascii="Calibri" w:hAnsi="Calibri" w:cs="Calibri"/>
          <w:color w:val="000000" w:themeColor="text1"/>
          <w:sz w:val="22"/>
          <w:szCs w:val="22"/>
        </w:rPr>
        <w:fldChar w:fldCharType="end"/>
      </w:r>
      <w:r w:rsidRPr="008B72D5">
        <w:rPr>
          <w:rFonts w:ascii="Calibri" w:hAnsi="Calibri" w:cs="Calibri"/>
          <w:color w:val="000000" w:themeColor="text1"/>
          <w:sz w:val="22"/>
          <w:szCs w:val="22"/>
        </w:rPr>
        <w:t>, as well as BACH2, which restrains premature differentiation to preserve the GC state</w:t>
      </w:r>
      <w:r w:rsidRPr="00BE2831">
        <w:rPr>
          <w:rFonts w:ascii="Calibri" w:hAnsi="Calibri" w:cs="Calibri"/>
          <w:color w:val="000000" w:themeColor="text1"/>
          <w:sz w:val="22"/>
          <w:szCs w:val="22"/>
        </w:rPr>
        <w:t>, and NFKB1, a multifunctional regulator with established roles across B-cell subsets</w:t>
      </w:r>
      <w:r w:rsidRPr="00BE2831">
        <w:rPr>
          <w:rFonts w:ascii="Calibri" w:hAnsi="Calibri" w:cs="Calibri"/>
          <w:color w:val="000000" w:themeColor="text1"/>
          <w:sz w:val="22"/>
          <w:szCs w:val="22"/>
        </w:rPr>
        <w:fldChar w:fldCharType="begin"/>
      </w:r>
      <w:r w:rsidR="00BD6670" w:rsidRPr="00BE2831">
        <w:rPr>
          <w:rFonts w:ascii="Calibri" w:hAnsi="Calibri" w:cs="Calibri"/>
          <w:color w:val="000000" w:themeColor="text1"/>
          <w:sz w:val="22"/>
          <w:szCs w:val="22"/>
        </w:rPr>
        <w:instrText xml:space="preserve"> ADDIN ZOTERO_ITEM CSL_CITATION {"citationID":"6Igny0Jz","properties":{"formattedCitation":"\\super 34\\nosupersub{}","plainCitation":"34","noteIndex":0},"citationItems":[{"id":2608,"uris":["http://zotero.org/groups/6337619/items/D3EE6I2S"],"itemData":{"id":2608,"type":"article-journal","abstract":"Memory B cells and antibody-secreting cells are the two prime effector B cell populations that drive infection- and vaccine-induced long-term antibody-mediated immunity. The antibody-mediated immunity mostly relies on the formation of specialized structures within secondary lymphoid organs, called germinal centers (GCs), that facilitate the interactions between B cells, T cells, and antigen-presenting cells. Antigen-activated B cells may proliferate and differentiate into GC-independent plasmablasts and memory B cells or differentiate into GC B cells. The GC B cells undergo proliferation coupled to somatic hypermutation of their immunoglobulin genes for antibody affinity maturation. Subsequently, affinity mature GC B cells differentiate into GC-dependent plasma cells and memory B cells. Here, we review how the NFκB signaling system controls B cell proliferation and the generation of GC B cells, plasmablasts/plasma cells, and memory B cells. We also identify and discuss some important unanswered questions in this connection.","container-title":"Frontiers in Immunology","DOI":"10.3389/fimmu.2023.1185597","ISSN":"1664-3224","journalAbbreviation":"Front Immunol","language":"eng","page":"1185597","PMID":"38169968","PMCID":"PMC10758606","source":"PubMed","title":"The NFκB signaling system in the generation of B-cell subsets: from germinal center B cells to memory B cells and plasma cells","title-short":"The NFκB signaling system in the generation of B-cell subsets","volume":"14","author":[{"family":"Roy","given":"Koushik"},{"family":"Chakraborty","given":"Mainak"},{"family":"Kumar","given":"Ashok"},{"family":"Manna","given":"Asit Kumar"},{"family":"Roy","given":"Neeladri Sekhar"}],"issued":{"date-parts":[["2023"]]}}}],"schema":"https://github.com/citation-style-language/schema/raw/master/csl-citation.json"} </w:instrText>
      </w:r>
      <w:r w:rsidRPr="00BE2831">
        <w:rPr>
          <w:rFonts w:ascii="Calibri" w:hAnsi="Calibri" w:cs="Calibri"/>
          <w:color w:val="000000" w:themeColor="text1"/>
          <w:sz w:val="22"/>
          <w:szCs w:val="22"/>
        </w:rPr>
        <w:fldChar w:fldCharType="separate"/>
      </w:r>
      <w:r w:rsidR="00BD6670" w:rsidRPr="00BE2831">
        <w:rPr>
          <w:rFonts w:ascii="Calibri" w:eastAsiaTheme="minorHAnsi" w:hAnsi="Calibri" w:cs="Calibri"/>
          <w:color w:val="000000"/>
          <w:sz w:val="22"/>
          <w:szCs w:val="22"/>
          <w:vertAlign w:val="superscript"/>
          <w14:ligatures w14:val="standardContextual"/>
        </w:rPr>
        <w:t>34</w:t>
      </w:r>
      <w:r w:rsidRPr="00BE2831">
        <w:rPr>
          <w:rFonts w:ascii="Calibri" w:hAnsi="Calibri" w:cs="Calibri"/>
          <w:color w:val="000000" w:themeColor="text1"/>
          <w:sz w:val="22"/>
          <w:szCs w:val="22"/>
        </w:rPr>
        <w:fldChar w:fldCharType="end"/>
      </w:r>
      <w:r w:rsidRPr="00BE2831">
        <w:rPr>
          <w:rFonts w:ascii="Calibri" w:hAnsi="Calibri" w:cs="Calibri"/>
          <w:color w:val="000000" w:themeColor="text1"/>
          <w:sz w:val="22"/>
          <w:szCs w:val="22"/>
        </w:rPr>
        <w:t xml:space="preserve">. Overrepresentation analysis further identified key TF regulons enriched within </w:t>
      </w:r>
      <w:r w:rsidRPr="00BE2831">
        <w:rPr>
          <w:rFonts w:ascii="Calibri" w:hAnsi="Calibri" w:cs="Calibri"/>
          <w:color w:val="000000" w:themeColor="text1"/>
          <w:sz w:val="22"/>
          <w:szCs w:val="22"/>
        </w:rPr>
        <w:lastRenderedPageBreak/>
        <w:t>the bifurcation program (Fig. 2E), highlighting both canonical regulators and understudied factors such as CREB3L2 and TCF12, with potential roles in B-cell fate control</w:t>
      </w:r>
      <w:r w:rsidRPr="00BE2831">
        <w:rPr>
          <w:rFonts w:ascii="Calibri" w:hAnsi="Calibri" w:cs="Calibri"/>
          <w:color w:val="000000" w:themeColor="text1"/>
          <w:sz w:val="22"/>
          <w:szCs w:val="22"/>
        </w:rPr>
        <w:fldChar w:fldCharType="begin"/>
      </w:r>
      <w:r w:rsidR="00BD6670" w:rsidRPr="00BE2831">
        <w:rPr>
          <w:rFonts w:ascii="Calibri" w:hAnsi="Calibri" w:cs="Calibri"/>
          <w:color w:val="000000" w:themeColor="text1"/>
          <w:sz w:val="22"/>
          <w:szCs w:val="22"/>
        </w:rPr>
        <w:instrText xml:space="preserve"> ADDIN ZOTERO_ITEM CSL_CITATION {"citationID":"l8q1hfwc","properties":{"formattedCitation":"\\super 35\\nosupersub{}","plainCitation":"35","noteIndex":0},"citationItems":[{"id":2713,"uris":["http://zotero.org/groups/6337619/items/8FD8HRG9"],"itemData":{"id":2713,"type":"article-journal","abstract":"Tcf12 has been identified as one of the main helix-loop-helix transcription factors that regulates T cell development from double negative to double positive stage transition. While, the function of Tcf12 in hematopoietic stem cells remains not investigated. In this study, we observed that Tcf12 is expressed in HSCs and targeted deletion of Tcf12 in hematopoietic cells results in increased frequency and absolute number of HSCs, but compromises the reconstitution capacity of HSCs. Further analysis reveals that Tcf12 is dispensable for the self-renewal of HSCs. The declined reconstituted capacity of Tcf12-/- HSCs stems from the decrease in the ability to differentiate into lymphoid-primed multipotent progenitors, and furthermore B and T lineages.","container-title":"Blood Science","DOI":"10.1097/BS9.0000000000000059","ISSN":"2543-6368","issue":"1","journalAbbreviation":"Blood Sci","language":"eng","note":"publisher-place: Baltimore, Md.","page":"14-19","PMID":"35399207","PMCID":"PMC8974954","source":"PubMed","title":"Tcf12 balances the reconstitution and differentiation capacity of hematopoietic stem cell","volume":"3","author":[{"family":"Liao","given":"Min"},{"family":"Wang","given":"Jianwei"}],"issued":{"date-parts":[["2021",1]]}}}],"schema":"https://github.com/citation-style-language/schema/raw/master/csl-citation.json"} </w:instrText>
      </w:r>
      <w:r w:rsidRPr="00BE2831">
        <w:rPr>
          <w:rFonts w:ascii="Calibri" w:hAnsi="Calibri" w:cs="Calibri"/>
          <w:color w:val="000000" w:themeColor="text1"/>
          <w:sz w:val="22"/>
          <w:szCs w:val="22"/>
        </w:rPr>
        <w:fldChar w:fldCharType="separate"/>
      </w:r>
      <w:r w:rsidR="00BD6670" w:rsidRPr="00BE2831">
        <w:rPr>
          <w:rFonts w:ascii="Calibri" w:eastAsiaTheme="minorHAnsi" w:hAnsi="Calibri" w:cs="Calibri"/>
          <w:color w:val="000000"/>
          <w:sz w:val="22"/>
          <w:szCs w:val="22"/>
          <w:vertAlign w:val="superscript"/>
          <w14:ligatures w14:val="standardContextual"/>
        </w:rPr>
        <w:t>35</w:t>
      </w:r>
      <w:r w:rsidRPr="00BE2831">
        <w:rPr>
          <w:rFonts w:ascii="Calibri" w:hAnsi="Calibri" w:cs="Calibri"/>
          <w:color w:val="000000" w:themeColor="text1"/>
          <w:sz w:val="22"/>
          <w:szCs w:val="22"/>
        </w:rPr>
        <w:fldChar w:fldCharType="end"/>
      </w:r>
      <w:r w:rsidRPr="00BE2831">
        <w:rPr>
          <w:rFonts w:ascii="Calibri" w:hAnsi="Calibri" w:cs="Calibri"/>
          <w:color w:val="000000" w:themeColor="text1"/>
          <w:sz w:val="22"/>
          <w:szCs w:val="22"/>
        </w:rPr>
        <w:t xml:space="preserve">. By embedding interpretable cellular programs within mechanistic networks, </w:t>
      </w:r>
      <w:proofErr w:type="spellStart"/>
      <w:r w:rsidRPr="00BE2831">
        <w:rPr>
          <w:rFonts w:ascii="Calibri" w:hAnsi="Calibri" w:cs="Calibri"/>
          <w:color w:val="000000" w:themeColor="text1"/>
          <w:sz w:val="22"/>
          <w:szCs w:val="22"/>
        </w:rPr>
        <w:t>FIREFate</w:t>
      </w:r>
      <w:proofErr w:type="spellEnd"/>
      <w:r w:rsidRPr="00BE2831">
        <w:rPr>
          <w:rFonts w:ascii="Calibri" w:hAnsi="Calibri" w:cs="Calibri"/>
          <w:color w:val="000000" w:themeColor="text1"/>
          <w:sz w:val="22"/>
          <w:szCs w:val="22"/>
        </w:rPr>
        <w:t xml:space="preserve"> moves beyond descriptive signatures to uncover causal regulatory dependencies governing lineage commitment.</w:t>
      </w:r>
    </w:p>
    <w:p w14:paraId="62B67F03" w14:textId="77777777" w:rsidR="008515C4" w:rsidRPr="009658C3" w:rsidRDefault="008515C4" w:rsidP="008515C4">
      <w:pPr>
        <w:jc w:val="both"/>
        <w:rPr>
          <w:rFonts w:ascii="Calibri" w:hAnsi="Calibri" w:cs="Calibri"/>
          <w:color w:val="000000" w:themeColor="text1"/>
        </w:rPr>
      </w:pPr>
    </w:p>
    <w:p w14:paraId="0E338177" w14:textId="7D89882F" w:rsidR="008515C4" w:rsidRPr="009658C3" w:rsidRDefault="008515C4" w:rsidP="008515C4">
      <w:pPr>
        <w:jc w:val="both"/>
        <w:rPr>
          <w:rFonts w:ascii="Calibri" w:hAnsi="Calibri" w:cs="Calibri"/>
          <w:color w:val="000000" w:themeColor="text1"/>
          <w:lang w:val="en-US"/>
        </w:rPr>
      </w:pPr>
      <w:r>
        <w:rPr>
          <w:rFonts w:ascii="Calibri" w:hAnsi="Calibri" w:cs="Calibri"/>
          <w:color w:val="000000" w:themeColor="text1"/>
          <w:lang w:val="en-US"/>
        </w:rPr>
        <w:t>Lastly</w:t>
      </w:r>
      <w:r w:rsidRPr="00365834">
        <w:rPr>
          <w:rFonts w:ascii="Calibri" w:hAnsi="Calibri" w:cs="Calibri"/>
          <w:color w:val="000000" w:themeColor="text1"/>
          <w:lang w:val="en-US"/>
        </w:rPr>
        <w:t xml:space="preserve">, we benchmark </w:t>
      </w:r>
      <w:proofErr w:type="spellStart"/>
      <w:r w:rsidRPr="00365834">
        <w:rPr>
          <w:rFonts w:ascii="Calibri" w:hAnsi="Calibri" w:cs="Calibri"/>
          <w:color w:val="000000" w:themeColor="text1"/>
          <w:lang w:val="en-US"/>
        </w:rPr>
        <w:t>FIREFate</w:t>
      </w:r>
      <w:proofErr w:type="spellEnd"/>
      <w:r w:rsidRPr="00365834">
        <w:rPr>
          <w:rFonts w:ascii="Calibri" w:hAnsi="Calibri" w:cs="Calibri"/>
          <w:color w:val="000000" w:themeColor="text1"/>
          <w:lang w:val="en-US"/>
        </w:rPr>
        <w:t xml:space="preserve"> against</w:t>
      </w:r>
      <w:r>
        <w:rPr>
          <w:rFonts w:ascii="Calibri" w:hAnsi="Calibri" w:cs="Calibri"/>
          <w:color w:val="000000" w:themeColor="text1"/>
          <w:lang w:val="en-US"/>
        </w:rPr>
        <w:t xml:space="preserve"> SCENIC+</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{"citationID":"SLhY32hc","properties":{"formattedCitation":"\\super 19\\nosupersub{}","plainCitation":"19","noteIndex":0},"citationItems":[{"id":2700,"uris":["http://zotero.org/groups/6337619/items/ZNZ49YHC"],"itemData":{"id":2700,"type":"article-journal","abstract":"Abstract\n            \n              Joint profiling of chromatin accessibility and gene expression in individual cells provides an opportunity to decipher enhancer-driven gene regulatory networks (GRNs). Here we present a method for the inference of enhancer-driven GRNs, called SCENIC+. SCENIC+ predicts genomic enhancers along with candidate upstream transcription factors (TFs) and links these enhancers to candidate target genes. To improve both recall and precision of TF identification, we curated and clustered a motif collection with more than 30,000 motifs. We benchmarked SCENIC+ on diverse datasets from different species, including human peripheral blood mononuclear cells, ENCODE cell lines, melanoma cell states and\n              Drosophila\n              retinal development. Next, we exploit SCENIC+ predictions to study conserved TFs, enhancers and GRNs between human and mouse cell types in the cerebral cortex. Finally, we use SCENIC+ to study the dynamics of gene regulation along differentiation trajectories and the effect of TF perturbations on cell state. SCENIC+ is available at\n              scenicplus.readthedocs.io\n              .","container-title":"Nature Methods","DOI":"10.1038/s41592-023-01938-4","ISSN":"1548-7091, 1548-7105","issue":"9","journalAbbreviation":"Nat Methods","language":"en","page":"1355-1367","source":"DOI.org (Crossref)","title":"SCENIC+: single-cell multiomic inference of enhancers and gene regulatory networks","title-short":"SCENIC+","volume":"20","author":[{"family":"Bravo González-Blas","given":"Carmen"},{"family":"De Winter","given":"Seppe"},{"family":"Hulselmans","given":"Gert"},{"family":"Hecker","given":"Nikolai"},{"family":"Matetovici","given":"Irina"},{"family":"Christiaens","given":"Valerie"},{"family":"Poovathingal","given":"Suresh"},{"family":"Wouters","given":"Jasper"},{"family":"Aibar","given":"Sara"},{"family":"Aerts","given":"Stein"}],"issued":{"date-parts":[["2023",9]]}}}],"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19</w:t>
      </w:r>
      <w:r>
        <w:rPr>
          <w:rFonts w:ascii="Calibri" w:hAnsi="Calibri" w:cs="Calibri"/>
          <w:color w:val="000000" w:themeColor="text1"/>
          <w:lang w:val="en-US"/>
        </w:rPr>
        <w:fldChar w:fldCharType="end"/>
      </w:r>
      <w:r>
        <w:rPr>
          <w:rFonts w:ascii="Calibri" w:hAnsi="Calibri" w:cs="Calibri"/>
          <w:color w:val="000000" w:themeColor="text1"/>
          <w:lang w:val="en-US"/>
        </w:rPr>
        <w:t>, an alternate</w:t>
      </w:r>
      <w:r w:rsidRPr="00365834">
        <w:rPr>
          <w:rFonts w:ascii="Calibri" w:hAnsi="Calibri" w:cs="Calibri"/>
          <w:color w:val="000000" w:themeColor="text1"/>
          <w:lang w:val="en-US"/>
        </w:rPr>
        <w:t xml:space="preserve"> approach that capture </w:t>
      </w:r>
      <w:r>
        <w:rPr>
          <w:rFonts w:ascii="Calibri" w:hAnsi="Calibri" w:cs="Calibri"/>
          <w:color w:val="000000" w:themeColor="text1"/>
          <w:lang w:val="en-US"/>
        </w:rPr>
        <w:t xml:space="preserve">context specific </w:t>
      </w:r>
      <w:r w:rsidRPr="00365834">
        <w:rPr>
          <w:rFonts w:ascii="Calibri" w:hAnsi="Calibri" w:cs="Calibri"/>
          <w:color w:val="000000" w:themeColor="text1"/>
          <w:lang w:val="en-US"/>
        </w:rPr>
        <w:t xml:space="preserve">regulons. </w:t>
      </w:r>
      <w:r>
        <w:rPr>
          <w:rFonts w:ascii="Calibri" w:hAnsi="Calibri" w:cs="Calibri"/>
          <w:color w:val="000000" w:themeColor="text1"/>
          <w:lang w:val="en-US"/>
        </w:rPr>
        <w:t>We find</w:t>
      </w:r>
      <w:r w:rsidRPr="009658C3">
        <w:rPr>
          <w:rFonts w:ascii="Calibri" w:hAnsi="Calibri" w:cs="Calibri"/>
          <w:color w:val="000000" w:themeColor="text1"/>
          <w:lang w:val="en-US"/>
        </w:rPr>
        <w:t xml:space="preserve"> that although SCENIC+ recovered many known regulators, it inferred large, diffuse regulons with limited specificity. In contrast,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derived TF-centric regulons are </w:t>
      </w:r>
      <w:r w:rsidRPr="009658C3">
        <w:rPr>
          <w:rFonts w:ascii="Calibri" w:hAnsi="Calibri" w:cs="Calibri"/>
          <w:color w:val="000000" w:themeColor="text1"/>
          <w:lang w:val="en-US"/>
        </w:rPr>
        <w:t>compact</w:t>
      </w:r>
      <w:r>
        <w:rPr>
          <w:rFonts w:ascii="Calibri" w:hAnsi="Calibri" w:cs="Calibri"/>
          <w:color w:val="000000" w:themeColor="text1"/>
          <w:lang w:val="en-US"/>
        </w:rPr>
        <w:t>.</w:t>
      </w:r>
      <w:r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To quantify the performance, we subset to </w:t>
      </w:r>
      <w:r w:rsidRPr="009658C3">
        <w:rPr>
          <w:rFonts w:ascii="Calibri" w:hAnsi="Calibri" w:cs="Calibri"/>
          <w:color w:val="000000" w:themeColor="text1"/>
          <w:lang w:val="en-US"/>
        </w:rPr>
        <w:t>shared TFs between methods</w:t>
      </w:r>
      <w:r>
        <w:rPr>
          <w:rFonts w:ascii="Calibri" w:hAnsi="Calibri" w:cs="Calibri"/>
          <w:color w:val="000000" w:themeColor="text1"/>
          <w:lang w:val="en-US"/>
        </w:rPr>
        <w:t xml:space="preserve">. We find </w:t>
      </w:r>
      <w:proofErr w:type="spellStart"/>
      <w:r>
        <w:rPr>
          <w:rFonts w:ascii="Calibri" w:hAnsi="Calibri" w:cs="Calibri"/>
          <w:color w:val="000000" w:themeColor="text1"/>
          <w:lang w:val="en-US"/>
        </w:rPr>
        <w:t>FIREFate’s</w:t>
      </w:r>
      <w:proofErr w:type="spellEnd"/>
      <w:r>
        <w:rPr>
          <w:rFonts w:ascii="Calibri" w:hAnsi="Calibri" w:cs="Calibri"/>
          <w:color w:val="000000" w:themeColor="text1"/>
          <w:lang w:val="en-US"/>
        </w:rPr>
        <w:t xml:space="preserve"> </w:t>
      </w:r>
      <w:r w:rsidRPr="009658C3">
        <w:rPr>
          <w:rFonts w:ascii="Calibri" w:hAnsi="Calibri" w:cs="Calibri"/>
          <w:color w:val="000000" w:themeColor="text1"/>
          <w:lang w:val="en-US"/>
        </w:rPr>
        <w:t>regulons exhibited significantly higher absolute lo</w:t>
      </w:r>
      <w:r>
        <w:rPr>
          <w:rFonts w:ascii="Calibri" w:hAnsi="Calibri" w:cs="Calibri"/>
          <w:color w:val="000000" w:themeColor="text1"/>
          <w:lang w:val="en-US"/>
        </w:rPr>
        <w:t>g</w:t>
      </w:r>
      <w:r w:rsidRPr="009658C3">
        <w:rPr>
          <w:rFonts w:ascii="Calibri" w:hAnsi="Calibri" w:cs="Calibri"/>
          <w:color w:val="000000" w:themeColor="text1"/>
          <w:lang w:val="en-US"/>
        </w:rPr>
        <w:t xml:space="preserve"> fold-changes between GC and PB states (Fig. 2F-G</w:t>
      </w:r>
      <w:r>
        <w:rPr>
          <w:rFonts w:ascii="Calibri" w:hAnsi="Calibri" w:cs="Calibri"/>
          <w:color w:val="000000" w:themeColor="text1"/>
          <w:lang w:val="en-US"/>
        </w:rPr>
        <w:t>, supplementary fig1</w:t>
      </w:r>
      <w:r w:rsidRPr="009658C3">
        <w:rPr>
          <w:rFonts w:ascii="Calibri" w:hAnsi="Calibri" w:cs="Calibri"/>
          <w:color w:val="000000" w:themeColor="text1"/>
          <w:lang w:val="en-US"/>
        </w:rPr>
        <w:t xml:space="preserve">), indicating stronger, fate-defining regulatory effects. </w:t>
      </w:r>
      <w:r>
        <w:rPr>
          <w:rFonts w:ascii="Calibri" w:hAnsi="Calibri" w:cs="Calibri"/>
          <w:color w:val="000000" w:themeColor="text1"/>
          <w:lang w:val="en-US"/>
        </w:rPr>
        <w:t>W</w:t>
      </w:r>
      <w:r w:rsidRPr="009658C3">
        <w:rPr>
          <w:rFonts w:ascii="Calibri" w:hAnsi="Calibri" w:cs="Calibri"/>
          <w:color w:val="000000" w:themeColor="text1"/>
          <w:lang w:val="en-US"/>
        </w:rPr>
        <w:t xml:space="preserve">e </w:t>
      </w:r>
      <w:r>
        <w:rPr>
          <w:rFonts w:ascii="Calibri" w:hAnsi="Calibri" w:cs="Calibri"/>
          <w:color w:val="000000" w:themeColor="text1"/>
          <w:lang w:val="en-US"/>
        </w:rPr>
        <w:t xml:space="preserve">further </w:t>
      </w:r>
      <w:r w:rsidRPr="009658C3">
        <w:rPr>
          <w:rFonts w:ascii="Calibri" w:hAnsi="Calibri" w:cs="Calibri"/>
          <w:color w:val="000000" w:themeColor="text1"/>
          <w:lang w:val="en-US"/>
        </w:rPr>
        <w:t>model coordinated combinatorial</w:t>
      </w:r>
      <w:r>
        <w:rPr>
          <w:rFonts w:ascii="Calibri" w:hAnsi="Calibri" w:cs="Calibri"/>
          <w:color w:val="000000" w:themeColor="text1"/>
          <w:lang w:val="en-US"/>
        </w:rPr>
        <w:t xml:space="preserve"> TF</w:t>
      </w:r>
      <w:r w:rsidRPr="009658C3">
        <w:rPr>
          <w:rFonts w:ascii="Calibri" w:hAnsi="Calibri" w:cs="Calibri"/>
          <w:color w:val="000000" w:themeColor="text1"/>
          <w:lang w:val="en-US"/>
        </w:rPr>
        <w:t xml:space="preserve"> </w:t>
      </w:r>
      <w:r>
        <w:rPr>
          <w:rFonts w:ascii="Calibri" w:hAnsi="Calibri" w:cs="Calibri"/>
          <w:color w:val="000000" w:themeColor="text1"/>
          <w:lang w:val="en-US"/>
        </w:rPr>
        <w:t>regulation to understand the encoded logic in the derived regulons</w:t>
      </w:r>
      <w:r w:rsidRPr="009658C3">
        <w:rPr>
          <w:rFonts w:ascii="Calibri" w:hAnsi="Calibri" w:cs="Calibri"/>
          <w:color w:val="000000" w:themeColor="text1"/>
          <w:lang w:val="en-US"/>
        </w:rPr>
        <w:t xml:space="preserve">. TF pairs prioritized by </w:t>
      </w:r>
      <w:r>
        <w:rPr>
          <w:rFonts w:ascii="Calibri" w:hAnsi="Calibri" w:cs="Calibri"/>
          <w:color w:val="000000" w:themeColor="text1"/>
          <w:lang w:val="en-US"/>
        </w:rPr>
        <w:t>our framework</w:t>
      </w:r>
      <w:r w:rsidRPr="009658C3">
        <w:rPr>
          <w:rFonts w:ascii="Calibri" w:hAnsi="Calibri" w:cs="Calibri"/>
          <w:color w:val="000000" w:themeColor="text1"/>
          <w:lang w:val="en-US"/>
        </w:rPr>
        <w:t xml:space="preserve"> exhibited significantly higher Cicero co-accessibility</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{"citationID":"DCTTa5PX","properties":{"formattedCitation":"\\super 36\\nosupersub{}","plainCitation":"36","noteIndex":0},"citationItems":[{"id":2715,"uris":["http://zotero.org/groups/6337619/items/RCUI3U3W"],"itemData":{"id":2715,"type":"article-journal","container-title":"Molecular Cell","DOI":"10.1016/j.molcel.2018.06.044","ISSN":"10972765","issue":"5","journalAbbreviation":"Molecular Cell","language":"en","page":"858-871.e8","source":"DOI.org (Crossref)","title":"Cicero Predicts cis-Regulatory DNA Interactions from Single-Cell Chromatin Accessibility Data","volume":"71","author":[{"family":"Pliner","given":"Hannah A."},{"family":"Packer","given":"Jonathan S."},{"family":"McFaline-Figueroa","given":"José L."},{"family":"Cusanovich","given":"Darren A."},{"family":"Daza","given":"Riza M."},{"family":"Aghamirzaie","given":"Delasa"},{"family":"Srivatsan","given":"Sanjay"},{"family":"Qiu","given":"Xiaojie"},{"family":"Jackson","given":"Dana"},{"family":"Minkina","given":"Anna"},{"family":"Adey","given":"Andrew C."},{"family":"Steemers","given":"Frank J."},{"family":"Shendure","given":"Jay"},{"family":"Trapnell","given":"Cole"}],"issued":{"date-parts":[["2018",9]]}}}],"schema":"https://github.com/citation-style-language/schema/raw/master/csl-citation.json"}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36</w:t>
      </w:r>
      <w:r>
        <w:rPr>
          <w:rFonts w:ascii="Calibri" w:hAnsi="Calibri" w:cs="Calibri"/>
          <w:color w:val="000000" w:themeColor="text1"/>
          <w:lang w:val="en-US"/>
        </w:rPr>
        <w:fldChar w:fldCharType="end"/>
      </w:r>
      <w:r w:rsidRPr="009658C3">
        <w:rPr>
          <w:rFonts w:ascii="Calibri" w:hAnsi="Calibri" w:cs="Calibri"/>
          <w:color w:val="000000" w:themeColor="text1"/>
          <w:lang w:val="en-US"/>
        </w:rPr>
        <w:t xml:space="preserve"> between chromatin regions containing motifs for both TFs and promoters of shared target genes compared to topology-matched and random controls (Extended Fig. 1G</w:t>
      </w:r>
      <w:r>
        <w:rPr>
          <w:rFonts w:ascii="Calibri" w:hAnsi="Calibri" w:cs="Calibri"/>
          <w:color w:val="000000" w:themeColor="text1"/>
          <w:lang w:val="en-US"/>
        </w:rPr>
        <w:t>, H</w:t>
      </w:r>
      <w:r w:rsidRPr="009658C3">
        <w:rPr>
          <w:rFonts w:ascii="Calibri" w:hAnsi="Calibri" w:cs="Calibri"/>
          <w:color w:val="000000" w:themeColor="text1"/>
          <w:lang w:val="en-US"/>
        </w:rPr>
        <w:t>), providing chromatin-level evidence of cooperative regulation.</w:t>
      </w:r>
    </w:p>
    <w:p w14:paraId="68FA70DE" w14:textId="77777777" w:rsidR="008515C4" w:rsidRPr="009658C3" w:rsidRDefault="008515C4" w:rsidP="008515C4">
      <w:pPr>
        <w:jc w:val="both"/>
        <w:rPr>
          <w:rFonts w:ascii="Calibri" w:hAnsi="Calibri" w:cs="Calibri"/>
          <w:color w:val="000000" w:themeColor="text1"/>
          <w:lang w:val="en-US"/>
        </w:rPr>
      </w:pPr>
    </w:p>
    <w:p w14:paraId="6AC8EF27" w14:textId="77777777" w:rsidR="008515C4" w:rsidRPr="00FB0275" w:rsidRDefault="008515C4" w:rsidP="008515C4">
      <w:pPr>
        <w:jc w:val="both"/>
        <w:rPr>
          <w:rFonts w:ascii="Calibri" w:hAnsi="Calibri" w:cs="Calibri"/>
          <w:i/>
          <w:iCs/>
          <w:color w:val="000000" w:themeColor="text1"/>
          <w:lang w:val="en-US"/>
        </w:rPr>
      </w:pPr>
      <w:r>
        <w:rPr>
          <w:rFonts w:ascii="Calibri" w:hAnsi="Calibri" w:cs="Calibri"/>
          <w:color w:val="000000" w:themeColor="text1"/>
          <w:lang w:val="en-US"/>
        </w:rPr>
        <w:t>Overall</w:t>
      </w:r>
      <w:r w:rsidRPr="009658C3">
        <w:rPr>
          <w:rFonts w:ascii="Calibri" w:hAnsi="Calibri" w:cs="Calibri"/>
          <w:color w:val="000000" w:themeColor="text1"/>
          <w:lang w:val="en-US"/>
        </w:rPr>
        <w:t xml:space="preserve">,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establish</w:t>
      </w:r>
      <w:r>
        <w:rPr>
          <w:rFonts w:ascii="Calibri" w:hAnsi="Calibri" w:cs="Calibri"/>
          <w:color w:val="000000" w:themeColor="text1"/>
          <w:lang w:val="en-US"/>
        </w:rPr>
        <w:t>es</w:t>
      </w:r>
      <w:r w:rsidRPr="009658C3">
        <w:rPr>
          <w:rFonts w:ascii="Calibri" w:hAnsi="Calibri" w:cs="Calibri"/>
          <w:color w:val="000000" w:themeColor="text1"/>
          <w:lang w:val="en-US"/>
        </w:rPr>
        <w:t xml:space="preserve"> a new paradigm </w:t>
      </w:r>
      <w:r>
        <w:rPr>
          <w:rFonts w:ascii="Calibri" w:hAnsi="Calibri" w:cs="Calibri"/>
          <w:color w:val="000000" w:themeColor="text1"/>
          <w:lang w:val="en-US"/>
        </w:rPr>
        <w:t xml:space="preserve">that </w:t>
      </w:r>
      <w:r w:rsidRPr="009658C3">
        <w:rPr>
          <w:rFonts w:ascii="Calibri" w:hAnsi="Calibri" w:cs="Calibri"/>
          <w:color w:val="000000" w:themeColor="text1"/>
          <w:lang w:val="en-US"/>
        </w:rPr>
        <w:t>fundamentally transcends existing approaches by resolving PB-GC fate as an integrated</w:t>
      </w:r>
      <w:r>
        <w:rPr>
          <w:rFonts w:ascii="Calibri" w:hAnsi="Calibri" w:cs="Calibri"/>
          <w:color w:val="000000" w:themeColor="text1"/>
          <w:lang w:val="en-US"/>
        </w:rPr>
        <w:t>, interpretable, and minimal yet sufficient</w:t>
      </w:r>
      <w:r w:rsidRPr="009658C3">
        <w:rPr>
          <w:rFonts w:ascii="Calibri" w:hAnsi="Calibri" w:cs="Calibri"/>
          <w:color w:val="000000" w:themeColor="text1"/>
          <w:lang w:val="en-US"/>
        </w:rPr>
        <w:t xml:space="preserve"> regulatory program, </w:t>
      </w:r>
      <w:r>
        <w:rPr>
          <w:rFonts w:ascii="Calibri" w:hAnsi="Calibri" w:cs="Calibri"/>
          <w:color w:val="000000" w:themeColor="text1"/>
          <w:lang w:val="en-US"/>
        </w:rPr>
        <w:t>rather than</w:t>
      </w:r>
      <w:r w:rsidRPr="009658C3">
        <w:rPr>
          <w:rFonts w:ascii="Calibri" w:hAnsi="Calibri" w:cs="Calibri"/>
          <w:color w:val="000000" w:themeColor="text1"/>
          <w:lang w:val="en-US"/>
        </w:rPr>
        <w:t xml:space="preserve"> isolated genes or interactions</w:t>
      </w:r>
      <w:r>
        <w:rPr>
          <w:rFonts w:ascii="Calibri" w:hAnsi="Calibri" w:cs="Calibri"/>
          <w:color w:val="000000" w:themeColor="text1"/>
          <w:lang w:val="en-US"/>
        </w:rPr>
        <w:t>. These m</w:t>
      </w:r>
      <w:r w:rsidRPr="009658C3">
        <w:rPr>
          <w:rFonts w:ascii="Calibri" w:hAnsi="Calibri" w:cs="Calibri"/>
          <w:color w:val="000000" w:themeColor="text1"/>
          <w:lang w:val="en-US"/>
        </w:rPr>
        <w:t>inimal</w:t>
      </w:r>
      <w:r>
        <w:rPr>
          <w:rFonts w:ascii="Calibri" w:hAnsi="Calibri" w:cs="Calibri"/>
          <w:color w:val="000000" w:themeColor="text1"/>
          <w:lang w:val="en-US"/>
        </w:rPr>
        <w:t xml:space="preserve"> programs recover </w:t>
      </w:r>
      <w:proofErr w:type="spellStart"/>
      <w:r w:rsidRPr="009658C3">
        <w:rPr>
          <w:rFonts w:ascii="Calibri" w:hAnsi="Calibri" w:cs="Calibri"/>
          <w:color w:val="000000" w:themeColor="text1"/>
          <w:lang w:val="en-US"/>
        </w:rPr>
        <w:t>recover</w:t>
      </w:r>
      <w:proofErr w:type="spellEnd"/>
      <w:r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both </w:t>
      </w:r>
      <w:r w:rsidRPr="009658C3">
        <w:rPr>
          <w:rFonts w:ascii="Calibri" w:hAnsi="Calibri" w:cs="Calibri"/>
          <w:color w:val="000000" w:themeColor="text1"/>
          <w:lang w:val="en-US"/>
        </w:rPr>
        <w:t xml:space="preserve">canonical (PRDM1, IRF4, PAX5, BACH2, etc.) and understudied </w:t>
      </w:r>
      <w:r>
        <w:rPr>
          <w:rFonts w:ascii="Calibri" w:hAnsi="Calibri" w:cs="Calibri"/>
          <w:color w:val="000000" w:themeColor="text1"/>
          <w:lang w:val="en-US"/>
        </w:rPr>
        <w:t>factors</w:t>
      </w:r>
      <w:r w:rsidRPr="009658C3">
        <w:rPr>
          <w:rFonts w:ascii="Calibri" w:hAnsi="Calibri" w:cs="Calibri"/>
          <w:color w:val="000000" w:themeColor="text1"/>
          <w:lang w:val="en-US"/>
        </w:rPr>
        <w:t xml:space="preserve"> (CREB3L2, TCF12, etc.), capturing </w:t>
      </w:r>
      <w:r>
        <w:rPr>
          <w:rFonts w:ascii="Calibri" w:hAnsi="Calibri" w:cs="Calibri"/>
          <w:color w:val="000000" w:themeColor="text1"/>
          <w:lang w:val="en-US"/>
        </w:rPr>
        <w:t xml:space="preserve">not only key </w:t>
      </w:r>
      <w:r w:rsidRPr="009658C3">
        <w:rPr>
          <w:rFonts w:ascii="Calibri" w:hAnsi="Calibri" w:cs="Calibri"/>
          <w:color w:val="000000" w:themeColor="text1"/>
          <w:lang w:val="en-US"/>
        </w:rPr>
        <w:t xml:space="preserve">nodes, </w:t>
      </w:r>
      <w:r>
        <w:rPr>
          <w:rFonts w:ascii="Calibri" w:hAnsi="Calibri" w:cs="Calibri"/>
          <w:color w:val="000000" w:themeColor="text1"/>
          <w:lang w:val="en-US"/>
        </w:rPr>
        <w:t xml:space="preserve">and </w:t>
      </w:r>
      <w:r w:rsidRPr="009658C3">
        <w:rPr>
          <w:rFonts w:ascii="Calibri" w:hAnsi="Calibri" w:cs="Calibri"/>
          <w:color w:val="000000" w:themeColor="text1"/>
          <w:lang w:val="en-US"/>
        </w:rPr>
        <w:t xml:space="preserve">edges, </w:t>
      </w:r>
      <w:r>
        <w:rPr>
          <w:rFonts w:ascii="Calibri" w:hAnsi="Calibri" w:cs="Calibri"/>
          <w:color w:val="000000" w:themeColor="text1"/>
          <w:lang w:val="en-US"/>
        </w:rPr>
        <w:t>but also</w:t>
      </w:r>
      <w:r w:rsidRPr="009658C3">
        <w:rPr>
          <w:rFonts w:ascii="Calibri" w:hAnsi="Calibri" w:cs="Calibri"/>
          <w:color w:val="000000" w:themeColor="text1"/>
          <w:lang w:val="en-US"/>
        </w:rPr>
        <w:t xml:space="preserve"> coordinated dependencies. </w:t>
      </w:r>
      <w:r w:rsidRPr="00FB0275">
        <w:rPr>
          <w:rFonts w:ascii="Calibri" w:hAnsi="Calibri" w:cs="Calibri"/>
          <w:i/>
          <w:iCs/>
        </w:rPr>
        <w:t xml:space="preserve">To experimentally validate the functional relevance of an understudied component of this program, we examined the role of </w:t>
      </w:r>
      <w:r w:rsidRPr="00FB0275">
        <w:rPr>
          <w:rStyle w:val="Strong"/>
          <w:rFonts w:ascii="Calibri" w:hAnsi="Calibri" w:cs="Calibri"/>
          <w:i/>
          <w:iCs/>
        </w:rPr>
        <w:t>CREB3L2</w:t>
      </w:r>
      <w:r w:rsidRPr="00FB0275">
        <w:rPr>
          <w:rFonts w:ascii="Calibri" w:hAnsi="Calibri" w:cs="Calibri"/>
          <w:i/>
          <w:iCs/>
        </w:rPr>
        <w:t xml:space="preserve"> in plasma cell persistence in vivo. Using a conditional </w:t>
      </w:r>
      <w:r w:rsidRPr="00FB0275">
        <w:rPr>
          <w:rStyle w:val="Emphasis"/>
          <w:rFonts w:ascii="Calibri" w:hAnsi="Calibri" w:cs="Calibri"/>
        </w:rPr>
        <w:t>Creb3l2</w:t>
      </w:r>
      <w:r w:rsidRPr="00FB0275">
        <w:rPr>
          <w:rFonts w:ascii="Calibri" w:hAnsi="Calibri" w:cs="Calibri"/>
          <w:i/>
          <w:iCs/>
        </w:rPr>
        <w:t xml:space="preserve"> </w:t>
      </w:r>
      <w:proofErr w:type="spellStart"/>
      <w:r w:rsidRPr="00FB0275">
        <w:rPr>
          <w:rFonts w:ascii="Calibri" w:hAnsi="Calibri" w:cs="Calibri"/>
          <w:i/>
          <w:iCs/>
        </w:rPr>
        <w:t>floxed</w:t>
      </w:r>
      <w:proofErr w:type="spellEnd"/>
      <w:r w:rsidRPr="00FB0275">
        <w:rPr>
          <w:rFonts w:ascii="Calibri" w:hAnsi="Calibri" w:cs="Calibri"/>
          <w:i/>
          <w:iCs/>
        </w:rPr>
        <w:t xml:space="preserve"> allele crossed to </w:t>
      </w:r>
      <w:r w:rsidRPr="00FB0275">
        <w:rPr>
          <w:rStyle w:val="Strong"/>
          <w:rFonts w:ascii="Calibri" w:hAnsi="Calibri" w:cs="Calibri"/>
          <w:i/>
          <w:iCs/>
        </w:rPr>
        <w:t>Cd19-Cre</w:t>
      </w:r>
      <w:r w:rsidRPr="00FB0275">
        <w:rPr>
          <w:rFonts w:ascii="Calibri" w:hAnsi="Calibri" w:cs="Calibri"/>
          <w:i/>
          <w:iCs/>
        </w:rPr>
        <w:t xml:space="preserve">, we selectively ablated CREB3L2 in the B cell lineage and assessed long-term antibody responses following NP-KLH immunization. While early antibody titers were comparable between control and mutant mice, loss of CREB3L2 led to a pronounced reduction in both high- and low-affinity NP-specific IgG1 titers at late time points (365 days post-immunization). Consistent with impaired plasma cell maintenance, ELISpot analysis revealed a significant decrease in NP-specific bone marrow plasma cells in </w:t>
      </w:r>
      <w:r w:rsidRPr="00FB0275">
        <w:rPr>
          <w:rStyle w:val="Emphasis"/>
          <w:rFonts w:ascii="Calibri" w:hAnsi="Calibri" w:cs="Calibri"/>
        </w:rPr>
        <w:t>Creb3l2</w:t>
      </w:r>
      <w:r w:rsidRPr="00FB0275">
        <w:rPr>
          <w:rFonts w:ascii="Calibri" w:hAnsi="Calibri" w:cs="Calibri"/>
          <w:i/>
          <w:iCs/>
        </w:rPr>
        <w:t xml:space="preserve">-deficient mice. These results demonstrate that CREB3L2 is required for sustained plasma cell output and long-term humoral immunity, providing direct experimental support for its placement within the plasma blast–plasma cell regulatory program identified by </w:t>
      </w:r>
      <w:proofErr w:type="spellStart"/>
      <w:r w:rsidRPr="00FB0275">
        <w:rPr>
          <w:rFonts w:ascii="Calibri" w:hAnsi="Calibri" w:cs="Calibri"/>
          <w:i/>
          <w:iCs/>
        </w:rPr>
        <w:t>FIREFate</w:t>
      </w:r>
      <w:proofErr w:type="spellEnd"/>
      <w:r w:rsidRPr="00FB0275">
        <w:rPr>
          <w:rFonts w:ascii="Calibri" w:hAnsi="Calibri" w:cs="Calibri"/>
          <w:i/>
          <w:iCs/>
        </w:rPr>
        <w:t>.</w:t>
      </w:r>
      <w:r>
        <w:rPr>
          <w:rFonts w:ascii="Calibri" w:hAnsi="Calibri" w:cs="Calibri"/>
          <w:i/>
          <w:iCs/>
          <w:color w:val="000000" w:themeColor="text1"/>
          <w:lang w:val="en-US"/>
        </w:rPr>
        <w:t xml:space="preserve"> </w:t>
      </w:r>
      <w:r w:rsidRPr="009658C3">
        <w:rPr>
          <w:rFonts w:ascii="Calibri" w:hAnsi="Calibri" w:cs="Calibri"/>
          <w:color w:val="000000" w:themeColor="text1"/>
          <w:lang w:val="en-US"/>
        </w:rPr>
        <w:t xml:space="preserve">This showcases how </w:t>
      </w:r>
      <w:r>
        <w:rPr>
          <w:rFonts w:ascii="Calibri" w:hAnsi="Calibri" w:cs="Calibri"/>
          <w:color w:val="000000" w:themeColor="text1"/>
          <w:lang w:val="en-US"/>
        </w:rPr>
        <w:t xml:space="preserve">integrating interpretable machine learning methods with mechanistically driven models enables prioritization of highly informative and sensitive TF-centric regulons, focusing experimental analysis on constrained regulatory programs rather than diffuse GRN connectivity. By delineating the </w:t>
      </w:r>
      <w:r w:rsidRPr="009658C3">
        <w:rPr>
          <w:rFonts w:ascii="Calibri" w:hAnsi="Calibri" w:cs="Calibri"/>
          <w:color w:val="000000" w:themeColor="text1"/>
          <w:lang w:val="en-US"/>
        </w:rPr>
        <w:t>regulatory logic</w:t>
      </w:r>
      <w:r>
        <w:rPr>
          <w:rFonts w:ascii="Calibri" w:hAnsi="Calibri" w:cs="Calibri"/>
          <w:color w:val="000000" w:themeColor="text1"/>
          <w:lang w:val="en-US"/>
        </w:rPr>
        <w:t xml:space="preserve">,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provides</w:t>
      </w:r>
      <w:r w:rsidRPr="009658C3">
        <w:rPr>
          <w:rFonts w:ascii="Calibri" w:hAnsi="Calibri" w:cs="Calibri"/>
          <w:color w:val="000000" w:themeColor="text1"/>
          <w:lang w:val="en-US"/>
        </w:rPr>
        <w:t xml:space="preserve"> </w:t>
      </w:r>
      <w:r>
        <w:rPr>
          <w:rFonts w:ascii="Calibri" w:hAnsi="Calibri" w:cs="Calibri"/>
          <w:color w:val="000000" w:themeColor="text1"/>
          <w:lang w:val="en-US"/>
        </w:rPr>
        <w:t>a</w:t>
      </w:r>
      <w:r w:rsidRPr="009658C3">
        <w:rPr>
          <w:rFonts w:ascii="Calibri" w:hAnsi="Calibri" w:cs="Calibri"/>
          <w:color w:val="000000" w:themeColor="text1"/>
          <w:lang w:val="en-US"/>
        </w:rPr>
        <w:t xml:space="preserve"> framework for</w:t>
      </w:r>
      <w:r>
        <w:rPr>
          <w:rFonts w:ascii="Calibri" w:hAnsi="Calibri" w:cs="Calibri"/>
          <w:color w:val="000000" w:themeColor="text1"/>
          <w:lang w:val="en-US"/>
        </w:rPr>
        <w:t xml:space="preserve"> understanding and</w:t>
      </w:r>
      <w:r w:rsidRPr="009658C3">
        <w:rPr>
          <w:rFonts w:ascii="Calibri" w:hAnsi="Calibri" w:cs="Calibri"/>
          <w:color w:val="000000" w:themeColor="text1"/>
          <w:lang w:val="en-US"/>
        </w:rPr>
        <w:t xml:space="preserve"> tuning rapid versus durable antibody responses.</w:t>
      </w:r>
    </w:p>
    <w:p w14:paraId="398BAAB2" w14:textId="77777777" w:rsidR="008515C4" w:rsidRDefault="008515C4" w:rsidP="008515C4">
      <w:pPr>
        <w:jc w:val="both"/>
        <w:rPr>
          <w:rFonts w:ascii="Calibri" w:hAnsi="Calibri" w:cs="Calibri"/>
          <w:color w:val="000000" w:themeColor="text1"/>
          <w:lang w:val="en-US"/>
        </w:rPr>
      </w:pPr>
    </w:p>
    <w:p w14:paraId="3E204E7F" w14:textId="77777777" w:rsidR="008515C4" w:rsidRPr="00FB0275" w:rsidRDefault="008515C4" w:rsidP="008515C4">
      <w:pPr>
        <w:jc w:val="both"/>
        <w:rPr>
          <w:b/>
          <w:bCs/>
          <w:lang w:val="en-US"/>
        </w:rPr>
      </w:pPr>
      <w:r w:rsidRPr="00FB0275">
        <w:rPr>
          <w:b/>
          <w:bCs/>
          <w:lang w:val="en-US"/>
        </w:rPr>
        <w:t xml:space="preserve">Nonlinear Regulatory Architectures as inferred by </w:t>
      </w:r>
      <w:proofErr w:type="spellStart"/>
      <w:r w:rsidRPr="00FB0275">
        <w:rPr>
          <w:b/>
          <w:bCs/>
          <w:lang w:val="en-US"/>
        </w:rPr>
        <w:t>FIREFate</w:t>
      </w:r>
      <w:proofErr w:type="spellEnd"/>
      <w:r w:rsidRPr="00FB0275">
        <w:rPr>
          <w:b/>
          <w:bCs/>
          <w:lang w:val="en-US"/>
        </w:rPr>
        <w:t xml:space="preserve"> resolve Transcriptionally Compressed T-cell Exhaustion States</w:t>
      </w:r>
    </w:p>
    <w:p w14:paraId="78704430" w14:textId="470D9297" w:rsidR="008515C4" w:rsidRDefault="008515C4" w:rsidP="008515C4">
      <w:pPr>
        <w:jc w:val="both"/>
        <w:rPr>
          <w:rFonts w:ascii="Calibri" w:hAnsi="Calibri" w:cs="Calibri"/>
          <w:color w:val="000000" w:themeColor="text1"/>
          <w:lang w:val="en-US"/>
        </w:rPr>
      </w:pPr>
      <w:r w:rsidRPr="009658C3">
        <w:rPr>
          <w:rFonts w:ascii="Calibri" w:hAnsi="Calibri" w:cs="Calibri"/>
          <w:color w:val="000000" w:themeColor="text1"/>
          <w:lang w:val="en-US"/>
        </w:rPr>
        <w:t>Chronic antigen exposure during persistent infection and cancer drives CD8⁺ T cells into exhaustion, a state that does not converge to a single endpoint but instead resolves into closely related yet functionally divergent terminal phenotypes</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{"citationID":"iLIczYr5","properties":{"formattedCitation":"\\super 37\\nosupersub{}","plainCitation":"37","noteIndex":0},"citationItems":[{"id":2704,"uris":["http://zotero.org/groups/6337619/items/B4M5FI4N"],"itemData":{"id":2704,"type":"article-journal","container-title":"Trends in Immunology","DOI":"10.1016/j.it.2023.02.006","ISSN":"14714906","issue":"4","journalAbbreviation":"Trends in Immunology","language":"en","page":"276-286","source":"DOI.org (Crossref)","title":"Exhausted CD8+ T cells face a developmental fork in the road","volume":"44","author":[{"family":"Zander","given":"Ryan"},{"family":"Cui","given":"Weiguo"}],"issued":{"date-parts":[["2023",4]]}}}],"schema":"https://github.com/citation-style-language/schema/raw/master/csl-citation.json"}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37</w:t>
      </w:r>
      <w:r>
        <w:rPr>
          <w:rFonts w:ascii="Calibri" w:hAnsi="Calibri" w:cs="Calibri"/>
          <w:color w:val="000000" w:themeColor="text1"/>
          <w:lang w:val="en-US"/>
        </w:rPr>
        <w:fldChar w:fldCharType="end"/>
      </w:r>
      <w:r>
        <w:rPr>
          <w:rFonts w:ascii="Calibri" w:hAnsi="Calibri" w:cs="Calibri"/>
          <w:color w:val="000000" w:themeColor="text1"/>
          <w:vertAlign w:val="superscript"/>
          <w:lang w:val="en-US"/>
        </w:rPr>
        <w:t xml:space="preserve">, </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{"citationID":"Ex35b3NJ","properties":{"formattedCitation":"\\super 38\\nosupersub{}","plainCitation":"38","noteIndex":0},"citationItems":[{"id":2650,"uris":["http://zotero.org/groups/6337619/items/KU9EJ7BI"],"itemData":{"id":2650,"type":"article-journal","abstract":"CD8\n              +\n              T cells are essential lymphocytes with cytotoxic properties for antitumor immunotherapy. However, during chronic infection or tumorigenesis, these cells often become dysfunctional with a gradually depleted ability to release cytokines and the exhibition of reduced cytotoxicity, the state referred to as “T-cell exhaustion” (Tex). This unique state was characterized by the increasing expression of inhibitory checkpoint receptors, and interventions targeting immune checkpoint blockades (ICBs) have been considered as a promising strategy to stimulate T-cell killing. Recent investigations have demonstrated that exhausted T cells not only display functional, metabolic, transcriptional, and epigenetic differences but also comprise a heterogeneous group of cells. In this review, we summarize the current findings on dynamic differentiation process during Tex heterogeneity development in cancer and chronic infection. We discuss how the responses to immunotherapy are determined by these distinct subsets and highlight prospective approaches for improving the efficacy of ICB therapy for cancer by leveraging the heterogeneity of T cells.","container-title":"Frontiers in Immunology","DOI":"10.3389/fimmu.2023.1166128","ISSN":"1664-3224","journalAbbreviation":"Front. Immunol.","page":"1166128","source":"DOI.org (Crossref)","title":"The development of CD8 T-cell exhaustion heterogeneity and the therapeutic potentials in cancer","volume":"14","author":[{"family":"Zhang","given":"Junfeng"},{"family":"Lei","given":"Feifei"},{"family":"Tan","given":"Huabing"}],"issued":{"date-parts":[["2023",5,18]]}}}],"schema":"https://github.com/citation-style-language/schema/raw/master/csl-citation.json"}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38</w:t>
      </w:r>
      <w:r>
        <w:rPr>
          <w:rFonts w:ascii="Calibri" w:hAnsi="Calibri" w:cs="Calibri"/>
          <w:color w:val="000000" w:themeColor="text1"/>
          <w:lang w:val="en-US"/>
        </w:rPr>
        <w:fldChar w:fldCharType="end"/>
      </w:r>
      <w:r w:rsidRPr="009658C3">
        <w:rPr>
          <w:rFonts w:ascii="Calibri" w:hAnsi="Calibri" w:cs="Calibri"/>
          <w:color w:val="000000" w:themeColor="text1"/>
          <w:lang w:val="en-US"/>
        </w:rPr>
        <w:t>. These include a fixed, hypofunctional terminally exhausted state (</w:t>
      </w:r>
      <w:proofErr w:type="spellStart"/>
      <w:r w:rsidRPr="00D612CE">
        <w:rPr>
          <w:rFonts w:ascii="Calibri" w:hAnsi="Calibri" w:cs="Calibri"/>
          <w:color w:val="000000" w:themeColor="text1"/>
        </w:rPr>
        <w:t>Tex</w:t>
      </w:r>
      <w:r w:rsidRPr="00D612CE">
        <w:rPr>
          <w:rFonts w:ascii="Calibri" w:hAnsi="Calibri" w:cs="Calibri"/>
          <w:color w:val="000000" w:themeColor="text1"/>
          <w:vertAlign w:val="superscript"/>
        </w:rPr>
        <w:t>term</w:t>
      </w:r>
      <w:proofErr w:type="spellEnd"/>
      <w:r w:rsidRPr="009658C3">
        <w:rPr>
          <w:rFonts w:ascii="Calibri" w:hAnsi="Calibri" w:cs="Calibri"/>
          <w:color w:val="000000" w:themeColor="text1"/>
          <w:lang w:val="en-US"/>
        </w:rPr>
        <w:t>) and a killer lectin-like receptor-expressing state (</w:t>
      </w:r>
      <w:proofErr w:type="spellStart"/>
      <w:r w:rsidRPr="00D612CE">
        <w:rPr>
          <w:rFonts w:ascii="Calibri" w:hAnsi="Calibri" w:cs="Calibri"/>
          <w:color w:val="000000" w:themeColor="text1"/>
        </w:rPr>
        <w:t>Tex</w:t>
      </w:r>
      <w:r w:rsidRPr="00D612CE">
        <w:rPr>
          <w:rFonts w:ascii="Calibri" w:hAnsi="Calibri" w:cs="Calibri"/>
          <w:color w:val="000000" w:themeColor="text1"/>
          <w:vertAlign w:val="superscript"/>
        </w:rPr>
        <w:t>KLR</w:t>
      </w:r>
      <w:proofErr w:type="spellEnd"/>
      <w:r w:rsidRPr="009658C3">
        <w:rPr>
          <w:rFonts w:ascii="Calibri" w:hAnsi="Calibri" w:cs="Calibri"/>
          <w:color w:val="000000" w:themeColor="text1"/>
          <w:lang w:val="en-US"/>
        </w:rPr>
        <w:t>) that retains effector features</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{"citationID":"otaVx3bF","properties":{"formattedCitation":"\\super 39\\nosupersub{}","plainCitation":"39","noteIndex":0},"citationItems":[{"id":2595,"uris":["http://zotero.org/groups/6337619/items/JJ3E662U"],"itemData":{"id":2595,"type":"article-journal","container-title":"Nature Immunology","DOI":"10.1038/s41590-022-01337-5","ISSN":"1529-2908, 1529-2916","issue":"11","journalAbbreviation":"Nat Immunol","language":"en","page":"1614-1627","source":"DOI.org (Crossref)","title":"Divergent clonal differentiation trajectories of T cell exhaustion","volume":"23","author":[{"family":"Daniel","given":"Bence"},{"family":"Yost","given":"Kathryn E."},{"family":"Hsiung","given":"Sunnie"},{"family":"Sandor","given":"Katalin"},{"family":"Xia","given":"Yu"},{"family":"Qi","given":"Yanyan"},{"family":"Hiam-Galvez","given":"Kamir J."},{"family":"Black","given":"Mollie"},{"family":"J. Raposo","given":"Colin"},{"family":"Shi","given":"Quanming"},{"family":"Meier","given":"Stefanie L."},{"family":"Belk","given":"Julia A."},{"family":"Giles","given":"Josephine R."},{"family":"Wherry","given":"E. John"},{"family":"Chang","given":"Howard Y."},{"family":"Egawa","given":"Takeshi"},{"family":"Satpathy","given":"Ansuman T."}],"issued":{"date-parts":[["2022",11]]}}}],"schema":"https://github.com/citation-style-language/schema/raw/master/csl-citation.json"}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39</w:t>
      </w:r>
      <w:r>
        <w:rPr>
          <w:rFonts w:ascii="Calibri" w:hAnsi="Calibri" w:cs="Calibri"/>
          <w:color w:val="000000" w:themeColor="text1"/>
          <w:lang w:val="en-US"/>
        </w:rPr>
        <w:fldChar w:fldCharType="end"/>
      </w:r>
      <w:r w:rsidRPr="009658C3">
        <w:rPr>
          <w:rFonts w:ascii="Calibri" w:hAnsi="Calibri" w:cs="Calibri"/>
          <w:color w:val="000000" w:themeColor="text1"/>
          <w:lang w:val="en-US"/>
        </w:rPr>
        <w:t xml:space="preserve"> (Fig. 3A).</w:t>
      </w:r>
      <w:r>
        <w:rPr>
          <w:rFonts w:ascii="Calibri" w:hAnsi="Calibri" w:cs="Calibri"/>
          <w:color w:val="000000" w:themeColor="text1"/>
          <w:lang w:val="en-US"/>
        </w:rPr>
        <w:t xml:space="preserve"> While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resolves decisive regulatory programs </w:t>
      </w:r>
      <w:r>
        <w:rPr>
          <w:rFonts w:ascii="Calibri" w:hAnsi="Calibri" w:cs="Calibri"/>
          <w:color w:val="000000" w:themeColor="text1"/>
          <w:lang w:val="en-US"/>
        </w:rPr>
        <w:t xml:space="preserve">underlying </w:t>
      </w:r>
      <w:r w:rsidRPr="009658C3">
        <w:rPr>
          <w:rFonts w:ascii="Calibri" w:hAnsi="Calibri" w:cs="Calibri"/>
          <w:color w:val="000000" w:themeColor="text1"/>
          <w:lang w:val="en-US"/>
        </w:rPr>
        <w:t>PB-GC bifurcation</w:t>
      </w:r>
      <w:r>
        <w:rPr>
          <w:rFonts w:ascii="Calibri" w:hAnsi="Calibri" w:cs="Calibri"/>
          <w:color w:val="000000" w:themeColor="text1"/>
          <w:lang w:val="en-US"/>
        </w:rPr>
        <w:t xml:space="preserve"> </w:t>
      </w:r>
      <w:r w:rsidRPr="009658C3">
        <w:rPr>
          <w:rFonts w:ascii="Calibri" w:hAnsi="Calibri" w:cs="Calibri"/>
          <w:color w:val="000000" w:themeColor="text1"/>
          <w:lang w:val="en-US"/>
        </w:rPr>
        <w:t>T-cell exhaustion</w:t>
      </w:r>
      <w:r>
        <w:rPr>
          <w:rFonts w:ascii="Calibri" w:hAnsi="Calibri" w:cs="Calibri"/>
          <w:color w:val="000000" w:themeColor="text1"/>
          <w:lang w:val="en-US"/>
        </w:rPr>
        <w:t xml:space="preserve"> presents a far more challenging test case, with </w:t>
      </w:r>
      <w:r w:rsidRPr="009658C3">
        <w:rPr>
          <w:rFonts w:ascii="Calibri" w:hAnsi="Calibri" w:cs="Calibri"/>
          <w:color w:val="000000" w:themeColor="text1"/>
          <w:lang w:val="en-US"/>
        </w:rPr>
        <w:t xml:space="preserve">fate decisions </w:t>
      </w:r>
      <w:r>
        <w:rPr>
          <w:rFonts w:ascii="Calibri" w:hAnsi="Calibri" w:cs="Calibri"/>
          <w:color w:val="000000" w:themeColor="text1"/>
          <w:lang w:val="en-US"/>
        </w:rPr>
        <w:t xml:space="preserve">that </w:t>
      </w:r>
      <w:r w:rsidRPr="009658C3">
        <w:rPr>
          <w:rFonts w:ascii="Calibri" w:hAnsi="Calibri" w:cs="Calibri"/>
          <w:color w:val="000000" w:themeColor="text1"/>
          <w:lang w:val="en-US"/>
        </w:rPr>
        <w:t>are subtle, continuous, and transcriptionally compressed.</w:t>
      </w:r>
      <w:r>
        <w:rPr>
          <w:rFonts w:ascii="Calibri" w:hAnsi="Calibri" w:cs="Calibri"/>
          <w:color w:val="000000" w:themeColor="text1"/>
          <w:lang w:val="en-US"/>
        </w:rPr>
        <w:t xml:space="preserve"> Consequently, the </w:t>
      </w:r>
      <w:r w:rsidRPr="009658C3">
        <w:rPr>
          <w:rFonts w:ascii="Calibri" w:hAnsi="Calibri" w:cs="Calibri"/>
          <w:color w:val="000000" w:themeColor="text1"/>
          <w:lang w:val="en-US"/>
        </w:rPr>
        <w:t>regulatory programs</w:t>
      </w:r>
      <w:r>
        <w:rPr>
          <w:rFonts w:ascii="Calibri" w:hAnsi="Calibri" w:cs="Calibri"/>
          <w:color w:val="000000" w:themeColor="text1"/>
          <w:lang w:val="en-US"/>
        </w:rPr>
        <w:t xml:space="preserve"> directing </w:t>
      </w:r>
      <w:r w:rsidRPr="009658C3">
        <w:rPr>
          <w:rFonts w:ascii="Calibri" w:hAnsi="Calibri" w:cs="Calibri"/>
          <w:color w:val="000000" w:themeColor="text1"/>
          <w:lang w:val="en-US"/>
        </w:rPr>
        <w:t>cells toward these</w:t>
      </w:r>
      <w:r>
        <w:rPr>
          <w:rFonts w:ascii="Calibri" w:hAnsi="Calibri" w:cs="Calibri"/>
          <w:color w:val="000000" w:themeColor="text1"/>
          <w:lang w:val="en-US"/>
        </w:rPr>
        <w:t xml:space="preserve"> terminal</w:t>
      </w:r>
      <w:r w:rsidRPr="00D63748">
        <w:rPr>
          <w:rFonts w:ascii="Calibri" w:hAnsi="Calibri" w:cs="Calibri"/>
          <w:color w:val="000000" w:themeColor="text1"/>
          <w:lang w:val="en-US"/>
        </w:rPr>
        <w:t xml:space="preserve"> </w:t>
      </w:r>
      <w:r w:rsidRPr="009658C3">
        <w:rPr>
          <w:rFonts w:ascii="Calibri" w:hAnsi="Calibri" w:cs="Calibri"/>
          <w:color w:val="000000" w:themeColor="text1"/>
          <w:lang w:val="en-US"/>
        </w:rPr>
        <w:t>outcomes remain poorly defined</w:t>
      </w:r>
      <w:r>
        <w:rPr>
          <w:rFonts w:ascii="Calibri" w:hAnsi="Calibri" w:cs="Calibri"/>
          <w:color w:val="000000" w:themeColor="text1"/>
          <w:lang w:val="en-US"/>
        </w:rPr>
        <w:t>.</w:t>
      </w:r>
    </w:p>
    <w:p w14:paraId="05F4CE6A" w14:textId="1D1F7C6F" w:rsidR="008515C4" w:rsidRPr="009658C3" w:rsidRDefault="008515C4" w:rsidP="008515C4">
      <w:pPr>
        <w:jc w:val="both"/>
        <w:rPr>
          <w:rFonts w:ascii="Calibri" w:hAnsi="Calibri" w:cs="Calibri"/>
          <w:color w:val="000000" w:themeColor="text1"/>
          <w:lang w:val="en-US"/>
        </w:rPr>
      </w:pPr>
      <w:r w:rsidRPr="009658C3">
        <w:rPr>
          <w:rFonts w:ascii="Calibri" w:hAnsi="Calibri" w:cs="Calibri"/>
          <w:color w:val="000000" w:themeColor="text1"/>
          <w:lang w:val="en-US"/>
        </w:rPr>
        <w:t xml:space="preserve">Applying </w:t>
      </w:r>
      <w:r>
        <w:rPr>
          <w:rFonts w:ascii="Calibri" w:hAnsi="Calibri" w:cs="Calibri"/>
          <w:color w:val="000000" w:themeColor="text1"/>
          <w:lang w:val="en-US"/>
        </w:rPr>
        <w:t>interpretable machine learning method</w:t>
      </w:r>
      <w:r w:rsidRPr="009658C3">
        <w:rPr>
          <w:rFonts w:ascii="Calibri" w:hAnsi="Calibri" w:cs="Calibri"/>
          <w:color w:val="000000" w:themeColor="text1"/>
          <w:lang w:val="en-US"/>
        </w:rPr>
        <w:t xml:space="preserve"> to published </w:t>
      </w:r>
      <w:proofErr w:type="spellStart"/>
      <w:r w:rsidRPr="009658C3">
        <w:rPr>
          <w:rFonts w:ascii="Calibri" w:hAnsi="Calibri" w:cs="Calibri"/>
          <w:color w:val="000000" w:themeColor="text1"/>
          <w:lang w:val="en-US"/>
        </w:rPr>
        <w:t>scRNA</w:t>
      </w:r>
      <w:proofErr w:type="spellEnd"/>
      <w:r w:rsidRPr="009658C3">
        <w:rPr>
          <w:rFonts w:ascii="Calibri" w:hAnsi="Calibri" w:cs="Calibri"/>
          <w:color w:val="000000" w:themeColor="text1"/>
          <w:lang w:val="en-US"/>
        </w:rPr>
        <w:t>-seq data from murine chronic viral infection</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{"citationID":"iuVcQNxT","properties":{"formattedCitation":"\\super 39\\nosupersub{}","plainCitation":"39","noteIndex":0},"citationItems":[{"id":2595,"uris":["http://zotero.org/groups/6337619/items/JJ3E662U"],"itemData":{"id":2595,"type":"article-journal","container-title":"Nature Immunology","DOI":"10.1038/s41590-022-01337-5","ISSN":"1529-2908, 1529-2916","issue":"11","journalAbbreviation":"Nat Immunol","language":"en","page":"1614-1627","source":"DOI.org (Crossref)","title":"Divergent clonal differentiation trajectories of T cell exhaustion","volume":"23","author":[{"family":"Daniel","given":"Bence"},{"family":"Yost","given":"Kathryn E."},{"family":"Hsiung","given":"Sunnie"},{"family":"Sandor","given":"Katalin"},{"family":"Xia","given":"Yu"},{"family":"Qi","given":"Yanyan"},{"family":"Hiam-Galvez","given":"Kamir J."},{"family":"Black","given":"Mollie"},{"family":"J. Raposo","given":"Colin"},{"family":"Shi","given":"Quanming"},{"family":"Meier","given":"Stefanie L."},{"family":"Belk","given":"Julia A."},{"family":"Giles","given":"Josephine R."},{"family":"Wherry","given":"E. John"},{"family":"Chang","given":"Howard Y."},{"family":"Egawa","given":"Takeshi"},{"family":"Satpathy","given":"Ansuman T."}],"issued":{"date-parts":[["2022",11]]}}}],"schema":"https://github.com/citation-style-language/schema/raw/master/csl-citation.json"}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39</w:t>
      </w:r>
      <w:r>
        <w:rPr>
          <w:rFonts w:ascii="Calibri" w:hAnsi="Calibri" w:cs="Calibri"/>
          <w:color w:val="000000" w:themeColor="text1"/>
          <w:lang w:val="en-US"/>
        </w:rPr>
        <w:fldChar w:fldCharType="end"/>
      </w:r>
      <w:r w:rsidRPr="009658C3">
        <w:rPr>
          <w:rFonts w:ascii="Calibri" w:hAnsi="Calibri" w:cs="Calibri"/>
          <w:color w:val="000000" w:themeColor="text1"/>
          <w:lang w:val="en-US"/>
        </w:rPr>
        <w:t>, we identified four coherent cellular programs</w:t>
      </w:r>
      <w:r>
        <w:rPr>
          <w:rFonts w:ascii="Calibri" w:hAnsi="Calibri" w:cs="Calibri"/>
          <w:color w:val="000000" w:themeColor="text1"/>
          <w:lang w:val="en-US"/>
        </w:rPr>
        <w:t xml:space="preserve"> (two significant standalone and two significant interacting)</w:t>
      </w:r>
      <w:r w:rsidRPr="009658C3">
        <w:rPr>
          <w:rFonts w:ascii="Calibri" w:hAnsi="Calibri" w:cs="Calibri"/>
          <w:color w:val="000000" w:themeColor="text1"/>
          <w:lang w:val="en-US"/>
        </w:rPr>
        <w:t xml:space="preserve"> that distinguish </w:t>
      </w:r>
      <w:proofErr w:type="spellStart"/>
      <w:r w:rsidRPr="00D612CE">
        <w:rPr>
          <w:rFonts w:ascii="Calibri" w:hAnsi="Calibri" w:cs="Calibri"/>
          <w:color w:val="000000" w:themeColor="text1"/>
        </w:rPr>
        <w:t>Tex</w:t>
      </w:r>
      <w:r w:rsidRPr="00D612CE">
        <w:rPr>
          <w:rFonts w:ascii="Calibri" w:hAnsi="Calibri" w:cs="Calibri"/>
          <w:color w:val="000000" w:themeColor="text1"/>
          <w:vertAlign w:val="superscript"/>
        </w:rPr>
        <w:t>term</w:t>
      </w:r>
      <w:proofErr w:type="spellEnd"/>
      <w:r w:rsidRPr="009658C3">
        <w:rPr>
          <w:rFonts w:ascii="Calibri" w:hAnsi="Calibri" w:cs="Calibri"/>
          <w:color w:val="000000" w:themeColor="text1"/>
          <w:lang w:val="en-US"/>
        </w:rPr>
        <w:t xml:space="preserve"> and </w:t>
      </w:r>
      <w:proofErr w:type="spellStart"/>
      <w:r w:rsidRPr="00D612CE">
        <w:rPr>
          <w:rFonts w:ascii="Calibri" w:hAnsi="Calibri" w:cs="Calibri"/>
          <w:color w:val="000000" w:themeColor="text1"/>
        </w:rPr>
        <w:t>Tex</w:t>
      </w:r>
      <w:r w:rsidRPr="00D612CE">
        <w:rPr>
          <w:rFonts w:ascii="Calibri" w:hAnsi="Calibri" w:cs="Calibri"/>
          <w:color w:val="000000" w:themeColor="text1"/>
          <w:vertAlign w:val="superscript"/>
        </w:rPr>
        <w:t>KLR</w:t>
      </w:r>
      <w:proofErr w:type="spellEnd"/>
      <w:r w:rsidRPr="009658C3">
        <w:rPr>
          <w:rFonts w:ascii="Calibri" w:hAnsi="Calibri" w:cs="Calibri"/>
          <w:color w:val="000000" w:themeColor="text1"/>
          <w:lang w:val="en-US"/>
        </w:rPr>
        <w:t xml:space="preserve"> trajectories (AUC = 0.78) (Fig. 3B). The increased number of programs reflects the finer granularity of </w:t>
      </w:r>
      <w:r w:rsidRPr="009658C3">
        <w:rPr>
          <w:rFonts w:ascii="Calibri" w:hAnsi="Calibri" w:cs="Calibri"/>
          <w:color w:val="000000" w:themeColor="text1"/>
          <w:lang w:val="en-US"/>
        </w:rPr>
        <w:lastRenderedPageBreak/>
        <w:t xml:space="preserve">these closely related states, yet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still isolated precise regulatory modules providing mechanistic insight into T-cell exhaustion architecture (Fig. 3C). LLM-based gene set enrichment revealed that two standalone programs captured </w:t>
      </w:r>
      <w:r w:rsidRPr="009658C3">
        <w:rPr>
          <w:rFonts w:ascii="Calibri" w:hAnsi="Calibri" w:cs="Calibri"/>
          <w:i/>
          <w:iCs/>
          <w:color w:val="000000" w:themeColor="text1"/>
          <w:lang w:val="en-US"/>
        </w:rPr>
        <w:t>“T cell activation, exhaustion, and effector regulation”</w:t>
      </w:r>
      <w:r w:rsidRPr="009658C3">
        <w:rPr>
          <w:rFonts w:ascii="Calibri" w:hAnsi="Calibri" w:cs="Calibri"/>
          <w:color w:val="000000" w:themeColor="text1"/>
          <w:lang w:val="en-US"/>
        </w:rPr>
        <w:t xml:space="preserve"> and </w:t>
      </w:r>
      <w:r w:rsidRPr="009658C3">
        <w:rPr>
          <w:rFonts w:ascii="Calibri" w:hAnsi="Calibri" w:cs="Calibri"/>
          <w:i/>
          <w:iCs/>
          <w:color w:val="000000" w:themeColor="text1"/>
          <w:lang w:val="en-US"/>
        </w:rPr>
        <w:t>“cytotoxic T cell activation, effector function, and exhaustion regulation”</w:t>
      </w:r>
      <w:r w:rsidRPr="009658C3">
        <w:rPr>
          <w:rFonts w:ascii="Calibri" w:hAnsi="Calibri" w:cs="Calibri"/>
          <w:color w:val="000000" w:themeColor="text1"/>
          <w:lang w:val="en-US"/>
        </w:rPr>
        <w:t>, encompassing “</w:t>
      </w:r>
      <w:r w:rsidRPr="009658C3">
        <w:rPr>
          <w:rFonts w:ascii="Calibri" w:hAnsi="Calibri" w:cs="Calibri"/>
          <w:i/>
          <w:iCs/>
          <w:color w:val="000000" w:themeColor="text1"/>
          <w:lang w:val="en-US"/>
        </w:rPr>
        <w:t>immediate early regulators”, “negative feedback components”, “cytotoxic machinery”</w:t>
      </w:r>
      <w:r w:rsidRPr="009658C3">
        <w:rPr>
          <w:rFonts w:ascii="Calibri" w:hAnsi="Calibri" w:cs="Calibri"/>
          <w:color w:val="000000" w:themeColor="text1"/>
          <w:lang w:val="en-US"/>
        </w:rPr>
        <w:t>, and</w:t>
      </w:r>
      <w:r w:rsidRPr="009658C3">
        <w:rPr>
          <w:rFonts w:ascii="Calibri" w:hAnsi="Calibri" w:cs="Calibri"/>
          <w:i/>
          <w:iCs/>
          <w:color w:val="000000" w:themeColor="text1"/>
          <w:lang w:val="en-US"/>
        </w:rPr>
        <w:t xml:space="preserve"> “TCR signaling”</w:t>
      </w:r>
      <w:r w:rsidRPr="009658C3">
        <w:rPr>
          <w:rFonts w:ascii="Calibri" w:hAnsi="Calibri" w:cs="Calibri"/>
          <w:color w:val="000000" w:themeColor="text1"/>
          <w:lang w:val="en-US"/>
        </w:rPr>
        <w:t xml:space="preserve">. Two Interacting programs, reflecting nonlinearity, captured “T cell receptor signaling, cytoskeletal remodeling, and exhaustion regulation” and </w:t>
      </w:r>
      <w:r w:rsidRPr="009658C3">
        <w:rPr>
          <w:rFonts w:ascii="Calibri" w:hAnsi="Calibri" w:cs="Calibri"/>
          <w:i/>
          <w:iCs/>
          <w:color w:val="000000" w:themeColor="text1"/>
          <w:lang w:val="en-US"/>
        </w:rPr>
        <w:t>“T cell activation, differentiation, and exhaustion under chronic stimulation”</w:t>
      </w:r>
      <w:r w:rsidRPr="009658C3">
        <w:rPr>
          <w:rFonts w:ascii="Calibri" w:hAnsi="Calibri" w:cs="Calibri"/>
          <w:color w:val="000000" w:themeColor="text1"/>
          <w:lang w:val="en-US"/>
        </w:rPr>
        <w:t xml:space="preserve">, linking </w:t>
      </w:r>
      <w:r w:rsidRPr="009658C3">
        <w:rPr>
          <w:rFonts w:ascii="Calibri" w:hAnsi="Calibri" w:cs="Calibri"/>
          <w:i/>
          <w:iCs/>
          <w:color w:val="000000" w:themeColor="text1"/>
          <w:lang w:val="en-US"/>
        </w:rPr>
        <w:t>“proximal TCR dynamics”</w:t>
      </w:r>
      <w:r w:rsidRPr="009658C3">
        <w:rPr>
          <w:rFonts w:ascii="Calibri" w:hAnsi="Calibri" w:cs="Calibri"/>
          <w:color w:val="000000" w:themeColor="text1"/>
          <w:lang w:val="en-US"/>
        </w:rPr>
        <w:t xml:space="preserve">, </w:t>
      </w:r>
      <w:r w:rsidRPr="009658C3">
        <w:rPr>
          <w:rFonts w:ascii="Calibri" w:hAnsi="Calibri" w:cs="Calibri"/>
          <w:i/>
          <w:iCs/>
          <w:color w:val="000000" w:themeColor="text1"/>
          <w:lang w:val="en-US"/>
        </w:rPr>
        <w:t>“cytoskeletal organization”</w:t>
      </w:r>
      <w:r w:rsidRPr="009658C3">
        <w:rPr>
          <w:rFonts w:ascii="Calibri" w:hAnsi="Calibri" w:cs="Calibri"/>
          <w:color w:val="000000" w:themeColor="text1"/>
          <w:lang w:val="en-US"/>
        </w:rPr>
        <w:t xml:space="preserve">, and </w:t>
      </w:r>
      <w:r w:rsidRPr="009658C3">
        <w:rPr>
          <w:rFonts w:ascii="Calibri" w:hAnsi="Calibri" w:cs="Calibri"/>
          <w:i/>
          <w:iCs/>
          <w:color w:val="000000" w:themeColor="text1"/>
          <w:lang w:val="en-US"/>
        </w:rPr>
        <w:t>“environmental adaptation to fate specification”</w:t>
      </w:r>
      <w:r w:rsidRPr="009658C3">
        <w:rPr>
          <w:rFonts w:ascii="Calibri" w:hAnsi="Calibri" w:cs="Calibri"/>
          <w:color w:val="000000" w:themeColor="text1"/>
          <w:lang w:val="en-US"/>
        </w:rPr>
        <w:t xml:space="preserve">. Overall, these modules resolve the core regulatory architecture coordinating activation, inhibitory, metabolic, and cytotoxic programs shaping </w:t>
      </w:r>
      <w:proofErr w:type="spellStart"/>
      <w:r w:rsidRPr="00D612CE">
        <w:rPr>
          <w:rFonts w:ascii="Calibri" w:hAnsi="Calibri" w:cs="Calibri"/>
          <w:color w:val="000000" w:themeColor="text1"/>
        </w:rPr>
        <w:t>Tex</w:t>
      </w:r>
      <w:r w:rsidRPr="00D612CE">
        <w:rPr>
          <w:rFonts w:ascii="Calibri" w:hAnsi="Calibri" w:cs="Calibri"/>
          <w:color w:val="000000" w:themeColor="text1"/>
          <w:vertAlign w:val="superscript"/>
        </w:rPr>
        <w:t>term</w:t>
      </w:r>
      <w:proofErr w:type="spellEnd"/>
      <w:r w:rsidRPr="009658C3">
        <w:rPr>
          <w:rFonts w:ascii="Calibri" w:hAnsi="Calibri" w:cs="Calibri"/>
          <w:color w:val="000000" w:themeColor="text1"/>
          <w:lang w:val="en-US"/>
        </w:rPr>
        <w:t xml:space="preserve"> versus </w:t>
      </w:r>
      <w:proofErr w:type="spellStart"/>
      <w:r w:rsidRPr="00D612CE">
        <w:rPr>
          <w:rFonts w:ascii="Calibri" w:hAnsi="Calibri" w:cs="Calibri"/>
          <w:color w:val="000000" w:themeColor="text1"/>
        </w:rPr>
        <w:t>Tex</w:t>
      </w:r>
      <w:r w:rsidRPr="00D612CE">
        <w:rPr>
          <w:rFonts w:ascii="Calibri" w:hAnsi="Calibri" w:cs="Calibri"/>
          <w:color w:val="000000" w:themeColor="text1"/>
          <w:vertAlign w:val="superscript"/>
        </w:rPr>
        <w:t>KLR</w:t>
      </w:r>
      <w:proofErr w:type="spellEnd"/>
      <w:r w:rsidRPr="009658C3">
        <w:rPr>
          <w:rFonts w:ascii="Calibri" w:hAnsi="Calibri" w:cs="Calibri"/>
          <w:color w:val="000000" w:themeColor="text1"/>
          <w:lang w:val="en-US"/>
        </w:rPr>
        <w:t xml:space="preserve"> decisions.</w:t>
      </w:r>
    </w:p>
    <w:p w14:paraId="1B9F7E6B" w14:textId="77777777" w:rsidR="008515C4" w:rsidRPr="009658C3" w:rsidRDefault="008515C4" w:rsidP="008515C4">
      <w:pPr>
        <w:jc w:val="both"/>
        <w:rPr>
          <w:rFonts w:ascii="Calibri" w:hAnsi="Calibri" w:cs="Calibri"/>
          <w:color w:val="000000" w:themeColor="text1"/>
          <w:lang w:val="en-US"/>
        </w:rPr>
      </w:pPr>
    </w:p>
    <w:p w14:paraId="50C19467" w14:textId="798098E6" w:rsidR="008515C4" w:rsidRDefault="008515C4" w:rsidP="008515C4">
      <w:pPr>
        <w:jc w:val="both"/>
        <w:rPr>
          <w:rFonts w:ascii="Calibri" w:hAnsi="Calibri" w:cs="Calibri"/>
          <w:color w:val="000000" w:themeColor="text1"/>
          <w:lang w:val="en-US"/>
        </w:rPr>
      </w:pPr>
      <w:r w:rsidRPr="002E658E">
        <w:rPr>
          <w:rFonts w:ascii="Calibri" w:hAnsi="Calibri" w:cs="Calibri"/>
          <w:color w:val="000000" w:themeColor="text1"/>
          <w:lang w:val="en-US"/>
        </w:rPr>
        <w:t xml:space="preserve">Using </w:t>
      </w:r>
      <w:proofErr w:type="spellStart"/>
      <w:r w:rsidRPr="002E658E">
        <w:rPr>
          <w:rFonts w:ascii="Calibri" w:hAnsi="Calibri" w:cs="Calibri"/>
          <w:color w:val="000000" w:themeColor="text1"/>
          <w:lang w:val="en-US"/>
        </w:rPr>
        <w:t>FIREFate</w:t>
      </w:r>
      <w:proofErr w:type="spellEnd"/>
      <w:r w:rsidRPr="002E658E">
        <w:rPr>
          <w:rFonts w:ascii="Calibri" w:hAnsi="Calibri" w:cs="Calibri"/>
          <w:color w:val="000000" w:themeColor="text1"/>
          <w:lang w:val="en-US"/>
        </w:rPr>
        <w:t xml:space="preserve">, we </w:t>
      </w:r>
      <w:r w:rsidR="00AF5B9D" w:rsidRPr="002E658E">
        <w:rPr>
          <w:rFonts w:ascii="Calibri" w:hAnsi="Calibri" w:cs="Calibri"/>
          <w:color w:val="000000" w:themeColor="text1"/>
          <w:lang w:val="en-US"/>
        </w:rPr>
        <w:t>mapped inferred</w:t>
      </w:r>
      <w:r w:rsidRPr="002E658E">
        <w:rPr>
          <w:rFonts w:ascii="Calibri" w:hAnsi="Calibri" w:cs="Calibri"/>
          <w:color w:val="000000" w:themeColor="text1"/>
          <w:lang w:val="en-US"/>
        </w:rPr>
        <w:t xml:space="preserve"> transcriptional programs onto a GRN by leveraging a context-agnostic murine base GRN, refitted only on </w:t>
      </w:r>
      <w:proofErr w:type="spellStart"/>
      <w:r w:rsidRPr="002E658E">
        <w:rPr>
          <w:rFonts w:ascii="Calibri" w:hAnsi="Calibri" w:cs="Calibri"/>
          <w:color w:val="000000" w:themeColor="text1"/>
        </w:rPr>
        <w:t>Tex</w:t>
      </w:r>
      <w:r w:rsidRPr="002E658E">
        <w:rPr>
          <w:rFonts w:ascii="Calibri" w:hAnsi="Calibri" w:cs="Calibri"/>
          <w:color w:val="000000" w:themeColor="text1"/>
          <w:vertAlign w:val="superscript"/>
        </w:rPr>
        <w:t>KLR</w:t>
      </w:r>
      <w:proofErr w:type="spellEnd"/>
      <w:r w:rsidRPr="002E658E">
        <w:rPr>
          <w:rFonts w:ascii="Calibri" w:hAnsi="Calibri" w:cs="Calibri"/>
          <w:color w:val="000000" w:themeColor="text1"/>
          <w:lang w:val="en-US"/>
        </w:rPr>
        <w:t xml:space="preserve"> and </w:t>
      </w:r>
      <w:proofErr w:type="spellStart"/>
      <w:r w:rsidRPr="002E658E">
        <w:rPr>
          <w:rFonts w:ascii="Calibri" w:hAnsi="Calibri" w:cs="Calibri"/>
          <w:color w:val="000000" w:themeColor="text1"/>
        </w:rPr>
        <w:t>Tex</w:t>
      </w:r>
      <w:r w:rsidRPr="002E658E">
        <w:rPr>
          <w:rFonts w:ascii="Calibri" w:hAnsi="Calibri" w:cs="Calibri"/>
          <w:color w:val="000000" w:themeColor="text1"/>
          <w:vertAlign w:val="superscript"/>
        </w:rPr>
        <w:t>term</w:t>
      </w:r>
      <w:proofErr w:type="spellEnd"/>
      <w:r w:rsidRPr="002E658E">
        <w:rPr>
          <w:rFonts w:ascii="Calibri" w:hAnsi="Calibri" w:cs="Calibri"/>
          <w:color w:val="000000" w:themeColor="text1"/>
          <w:lang w:val="en-US"/>
        </w:rPr>
        <w:t xml:space="preserve"> </w:t>
      </w:r>
      <w:proofErr w:type="spellStart"/>
      <w:r w:rsidRPr="002E658E">
        <w:rPr>
          <w:rFonts w:ascii="Calibri" w:hAnsi="Calibri" w:cs="Calibri"/>
          <w:color w:val="000000" w:themeColor="text1"/>
          <w:lang w:val="en-US"/>
        </w:rPr>
        <w:t>scRNA</w:t>
      </w:r>
      <w:proofErr w:type="spellEnd"/>
      <w:r w:rsidRPr="002E658E">
        <w:rPr>
          <w:rFonts w:ascii="Calibri" w:hAnsi="Calibri" w:cs="Calibri"/>
          <w:color w:val="000000" w:themeColor="text1"/>
          <w:lang w:val="en-US"/>
        </w:rPr>
        <w:t xml:space="preserve">-seq data. Despite the </w:t>
      </w:r>
      <w:r>
        <w:rPr>
          <w:rFonts w:ascii="Calibri" w:hAnsi="Calibri" w:cs="Calibri"/>
          <w:color w:val="000000" w:themeColor="text1"/>
          <w:lang w:val="en-US"/>
        </w:rPr>
        <w:t xml:space="preserve">more complexity in the regulatory programs, </w:t>
      </w:r>
      <w:proofErr w:type="spellStart"/>
      <w:r w:rsidRPr="002E658E">
        <w:rPr>
          <w:rFonts w:ascii="Calibri" w:hAnsi="Calibri" w:cs="Calibri"/>
          <w:color w:val="000000" w:themeColor="text1"/>
          <w:lang w:val="en-US"/>
        </w:rPr>
        <w:t>FIREFate</w:t>
      </w:r>
      <w:proofErr w:type="spellEnd"/>
      <w:r w:rsidRPr="002E658E">
        <w:rPr>
          <w:rFonts w:ascii="Calibri" w:hAnsi="Calibri" w:cs="Calibri"/>
          <w:color w:val="000000" w:themeColor="text1"/>
          <w:lang w:val="en-US"/>
        </w:rPr>
        <w:t xml:space="preserve"> resolved lineage-defining regulatory programs. Critically, this dataset lacks T cell-specific</w:t>
      </w:r>
      <w:r w:rsidRPr="002E658E" w:rsidDel="007D718F">
        <w:rPr>
          <w:rFonts w:ascii="Calibri" w:hAnsi="Calibri" w:cs="Calibri"/>
          <w:color w:val="000000" w:themeColor="text1"/>
          <w:lang w:val="en-US"/>
        </w:rPr>
        <w:t xml:space="preserve"> </w:t>
      </w:r>
      <w:r w:rsidRPr="002E658E">
        <w:rPr>
          <w:rFonts w:ascii="Calibri" w:hAnsi="Calibri" w:cs="Calibri"/>
          <w:color w:val="000000" w:themeColor="text1"/>
          <w:lang w:val="en-US"/>
        </w:rPr>
        <w:t xml:space="preserve">ATAC-seq, providing a stringent test of robustness when context-specific chromatin accessibility data is unavailable. Even under these constraints, </w:t>
      </w:r>
      <w:proofErr w:type="spellStart"/>
      <w:r w:rsidRPr="002E658E">
        <w:rPr>
          <w:rFonts w:ascii="Calibri" w:hAnsi="Calibri" w:cs="Calibri"/>
          <w:color w:val="000000" w:themeColor="text1"/>
          <w:lang w:val="en-US"/>
        </w:rPr>
        <w:t>FIREFate</w:t>
      </w:r>
      <w:proofErr w:type="spellEnd"/>
      <w:r w:rsidRPr="002E658E">
        <w:rPr>
          <w:rFonts w:ascii="Calibri" w:hAnsi="Calibri" w:cs="Calibri"/>
          <w:color w:val="000000" w:themeColor="text1"/>
          <w:lang w:val="en-US"/>
        </w:rPr>
        <w:t xml:space="preserve"> distills a limited set of high informative regulatory modules underlying T cell exhaustion phenotypes, </w:t>
      </w:r>
      <w:r w:rsidRPr="007111EF">
        <w:rPr>
          <w:rFonts w:ascii="Calibri" w:hAnsi="Calibri" w:cs="Calibri"/>
        </w:rPr>
        <w:t>irrespective of the data or methodology used to construct the mechanistic layer.</w:t>
      </w:r>
      <w:r w:rsidRPr="002E658E">
        <w:rPr>
          <w:rFonts w:ascii="Calibri" w:hAnsi="Calibri" w:cs="Calibri"/>
          <w:color w:val="000000" w:themeColor="text1"/>
          <w:lang w:val="en-US"/>
        </w:rPr>
        <w:t xml:space="preserve"> </w:t>
      </w:r>
      <w:r>
        <w:rPr>
          <w:rFonts w:ascii="Calibri" w:hAnsi="Calibri" w:cs="Calibri"/>
          <w:color w:val="000000" w:themeColor="text1"/>
          <w:lang w:val="en-US"/>
        </w:rPr>
        <w:t xml:space="preserve">                                 </w:t>
      </w:r>
    </w:p>
    <w:p w14:paraId="2D6722D6" w14:textId="5EB108F8" w:rsidR="008515C4" w:rsidRPr="00D449EB" w:rsidRDefault="008515C4" w:rsidP="008515C4">
      <w:pPr>
        <w:jc w:val="both"/>
        <w:rPr>
          <w:color w:val="EE0000"/>
          <w:lang w:val="en-US"/>
        </w:rPr>
      </w:pP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identified Nr4a2 as a key exhaustion regulator without prior knowledge of canonical factors, naturally capturing transcriptional circuits enforcing terminal exhaustion identity</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{"citationID":"fREStrRT","properties":{"formattedCitation":"\\super 40\\nosupersub{}","plainCitation":"40","noteIndex":0},"citationItems":[{"id":2716,"uris":["http://zotero.org/groups/6337619/items/SMXXE7V7"],"itemData":{"id":2716,"type":"article-journal","abstract":"T cells expressing chimeric antigen receptors (CAR T cells) have shown impressive therapeutic efficacy against leukemias and lymphomas. However, they have not been as effective against solid tumors because they become hyporesponsive (“exhausted” or “dysfunctional”) within the tumor microenvironment, with decreased cytokine production and increased expression of several inhibitory surface receptors. Here we define a transcriptional network that mediates CD8\n              +\n              T cell exhaustion. We show that the high-mobility group (HMG)-box transcription factors TOX and TOX2, as well as members of the NR4A family of nuclear receptors, are targets of the calcium/calcineurin-regulated transcription factor NFAT, even in the absence of its partner AP-1 (FOS-JUN). Using a previously established CAR T cell model, we show that TOX and TOX2 are highly induced in CD8\n              +\n              CAR\n              +\n              PD-1\n              high\n              TIM3\n              high\n              (“exhausted”) tumor-infiltrating lymphocytes (CAR TILs), and CAR TILs deficient in both TOX and TOX2 (\n              Tox\n              DKO) are more effective than wild-type (WT), TOX-deficient, or TOX2-deficient CAR TILs in suppressing tumor growth and prolonging survival of tumor-bearing mice. Like NR4A-deficient CAR TILs,\n              Tox\n              DKO CAR TILs show increased cytokine expression, decreased expression of inhibitory receptors, and increased accessibility of regions enriched for motifs that bind activation-associated nuclear factor κB (NFκB) and basic region-leucine zipper (bZIP) transcription factors. These data indicate that\n              Tox\n              and\n              Nr4a\n              transcription factors are critical for the transcriptional program of CD8\n              +\n              T cell exhaustion downstream of NFAT. We provide evidence for positive regulation of NR4A by TOX and of TOX by NR4A, and suggest that disruption of TOX and NR4A expression or activity could be promising strategies for cancer immunotherapy.","container-title":"Proceedings of the National Academy of Sciences","DOI":"10.1073/pnas.1905675116","ISSN":"0027-8424, 1091-6490","issue":"25","journalAbbreviation":"Proc. Natl. Acad. Sci. U.S.A.","language":"en","page":"12410-12415","source":"DOI.org (Crossref)","title":"TOX and TOX2 transcription factors cooperate with NR4A transcription factors to impose CD8&lt;sup&gt;+&lt;/sup&gt; T cell exhaustion","volume":"116","author":[{"family":"Seo","given":"Hyungseok"},{"family":"Chen","given":"Joyce"},{"family":"González-Avalos","given":"Edahí"},{"family":"Samaniego-Castruita","given":"Daniela"},{"family":"Das","given":"Arundhoti"},{"family":"Wang","given":"Yueqiang H."},{"family":"López-Moyado","given":"Isaac F."},{"family":"Georges","given":"Romain O."},{"family":"Zhang","given":"Wade"},{"family":"Onodera","given":"Atsushi"},{"family":"Wu","given":"Cheng-Jang"},{"family":"Lu","given":"Li-Fan"},{"family":"Hogan","given":"Patrick G."},{"family":"Bhandoola","given":"Avinash"},{"family":"Rao","given":"Anjana"}],"issued":{"date-parts":[["2019",6,18]]}}}],"schema":"https://github.com/citation-style-language/schema/raw/master/csl-citation.json"}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40</w:t>
      </w:r>
      <w:r>
        <w:rPr>
          <w:rFonts w:ascii="Calibri" w:hAnsi="Calibri" w:cs="Calibri"/>
          <w:color w:val="000000" w:themeColor="text1"/>
          <w:lang w:val="en-US"/>
        </w:rPr>
        <w:fldChar w:fldCharType="end"/>
      </w:r>
      <w:r w:rsidRPr="009658C3">
        <w:rPr>
          <w:rFonts w:ascii="Calibri" w:hAnsi="Calibri" w:cs="Calibri"/>
          <w:color w:val="000000" w:themeColor="text1"/>
          <w:lang w:val="en-US"/>
        </w:rPr>
        <w:t>. Additional transcription factors emerged within key subnetworks: Tbx21 and Jun (effector differentiation)</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{"citationID":"aNizeBMO","properties":{"formattedCitation":"\\super 41\\nosupersub{}","plainCitation":"41","noteIndex":0},"citationItems":[{"id":2717,"uris":["http://zotero.org/groups/6337619/items/74L8WPD5"],"itemData":{"id":2717,"type":"article-journal","abstract":"T cell exhaustion has a major role in failure to control chronic infection. High expression of inhibitory receptors, including PD-1, and the inability to sustain functional T cell responses contribute to exhaustion. However, the transcriptional control of these processes remains unclear. Here we demonstrate that the transcription factor T-bet regulated the exhaustion of CD8(+) T cells and the expression of inhibitory receptors. T-bet directly repressed transcription of the gene encoding PD-1 and resulted in lower expression of other inhibitory receptors. Although a greater abundance of T-bet promoted terminal differentiation after acute infection, high T-bet expression sustained exhausted CD8(+) T cells and repressed the expression of inhibitory receptors during chronic viral infection. Persistent antigenic stimulation caused downregulation of T-bet, which resulted in more severe exhaustion of CD8(+) T cells. Our observations suggest therapeutic opportunities involving higher T-bet expression during chronic infection.","container-title":"Nature Immunology","DOI":"10.1038/ni.2046","ISSN":"1529-2916","issue":"7","journalAbbreviation":"Nat Immunol","language":"eng","page":"663-671","PMID":"21623380","PMCID":"PMC3306165","source":"PubMed","title":"Transcription factor T-bet represses expression of the inhibitory receptor PD-1 and sustains virus-specific CD8+ T cell responses during chronic infection","volume":"12","author":[{"family":"Kao","given":"Charlly"},{"family":"Oestreich","given":"Kenneth J."},{"family":"Paley","given":"Michael A."},{"family":"Crawford","given":"Alison"},{"family":"Angelosanto","given":"Jill M."},{"family":"Ali","given":"Mohammed-Alkhatim A."},{"family":"Intlekofer","given":"Andrew M."},{"family":"Boss","given":"Jeremy M."},{"family":"Reiner","given":"Steven L."},{"family":"Weinmann","given":"Amy S."},{"family":"Wherry","given":"E. John"}],"issued":{"date-parts":[["2011",5,29]]}}}],"schema":"https://github.com/citation-style-language/schema/raw/master/csl-citation.json"}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41</w:t>
      </w:r>
      <w:r>
        <w:rPr>
          <w:rFonts w:ascii="Calibri" w:hAnsi="Calibri" w:cs="Calibri"/>
          <w:color w:val="000000" w:themeColor="text1"/>
          <w:lang w:val="en-US"/>
        </w:rPr>
        <w:fldChar w:fldCharType="end"/>
      </w:r>
      <w:r>
        <w:rPr>
          <w:rFonts w:ascii="Calibri" w:hAnsi="Calibri" w:cs="Calibri"/>
          <w:color w:val="000000" w:themeColor="text1"/>
          <w:vertAlign w:val="superscript"/>
          <w:lang w:val="en-US"/>
        </w:rPr>
        <w:t xml:space="preserve">, </w:t>
      </w:r>
      <w:r>
        <w:rPr>
          <w:rFonts w:ascii="Calibri" w:hAnsi="Calibri" w:cs="Calibri"/>
          <w:color w:val="000000" w:themeColor="text1"/>
          <w:vertAlign w:val="superscript"/>
          <w:lang w:val="en-US"/>
        </w:rPr>
        <w:fldChar w:fldCharType="begin"/>
      </w:r>
      <w:r w:rsidR="00BD6670">
        <w:rPr>
          <w:rFonts w:ascii="Calibri" w:hAnsi="Calibri" w:cs="Calibri"/>
          <w:color w:val="000000" w:themeColor="text1"/>
          <w:vertAlign w:val="superscript"/>
          <w:lang w:val="en-US"/>
        </w:rPr>
        <w:instrText xml:space="preserve"> ADDIN ZOTERO_ITEM CSL_CITATION {"citationID":"bZDmryqT","properties":{"formattedCitation":"\\super 42\\nosupersub{}","plainCitation":"42","noteIndex":0},"citationItems":[{"id":2719,"uris":["http://zotero.org/groups/6337619/items/XIQB5KJF"],"itemData":{"id":2719,"type":"article-journal","abstract":"Chimeric antigen receptor (CAR) T cells mediate anti-tumour effects in a small subset of patients with cancer1-3, but dysfunction due to T cell exhaustion is an important barrier to progress4-6. To investigate the biology of exhaustion in human T cells expressing CAR receptors, we used a model system with a tonically signaling CAR, which induces hallmark features of exhaustion6. Exhaustion was associated with a profound defect in the production of IL-2, along with increased chromatin accessibility of AP-1 transcription factor motifs and overexpression of the bZIP and IRF transcription factors that have been implicated in mediating dysfunction in exhausted T cells7-10. Here we show that CAR T cells engineered to overexpress the canonical AP-1 factor c-Jun have enhanced expansion potential, increased functional capacity, diminished terminal differentiation and improved anti-tumour potency in five different mouse tumour models in vivo. We conclude that a functional deficiency in c-Jun mediates dysfunction in exhausted human T cells, and that engineering CAR T cells to overexpress c-Jun renders them resistant to exhaustion, thereby addressing a major barrier to progress for this emerging class of therapeutic agents.","container-title":"Nature","DOI":"10.1038/s41586-019-1805-z","ISSN":"1476-4687","issue":"7786","journalAbbreviation":"Nature","language":"eng","page":"293-300","PMID":"31802004","PMCID":"PMC6944329","source":"PubMed","title":"c-Jun overexpression in CAR T cells induces exhaustion resistance","volume":"576","author":[{"family":"Lynn","given":"Rachel C."},{"family":"Weber","given":"Evan W."},{"family":"Sotillo","given":"Elena"},{"family":"Gennert","given":"David"},{"family":"Xu","given":"Peng"},{"family":"Good","given":"Zinaida"},{"family":"Anbunathan","given":"Hima"},{"family":"Lattin","given":"John"},{"family":"Jones","given":"Robert"},{"family":"Tieu","given":"Victor"},{"family":"Nagaraja","given":"Surya"},{"family":"Granja","given":"Jeffrey"},{"family":"Bourcy","given":"Charles F. A.","non-dropping-particle":"de"},{"family":"Majzner","given":"Robbie"},{"family":"Satpathy","given":"Ansuman T."},{"family":"Quake","given":"Stephen R."},{"family":"Monje","given":"Michelle"},{"family":"Chang","given":"Howard Y."},{"family":"Mackall","given":"Crystal L."}],"issued":{"date-parts":[["2019",12]]}}}],"schema":"https://github.com/citation-style-language/schema/raw/master/csl-citation.json"} </w:instrText>
      </w:r>
      <w:r>
        <w:rPr>
          <w:rFonts w:ascii="Calibri" w:hAnsi="Calibri" w:cs="Calibri"/>
          <w:color w:val="000000" w:themeColor="text1"/>
          <w:vertAlign w:val="superscript"/>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42</w:t>
      </w:r>
      <w:r>
        <w:rPr>
          <w:rFonts w:ascii="Calibri" w:hAnsi="Calibri" w:cs="Calibri"/>
          <w:color w:val="000000" w:themeColor="text1"/>
          <w:vertAlign w:val="superscript"/>
          <w:lang w:val="en-US"/>
        </w:rPr>
        <w:fldChar w:fldCharType="end"/>
      </w:r>
      <w:r w:rsidRPr="009658C3">
        <w:rPr>
          <w:rFonts w:ascii="Calibri" w:hAnsi="Calibri" w:cs="Calibri"/>
          <w:color w:val="000000" w:themeColor="text1"/>
          <w:lang w:val="en-US"/>
        </w:rPr>
        <w:t>, Klf6 (T cell development)</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{"citationID":"YyxSlaGP","properties":{"formattedCitation":"\\super 43\\nosupersub{}","plainCitation":"43","noteIndex":0},"citationItems":[{"id":2721,"uris":["http://zotero.org/groups/6337619/items/HHM68VMM"],"itemData":{"id":2721,"type":"article-journal","abstract":"Thymic epithelial cells (TEC) control T cell development and play essential roles in establishing self-tolerance. By using\n              Foxn1-Cre\n              –driven ablation of\n              Klf6\n              gene in TEC, we identified\n              Klf6\n              as a critical factor in TEC development.\n              Klf6\n              deficiency resulted in a hypoplastic thymus—evident from fetal stages into adulthood—in which a dramatic increase in the frequency of apoptotic TEC was observed. Among cortical TEC (cTEC), a previously unreported cTEC population expressing the transcription factor Sox10 was relatively expanded. Within medullary TEC (mTEC), mTEC I and Tuft-like mTEC IV were disproportionately decreased.\n              Klf6\n              deficiency altered chromatin accessibility and affected TEC chromatin configuration. Consistent with these defects, naïve conventional T cells and invariant natural killer T cells were reduced in the spleen. Late stages of T cell receptor–dependent selection of thymocytes were affected, and mice exhibited autoimmunity. Thus, Klf6 has a prosurvival role and affects the development of specific TEC subsets contributing to thymic function.\n            \n          , \n            Klf6 is required in thymic epithelial cells for normal thymic development and the establishment of T cell tolerance.","container-title":"Science Advances","DOI":"10.1126/sciadv.adg8126","ISSN":"2375-2548","issue":"46","journalAbbreviation":"Sci. Adv.","language":"en","page":"eadg8126","source":"DOI.org (Crossref)","title":"Expression of the transcription factor Klf6 by thymic epithelial cells is required for thymus development","volume":"9","author":[{"family":"Malin","given":"Justin"},{"family":"Martinez-Ruiz","given":"Gustavo Ulises"},{"family":"Zhao","given":"Yongge"},{"family":"Shissler","given":"Susannah C."},{"family":"Cowan","given":"Jennifer E."},{"family":"Ding","given":"Yi"},{"family":"Morales-Sanchez","given":"Abigail"},{"family":"Ishikawa","given":"Masaki"},{"family":"Lavaert","given":"Marieke"},{"family":"Das","given":"Arundhoti"},{"family":"Butcher","given":"Donna"},{"family":"Warner","given":"Andrew C."},{"family":"Kallarakal","given":"Melissa"},{"family":"Chen","given":"Jingqiu"},{"family":"Kedei","given":"Noemi"},{"family":"Kelly","given":"Michael"},{"family":"Brinster","given":"Lauren R."},{"family":"Allman","given":"David"},{"family":"Bhandoola","given":"Avinash"}],"issued":{"date-parts":[["2023",11,17]]}}}],"schema":"https://github.com/citation-style-language/schema/raw/master/csl-citation.json"}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43</w:t>
      </w:r>
      <w:r>
        <w:rPr>
          <w:rFonts w:ascii="Calibri" w:hAnsi="Calibri" w:cs="Calibri"/>
          <w:color w:val="000000" w:themeColor="text1"/>
          <w:lang w:val="en-US"/>
        </w:rPr>
        <w:fldChar w:fldCharType="end"/>
      </w:r>
      <w:r w:rsidRPr="009658C3">
        <w:rPr>
          <w:rFonts w:ascii="Calibri" w:hAnsi="Calibri" w:cs="Calibri"/>
          <w:color w:val="000000" w:themeColor="text1"/>
          <w:lang w:val="en-US"/>
        </w:rPr>
        <w:t>, and Fos (effector and exhaustion roles)</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{"citationID":"8a9eALmL","properties":{"formattedCitation":"\\super 44\\nosupersub{}","plainCitation":"44","noteIndex":0},"citationItems":[{"id":2722,"uris":["http://zotero.org/groups/6337619/items/EPH239RQ"],"itemData":{"id":2722,"type":"article-journal","abstract":"The dysfunction of chimeric antigen receptor (CAR) T cells in the tumor microenvironment is a major obstacle to their therapeutic efficacy against solid tumors. Through single-cell RNA sequencing analysis of tumor-infiltrating T cells from patients with glioma, NR4A family genes were identified as closely associated with T cell exhaustion and were coexpressed with dysfunctional genes HAVCR2 and TIGIT. Notably, CAR T cells with NR4A3 knockdown exhibited enhanced cytotoxic activity against tumors, leading to improved tumor clearance and prolonged survival in vivo. However, the promoted antiexhausted phenotype diminished with prolonged tumor burden. This decline in T cell function correlates with the compensatory down-regulation of FOS induced by chronic antigen exposure following NR4A3 knockdown. Overexpressing FOS alongside NR4A3 knockdown robustly boosted the antitumor responses of CAR T cells by skewing their phenotypes and transcriptional profiles away from exhaustion and toward increased effector function. These findings offer a promising strategy for the clinical modification of CAR T cell therapy.","container-title":"Science Advances","DOI":"10.1126/sciadv.adw3571","ISSN":"2375-2548","issue":"42","journalAbbreviation":"Sci Adv","language":"eng","page":"eadw3571","PMID":"41105771","PMCID":"PMC12533589","source":"PubMed","title":"Enhanced FOS expression improves tumor clearance and resists exhaustion in NR4A3-deficient CAR T cells under chronic antigen exposure","volume":"11","author":[{"family":"Yin","given":"Peidi"},{"family":"Yang","given":"Jigui"},{"family":"Jiang","given":"Yiyang"},{"family":"Han","given":"Linhong"},{"family":"Xiong","given":"Tianchen"},{"family":"Liu","given":"Haofei"},{"family":"Fang","given":"Yiliang"},{"family":"Ruan","given":"Wenchen"},{"family":"Wu","given":"Jiayang"},{"family":"Chen","given":"Longjuan"},{"family":"Tan","given":"Leyong"},{"family":"Zuo","given":"Yonglin"},{"family":"Wu","given":"Xin"},{"family":"Mao","given":"Fangyuan"},{"family":"Huang","given":"Rui"},{"family":"Liu","given":"Xindong"},{"family":"Bian","given":"Xiu-Wu"}],"issued":{"date-parts":[["2025",10,17]]}}}],"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44</w:t>
      </w:r>
      <w:r>
        <w:rPr>
          <w:rFonts w:ascii="Calibri" w:hAnsi="Calibri" w:cs="Calibri"/>
          <w:color w:val="000000" w:themeColor="text1"/>
          <w:lang w:val="en-US"/>
        </w:rPr>
        <w:fldChar w:fldCharType="end"/>
      </w:r>
      <w:r>
        <w:rPr>
          <w:rFonts w:ascii="Calibri" w:hAnsi="Calibri" w:cs="Calibri"/>
          <w:color w:val="000000" w:themeColor="text1"/>
          <w:vertAlign w:val="superscript"/>
          <w:lang w:val="en-US"/>
        </w:rPr>
        <w:t xml:space="preserve">, </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{"citationID":"1rlfmCtt","properties":{"formattedCitation":"\\super 45\\nosupersub{}","plainCitation":"45","noteIndex":0},"citationItems":[{"id":2724,"uris":["http://zotero.org/groups/6337619/items/6TWZ7AQ4"],"itemData":{"id":2724,"type":"article-journal","abstract":"Immune checkpoint blockade (ICB) therapies, which block inhibitory receptors on T cells, can be efficacious in reinvigorating dysfunctional T cell responses. However, most cancers do not respond to these therapies and even in those that respond, tumors can acquire resistance. New strategies are needed to rescue and recruit T cell responses across patient populations and disease states. In this review, we define mechanisms of T cell dysfunction, focusing on key transcription factor (TF) networks. We discuss the complex and sometimes contradictory roles of core TFs in both T cell function and dysfunction. Finally, we review strategies to target TFs using small molecule modulators, which represent a challenging but highly promising opportunity to tune the T cell response toward sustained immunity.","container-title":"Trends in Biochemical Sciences","DOI":"10.1016/j.tibs.2024.08.002","ISSN":"0968-0004","issue":"11","journalAbbreviation":"Trends Biochem Sci","language":"eng","page":"1014-1029","PMID":"39277450","PMCID":"PMC11991696","source":"PubMed","title":"New opportunities to overcome T cell dysfunction: the role of transcription factors and how to target them","title-short":"New opportunities to overcome T cell dysfunction","volume":"49","author":[{"family":"Wu","given":"Bocheng"},{"family":"Koehler","given":"Angela N."},{"family":"Westcott","given":"Peter M. K."}],"issued":{"date-parts":[["2024",11]]}}}],"schema":"https://github.com/citation-style-language/schema/raw/master/csl-citation.json"}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45</w:t>
      </w:r>
      <w:r>
        <w:rPr>
          <w:rFonts w:ascii="Calibri" w:hAnsi="Calibri" w:cs="Calibri"/>
          <w:color w:val="000000" w:themeColor="text1"/>
          <w:lang w:val="en-US"/>
        </w:rPr>
        <w:fldChar w:fldCharType="end"/>
      </w:r>
      <w:r w:rsidRPr="009658C3">
        <w:rPr>
          <w:rFonts w:ascii="Calibri" w:hAnsi="Calibri" w:cs="Calibri"/>
          <w:color w:val="000000" w:themeColor="text1"/>
          <w:lang w:val="en-US"/>
        </w:rPr>
        <w:t xml:space="preserve"> (Fig. 3D). Regulon-associated genes showed strong overrepresentation downstream of specific transcription factors relative to the full GRN, revealing factors most tightly linked to discriminating programs (Fig. 3E). Lastly, benchmarking against SCENIC+ </w:t>
      </w:r>
      <w:r>
        <w:rPr>
          <w:rFonts w:ascii="Calibri" w:hAnsi="Calibri" w:cs="Calibri"/>
          <w:color w:val="000000" w:themeColor="text1"/>
          <w:lang w:val="en-US"/>
        </w:rPr>
        <w:t>revealed that</w:t>
      </w:r>
      <w:r w:rsidRPr="009658C3">
        <w:rPr>
          <w:rFonts w:ascii="Calibri" w:hAnsi="Calibri" w:cs="Calibri"/>
          <w:color w:val="000000" w:themeColor="text1"/>
          <w:lang w:val="en-US"/>
        </w:rPr>
        <w:t xml:space="preserve"> </w:t>
      </w:r>
      <w:proofErr w:type="spellStart"/>
      <w:r w:rsidRPr="009658C3">
        <w:rPr>
          <w:rFonts w:ascii="Calibri" w:hAnsi="Calibri" w:cs="Calibri"/>
          <w:color w:val="000000" w:themeColor="text1"/>
          <w:lang w:val="en-US"/>
        </w:rPr>
        <w:t>FIREFat</w:t>
      </w:r>
      <w:r>
        <w:rPr>
          <w:rFonts w:ascii="Calibri" w:hAnsi="Calibri" w:cs="Calibri"/>
          <w:color w:val="000000" w:themeColor="text1"/>
          <w:lang w:val="en-US"/>
        </w:rPr>
        <w:t>e</w:t>
      </w:r>
      <w:proofErr w:type="spellEnd"/>
      <w:r w:rsidRPr="009658C3">
        <w:rPr>
          <w:rFonts w:ascii="Calibri" w:hAnsi="Calibri" w:cs="Calibri"/>
          <w:color w:val="000000" w:themeColor="text1"/>
          <w:lang w:val="en-US"/>
        </w:rPr>
        <w:t xml:space="preserve"> inferred compact regulons enriched for state-defining transcriptional changes, whereas SCENIC+ produced diffuse modules with limited discriminatory power (Fig. 3F-G</w:t>
      </w:r>
      <w:r>
        <w:rPr>
          <w:rFonts w:ascii="Calibri" w:hAnsi="Calibri" w:cs="Calibri"/>
          <w:color w:val="000000" w:themeColor="text1"/>
          <w:lang w:val="en-US"/>
        </w:rPr>
        <w:t>, supplementary fig2</w:t>
      </w:r>
      <w:r w:rsidRPr="009658C3">
        <w:rPr>
          <w:rFonts w:ascii="Calibri" w:hAnsi="Calibri" w:cs="Calibri"/>
          <w:color w:val="000000" w:themeColor="text1"/>
          <w:lang w:val="en-US"/>
        </w:rPr>
        <w:t>).</w:t>
      </w:r>
    </w:p>
    <w:p w14:paraId="68B04967" w14:textId="77777777" w:rsidR="008515C4" w:rsidRPr="009658C3" w:rsidRDefault="008515C4" w:rsidP="008515C4">
      <w:pPr>
        <w:jc w:val="both"/>
        <w:rPr>
          <w:rFonts w:ascii="Calibri" w:hAnsi="Calibri" w:cs="Calibri"/>
          <w:color w:val="000000" w:themeColor="text1"/>
          <w:lang w:val="en-US"/>
        </w:rPr>
      </w:pPr>
    </w:p>
    <w:p w14:paraId="4DFCD034" w14:textId="77777777" w:rsidR="008515C4" w:rsidRDefault="008515C4" w:rsidP="008515C4">
      <w:pPr>
        <w:jc w:val="both"/>
        <w:rPr>
          <w:rFonts w:ascii="Calibri" w:hAnsi="Calibri" w:cs="Calibri"/>
          <w:color w:val="000000" w:themeColor="text1"/>
          <w:lang w:val="en-US"/>
        </w:rPr>
      </w:pPr>
      <w:r w:rsidRPr="009658C3">
        <w:rPr>
          <w:rFonts w:ascii="Calibri" w:hAnsi="Calibri" w:cs="Calibri"/>
          <w:color w:val="000000" w:themeColor="text1"/>
          <w:lang w:val="en-US"/>
        </w:rPr>
        <w:t xml:space="preserve">These results establish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as a new state of the art for mechanistic dissection of cell fate. Beyond the clear PB-GC bifurcation,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succeeds in the far more </w:t>
      </w:r>
      <w:r>
        <w:rPr>
          <w:rFonts w:ascii="Calibri" w:hAnsi="Calibri" w:cs="Calibri"/>
          <w:color w:val="000000" w:themeColor="text1"/>
          <w:lang w:val="en-US"/>
        </w:rPr>
        <w:t>nuanced</w:t>
      </w:r>
      <w:r w:rsidRPr="009658C3">
        <w:rPr>
          <w:rFonts w:ascii="Calibri" w:hAnsi="Calibri" w:cs="Calibri"/>
          <w:color w:val="000000" w:themeColor="text1"/>
          <w:lang w:val="en-US"/>
        </w:rPr>
        <w:t xml:space="preserve"> regime of </w:t>
      </w:r>
      <w:r>
        <w:rPr>
          <w:rFonts w:ascii="Calibri" w:hAnsi="Calibri" w:cs="Calibri"/>
          <w:color w:val="000000" w:themeColor="text1"/>
          <w:lang w:val="en-US"/>
        </w:rPr>
        <w:t xml:space="preserve">a landscape of </w:t>
      </w:r>
      <w:r w:rsidRPr="009658C3">
        <w:rPr>
          <w:rFonts w:ascii="Calibri" w:hAnsi="Calibri" w:cs="Calibri"/>
          <w:color w:val="000000" w:themeColor="text1"/>
          <w:lang w:val="en-US"/>
        </w:rPr>
        <w:t>T-cell exhaustion</w:t>
      </w:r>
      <w:r>
        <w:rPr>
          <w:rFonts w:ascii="Calibri" w:hAnsi="Calibri" w:cs="Calibri"/>
          <w:color w:val="000000" w:themeColor="text1"/>
          <w:lang w:val="en-US"/>
        </w:rPr>
        <w:t xml:space="preserve"> states</w:t>
      </w:r>
      <w:r w:rsidRPr="009658C3">
        <w:rPr>
          <w:rFonts w:ascii="Calibri" w:hAnsi="Calibri" w:cs="Calibri"/>
          <w:color w:val="000000" w:themeColor="text1"/>
          <w:lang w:val="en-US"/>
        </w:rPr>
        <w:t xml:space="preserve">, where </w:t>
      </w:r>
      <w:proofErr w:type="spellStart"/>
      <w:r w:rsidRPr="00D612CE">
        <w:rPr>
          <w:rFonts w:ascii="Calibri" w:hAnsi="Calibri" w:cs="Calibri"/>
          <w:color w:val="000000" w:themeColor="text1"/>
        </w:rPr>
        <w:t>Tex</w:t>
      </w:r>
      <w:r w:rsidRPr="00D612CE">
        <w:rPr>
          <w:rFonts w:ascii="Calibri" w:hAnsi="Calibri" w:cs="Calibri"/>
          <w:color w:val="000000" w:themeColor="text1"/>
          <w:vertAlign w:val="superscript"/>
        </w:rPr>
        <w:t>term</w:t>
      </w:r>
      <w:proofErr w:type="spellEnd"/>
      <w:r w:rsidRPr="009658C3">
        <w:rPr>
          <w:rFonts w:ascii="Calibri" w:hAnsi="Calibri" w:cs="Calibri"/>
          <w:color w:val="000000" w:themeColor="text1"/>
          <w:lang w:val="en-US"/>
        </w:rPr>
        <w:t xml:space="preserve"> and </w:t>
      </w:r>
      <w:proofErr w:type="spellStart"/>
      <w:r w:rsidRPr="00D612CE">
        <w:rPr>
          <w:rFonts w:ascii="Calibri" w:hAnsi="Calibri" w:cs="Calibri"/>
          <w:color w:val="000000" w:themeColor="text1"/>
        </w:rPr>
        <w:t>Tex</w:t>
      </w:r>
      <w:r w:rsidRPr="00D612CE">
        <w:rPr>
          <w:rFonts w:ascii="Calibri" w:hAnsi="Calibri" w:cs="Calibri"/>
          <w:color w:val="000000" w:themeColor="text1"/>
          <w:vertAlign w:val="superscript"/>
        </w:rPr>
        <w:t>KLR</w:t>
      </w:r>
      <w:proofErr w:type="spellEnd"/>
      <w:r w:rsidRPr="009658C3">
        <w:rPr>
          <w:rFonts w:ascii="Calibri" w:hAnsi="Calibri" w:cs="Calibri"/>
          <w:color w:val="000000" w:themeColor="text1"/>
          <w:lang w:val="en-US"/>
        </w:rPr>
        <w:t xml:space="preserve"> states are transcriptionally proximal yet functionally distinct. Using </w:t>
      </w:r>
      <w:proofErr w:type="spellStart"/>
      <w:r w:rsidRPr="009658C3">
        <w:rPr>
          <w:rFonts w:ascii="Calibri" w:hAnsi="Calibri" w:cs="Calibri"/>
          <w:color w:val="000000" w:themeColor="text1"/>
          <w:lang w:val="en-US"/>
        </w:rPr>
        <w:t>scRNA</w:t>
      </w:r>
      <w:proofErr w:type="spellEnd"/>
      <w:r w:rsidRPr="009658C3">
        <w:rPr>
          <w:rFonts w:ascii="Calibri" w:hAnsi="Calibri" w:cs="Calibri"/>
          <w:color w:val="000000" w:themeColor="text1"/>
          <w:lang w:val="en-US"/>
        </w:rPr>
        <w:t>-seq alone-without context-specific ATAC-seq or high-resolution GRNs-</w:t>
      </w:r>
      <w:r>
        <w:rPr>
          <w:rFonts w:ascii="Calibri" w:hAnsi="Calibri" w:cs="Calibri"/>
          <w:color w:val="000000" w:themeColor="text1"/>
          <w:lang w:val="en-US"/>
        </w:rPr>
        <w:t xml:space="preserve">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recovers </w:t>
      </w:r>
      <w:r>
        <w:rPr>
          <w:rFonts w:ascii="Calibri" w:hAnsi="Calibri" w:cs="Calibri"/>
          <w:color w:val="000000" w:themeColor="text1"/>
          <w:lang w:val="en-US"/>
        </w:rPr>
        <w:t>the</w:t>
      </w:r>
      <w:r w:rsidRPr="009658C3">
        <w:rPr>
          <w:rFonts w:ascii="Calibri" w:hAnsi="Calibri" w:cs="Calibri"/>
          <w:color w:val="000000" w:themeColor="text1"/>
          <w:lang w:val="en-US"/>
        </w:rPr>
        <w:t xml:space="preserve"> program-level regulatory modules. These capture both canonical exhaustion regulators and previously unrecognized control axes. </w:t>
      </w:r>
      <w:r>
        <w:rPr>
          <w:rFonts w:ascii="Calibri" w:hAnsi="Calibri" w:cs="Calibri"/>
          <w:color w:val="000000" w:themeColor="text1"/>
          <w:lang w:val="en-US"/>
        </w:rPr>
        <w:t>Our framework</w:t>
      </w:r>
      <w:r w:rsidRPr="009658C3">
        <w:rPr>
          <w:rFonts w:ascii="Calibri" w:hAnsi="Calibri" w:cs="Calibri"/>
          <w:color w:val="000000" w:themeColor="text1"/>
          <w:lang w:val="en-US"/>
        </w:rPr>
        <w:t xml:space="preserve"> decisively outperforms SCENIC+ in specificity </w:t>
      </w:r>
      <w:r>
        <w:rPr>
          <w:rFonts w:ascii="Calibri" w:hAnsi="Calibri" w:cs="Calibri"/>
          <w:color w:val="000000" w:themeColor="text1"/>
          <w:lang w:val="en-US"/>
        </w:rPr>
        <w:t>which</w:t>
      </w:r>
      <w:r w:rsidRPr="00D449EB">
        <w:rPr>
          <w:rFonts w:ascii="Calibri" w:hAnsi="Calibri" w:cs="Calibri"/>
          <w:color w:val="000000" w:themeColor="text1"/>
          <w:lang w:val="en-US"/>
        </w:rPr>
        <w:t xml:space="preserve"> demonstrates a fundamental strength: </w:t>
      </w:r>
      <w:proofErr w:type="spellStart"/>
      <w:r w:rsidRPr="00D449EB">
        <w:rPr>
          <w:rFonts w:ascii="Calibri" w:hAnsi="Calibri" w:cs="Calibri"/>
          <w:color w:val="000000" w:themeColor="text1"/>
          <w:lang w:val="en-US"/>
        </w:rPr>
        <w:t>FIREFate</w:t>
      </w:r>
      <w:proofErr w:type="spellEnd"/>
      <w:r w:rsidRPr="00D449EB">
        <w:rPr>
          <w:rFonts w:ascii="Calibri" w:hAnsi="Calibri" w:cs="Calibri"/>
          <w:color w:val="000000" w:themeColor="text1"/>
          <w:lang w:val="en-US"/>
        </w:rPr>
        <w:t xml:space="preserve"> </w:t>
      </w:r>
      <w:r>
        <w:rPr>
          <w:rFonts w:ascii="Calibri" w:hAnsi="Calibri" w:cs="Calibri"/>
          <w:color w:val="000000" w:themeColor="text1"/>
          <w:lang w:val="en-US"/>
        </w:rPr>
        <w:t xml:space="preserve">is powerful enough to infer key regulatory programs even in more complex biological systems, and to do this it </w:t>
      </w:r>
      <w:r w:rsidRPr="00D449EB">
        <w:rPr>
          <w:rFonts w:ascii="Calibri" w:hAnsi="Calibri" w:cs="Calibri"/>
          <w:color w:val="000000" w:themeColor="text1"/>
          <w:lang w:val="en-US"/>
        </w:rPr>
        <w:t xml:space="preserve">does not require high-resolution </w:t>
      </w:r>
      <w:r>
        <w:rPr>
          <w:rFonts w:ascii="Calibri" w:hAnsi="Calibri" w:cs="Calibri"/>
          <w:color w:val="000000" w:themeColor="text1"/>
          <w:lang w:val="en-US"/>
        </w:rPr>
        <w:t>-mechanistic representation</w:t>
      </w:r>
      <w:r w:rsidRPr="00D449EB">
        <w:rPr>
          <w:rFonts w:ascii="Calibri" w:hAnsi="Calibri" w:cs="Calibri"/>
          <w:color w:val="000000" w:themeColor="text1"/>
          <w:lang w:val="en-US"/>
        </w:rPr>
        <w:t xml:space="preserve">s or prior regulatory annotation to infer meaningful programs. Even with incomplete networks, program definitions remain coherent and biologically parsimonious. It remains informative when </w:t>
      </w:r>
      <w:r>
        <w:rPr>
          <w:rFonts w:ascii="Calibri" w:hAnsi="Calibri" w:cs="Calibri"/>
          <w:color w:val="000000" w:themeColor="text1"/>
          <w:lang w:val="en-US"/>
        </w:rPr>
        <w:t xml:space="preserve">regulatory </w:t>
      </w:r>
      <w:r w:rsidRPr="00D449EB">
        <w:rPr>
          <w:rFonts w:ascii="Calibri" w:hAnsi="Calibri" w:cs="Calibri"/>
          <w:color w:val="000000" w:themeColor="text1"/>
          <w:lang w:val="en-US"/>
        </w:rPr>
        <w:t xml:space="preserve">networks are incomplete or noisy. By succeeding across both stark and fine-grained immune fate decisions, </w:t>
      </w:r>
      <w:proofErr w:type="spellStart"/>
      <w:r w:rsidRPr="00D449EB">
        <w:rPr>
          <w:rFonts w:ascii="Calibri" w:hAnsi="Calibri" w:cs="Calibri"/>
          <w:color w:val="000000" w:themeColor="text1"/>
          <w:lang w:val="en-US"/>
        </w:rPr>
        <w:t>FIREFate</w:t>
      </w:r>
      <w:proofErr w:type="spellEnd"/>
      <w:r w:rsidRPr="00D449EB">
        <w:rPr>
          <w:rFonts w:ascii="Calibri" w:hAnsi="Calibri" w:cs="Calibri"/>
          <w:color w:val="000000" w:themeColor="text1"/>
          <w:lang w:val="en-US"/>
        </w:rPr>
        <w:t xml:space="preserve"> </w:t>
      </w:r>
      <w:r>
        <w:rPr>
          <w:rFonts w:ascii="Calibri" w:hAnsi="Calibri" w:cs="Calibri"/>
          <w:color w:val="000000" w:themeColor="text1"/>
          <w:lang w:val="en-US"/>
        </w:rPr>
        <w:t xml:space="preserve">identifies regulatory programs underlying cell differentiation with a level of robustness, interpretability, and causal insights </w:t>
      </w:r>
      <w:r w:rsidRPr="00D449EB">
        <w:rPr>
          <w:rFonts w:ascii="Calibri" w:hAnsi="Calibri" w:cs="Calibri"/>
          <w:color w:val="000000" w:themeColor="text1"/>
          <w:lang w:val="en-US"/>
        </w:rPr>
        <w:t>that h</w:t>
      </w:r>
      <w:r>
        <w:rPr>
          <w:rFonts w:ascii="Calibri" w:hAnsi="Calibri" w:cs="Calibri"/>
          <w:color w:val="000000" w:themeColor="text1"/>
          <w:lang w:val="en-US"/>
        </w:rPr>
        <w:t>as</w:t>
      </w:r>
      <w:r w:rsidRPr="00D449EB">
        <w:rPr>
          <w:rFonts w:ascii="Calibri" w:hAnsi="Calibri" w:cs="Calibri"/>
          <w:color w:val="000000" w:themeColor="text1"/>
          <w:lang w:val="en-US"/>
        </w:rPr>
        <w:t xml:space="preserve"> remained inaccessible to existing methods</w:t>
      </w:r>
      <w:r>
        <w:rPr>
          <w:rFonts w:ascii="Calibri" w:hAnsi="Calibri" w:cs="Calibri"/>
          <w:color w:val="000000" w:themeColor="text1"/>
          <w:lang w:val="en-US"/>
        </w:rPr>
        <w:t xml:space="preserve">. </w:t>
      </w:r>
    </w:p>
    <w:p w14:paraId="76CC4848" w14:textId="77777777" w:rsidR="008515C4" w:rsidRPr="009658C3" w:rsidRDefault="008515C4" w:rsidP="008515C4">
      <w:pPr>
        <w:pStyle w:val="Heading3"/>
        <w:jc w:val="both"/>
        <w:rPr>
          <w:rFonts w:ascii="Calibri" w:hAnsi="Calibri" w:cs="Calibri"/>
          <w:b/>
          <w:bCs/>
          <w:color w:val="000000" w:themeColor="text1"/>
          <w:sz w:val="24"/>
          <w:szCs w:val="24"/>
          <w:lang w:val="en-US"/>
        </w:rPr>
      </w:pPr>
      <w:proofErr w:type="spellStart"/>
      <w:r w:rsidRPr="009658C3">
        <w:rPr>
          <w:rFonts w:ascii="Calibri" w:hAnsi="Calibri" w:cs="Calibri"/>
          <w:b/>
          <w:bCs/>
          <w:color w:val="000000" w:themeColor="text1"/>
          <w:sz w:val="24"/>
          <w:szCs w:val="24"/>
          <w:lang w:val="en-US"/>
        </w:rPr>
        <w:t>FIREFate</w:t>
      </w:r>
      <w:proofErr w:type="spellEnd"/>
      <w:r w:rsidRPr="009658C3">
        <w:rPr>
          <w:rFonts w:ascii="Calibri" w:hAnsi="Calibri" w:cs="Calibri"/>
          <w:b/>
          <w:bCs/>
          <w:color w:val="000000" w:themeColor="text1"/>
          <w:sz w:val="24"/>
          <w:szCs w:val="24"/>
          <w:lang w:val="en-US"/>
        </w:rPr>
        <w:t xml:space="preserve"> Identifies Temporal Regulatory Programs Revealing Sequential Waves Driving PB and GC Differentiation</w:t>
      </w:r>
    </w:p>
    <w:p w14:paraId="15FDF9DB" w14:textId="1515150D" w:rsidR="008515C4" w:rsidRPr="009658C3" w:rsidRDefault="008515C4" w:rsidP="008515C4">
      <w:pPr>
        <w:jc w:val="both"/>
        <w:rPr>
          <w:rFonts w:ascii="Calibri" w:hAnsi="Calibri" w:cs="Calibri"/>
          <w:color w:val="000000" w:themeColor="text1"/>
          <w:lang w:val="en-US"/>
        </w:rPr>
      </w:pPr>
      <w:proofErr w:type="spellStart"/>
      <w:r w:rsidRPr="302B18D7">
        <w:rPr>
          <w:rFonts w:ascii="Calibri" w:hAnsi="Calibri" w:cs="Calibri"/>
          <w:color w:val="000000" w:themeColor="text1"/>
          <w:lang w:val="en-US"/>
        </w:rPr>
        <w:t>FIREFate</w:t>
      </w:r>
      <w:proofErr w:type="spellEnd"/>
      <w:r w:rsidRPr="302B18D7">
        <w:rPr>
          <w:rFonts w:ascii="Calibri" w:hAnsi="Calibri" w:cs="Calibri"/>
          <w:color w:val="000000" w:themeColor="text1"/>
          <w:lang w:val="en-US"/>
        </w:rPr>
        <w:t xml:space="preserve"> successfully captured TF-centric regulons underlying the PB-GC bifurcation by integrating interpretable machine learning with state-specific static GRNs. However, </w:t>
      </w:r>
      <w:bookmarkStart w:id="0" w:name="_Hlk221012877"/>
      <w:r w:rsidRPr="302B18D7">
        <w:rPr>
          <w:rFonts w:ascii="Calibri" w:hAnsi="Calibri" w:cs="Calibri"/>
          <w:color w:val="000000" w:themeColor="text1"/>
          <w:lang w:val="en-US"/>
        </w:rPr>
        <w:t>cell state specification unfolds along a temporal continuum controlled by dynamic regulatory programs</w:t>
      </w:r>
      <w:bookmarkEnd w:id="0"/>
      <w:r w:rsidRPr="302B18D7">
        <w:rPr>
          <w:rFonts w:ascii="Calibri" w:hAnsi="Calibri" w:cs="Calibri"/>
          <w:color w:val="000000" w:themeColor="text1"/>
          <w:lang w:val="en-US"/>
        </w:rPr>
        <w:t xml:space="preserve">. Resolving the mechanisms guiding fate decisions therefore requires reconstructing this continuum and its governing regulatory dynamics. Direct temporal measurements of cellular transitions are limited as </w:t>
      </w:r>
      <w:r w:rsidRPr="302B18D7">
        <w:rPr>
          <w:rFonts w:ascii="Calibri" w:eastAsia="Calibri" w:hAnsi="Calibri" w:cs="Calibri"/>
          <w:lang w:val="en-US"/>
        </w:rPr>
        <w:t xml:space="preserve">individual cells are destroyed upon molecular profiling, </w:t>
      </w:r>
      <w:r w:rsidRPr="302B18D7">
        <w:rPr>
          <w:rFonts w:ascii="Calibri" w:hAnsi="Calibri" w:cs="Calibri"/>
          <w:i/>
          <w:iCs/>
          <w:color w:val="000000" w:themeColor="text1"/>
          <w:lang w:val="en-US"/>
        </w:rPr>
        <w:t>in silico</w:t>
      </w:r>
      <w:r w:rsidRPr="302B18D7">
        <w:rPr>
          <w:rFonts w:ascii="Calibri" w:hAnsi="Calibri" w:cs="Calibri"/>
          <w:color w:val="000000" w:themeColor="text1"/>
          <w:lang w:val="en-US"/>
        </w:rPr>
        <w:t xml:space="preserve"> mechanistic models are required to infer dynamics from </w:t>
      </w:r>
      <w:r w:rsidRPr="302B18D7">
        <w:rPr>
          <w:rFonts w:ascii="Calibri" w:hAnsi="Calibri" w:cs="Calibri"/>
          <w:color w:val="000000" w:themeColor="text1"/>
          <w:lang w:val="en-US"/>
        </w:rPr>
        <w:lastRenderedPageBreak/>
        <w:t xml:space="preserve">snapshot, single-cell data. Accordingly, we employed </w:t>
      </w:r>
      <w:proofErr w:type="spellStart"/>
      <w:r w:rsidRPr="302B18D7">
        <w:rPr>
          <w:rFonts w:ascii="Calibri" w:hAnsi="Calibri" w:cs="Calibri"/>
          <w:color w:val="000000" w:themeColor="text1"/>
          <w:lang w:val="en-US"/>
        </w:rPr>
        <w:t>Dictys</w:t>
      </w:r>
      <w:proofErr w:type="spellEnd"/>
      <w:r w:rsidRPr="302B18D7">
        <w:rPr>
          <w:rFonts w:ascii="Calibri" w:hAnsi="Calibri" w:cs="Calibri"/>
          <w:color w:val="000000" w:themeColor="text1"/>
          <w:lang w:val="en-US"/>
        </w:rPr>
        <w:t xml:space="preserve"> to infer dynamic GRNs driving activated B cells (ABC) divergence into PB or GC cells, using </w:t>
      </w:r>
      <w:proofErr w:type="spellStart"/>
      <w:r w:rsidRPr="302B18D7">
        <w:rPr>
          <w:rFonts w:ascii="Calibri" w:hAnsi="Calibri" w:cs="Calibri"/>
          <w:color w:val="000000" w:themeColor="text1"/>
          <w:lang w:val="en-US"/>
        </w:rPr>
        <w:t>pseudotime</w:t>
      </w:r>
      <w:proofErr w:type="spellEnd"/>
      <w:r w:rsidRPr="302B18D7">
        <w:rPr>
          <w:rFonts w:ascii="Calibri" w:hAnsi="Calibri" w:cs="Calibri"/>
          <w:color w:val="000000" w:themeColor="text1"/>
          <w:lang w:val="en-US"/>
        </w:rPr>
        <w:t>-resolved single-cell trajectories</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{"citationID":"zE5k0hAa","properties":{"formattedCitation":"\\super 18\\nosupersub{}","plainCitation":"18","noteIndex":0},"citationItems":[{"id":2589,"uris":["http://zotero.org/groups/6337619/items/FM9ADSYS"],"itemData":{"id":2589,"type":"article-journal","container-title":"Nature Methods","DOI":"10.1038/s41592-023-01971-3","ISSN":"1548-7091, 1548-7105","issue":"9","journalAbbreviation":"Nat Methods","language":"en","page":"1368-1378","source":"DOI.org (Crossref)","title":"Dictys: dynamic gene regulatory network dissects developmental continuum with single-cell multiomics","title-short":"Dictys","volume":"20","author":[{"family":"Wang","given":"Lingfei"},{"family":"Trasanidis","given":"Nikolaos"},{"family":"Wu","given":"Ting"},{"family":"Dong","given":"Guanlan"},{"family":"Hu","given":"Michael"},{"family":"Bauer","given":"Daniel E."},{"family":"Pinello","given":"Luca"}],"issued":{"date-parts":[["2023",9]]}}}],"schema":"https://github.com/citation-style-language/schema/raw/master/csl-citation.json"}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18</w:t>
      </w:r>
      <w:r>
        <w:rPr>
          <w:rFonts w:ascii="Calibri" w:hAnsi="Calibri" w:cs="Calibri"/>
          <w:color w:val="000000" w:themeColor="text1"/>
          <w:lang w:val="en-US"/>
        </w:rPr>
        <w:fldChar w:fldCharType="end"/>
      </w:r>
      <w:r w:rsidRPr="302B18D7">
        <w:rPr>
          <w:rFonts w:ascii="Calibri" w:hAnsi="Calibri" w:cs="Calibri"/>
          <w:color w:val="000000" w:themeColor="text1"/>
          <w:lang w:val="en-US"/>
        </w:rPr>
        <w:t xml:space="preserve">. The trajectory was partitioned into overlapping windows to track differentiation along </w:t>
      </w:r>
      <w:proofErr w:type="spellStart"/>
      <w:r w:rsidRPr="302B18D7">
        <w:rPr>
          <w:rFonts w:ascii="Calibri" w:hAnsi="Calibri" w:cs="Calibri"/>
          <w:color w:val="000000" w:themeColor="text1"/>
          <w:lang w:val="en-US"/>
        </w:rPr>
        <w:t>pseudotime</w:t>
      </w:r>
      <w:proofErr w:type="spellEnd"/>
      <w:r w:rsidRPr="302B18D7">
        <w:rPr>
          <w:rFonts w:ascii="Calibri" w:hAnsi="Calibri" w:cs="Calibri"/>
          <w:color w:val="000000" w:themeColor="text1"/>
          <w:lang w:val="en-US"/>
        </w:rPr>
        <w:t xml:space="preserve">, with terminal windows reflecting stabilized precursor or committed states (Fig. 4A, sky blue, red, green; &gt;75–99% homogeneous) and bifurcation-centered windows showing marked heterogeneity (Fig. 4A, purple: 49.7% ActB-4, 35.1% ActB-3, 13.1% ActB-2), capturing stochastic state transitions. Window-specific GRNs were then inferred and smoothed with a Gaussian kernel to obtain continuous, time-resolved mechanistic dynamics across </w:t>
      </w:r>
      <w:proofErr w:type="spellStart"/>
      <w:r w:rsidRPr="302B18D7">
        <w:rPr>
          <w:rFonts w:ascii="Calibri" w:hAnsi="Calibri" w:cs="Calibri"/>
          <w:color w:val="000000" w:themeColor="text1"/>
          <w:lang w:val="en-US"/>
        </w:rPr>
        <w:t>pseudotime</w:t>
      </w:r>
      <w:proofErr w:type="spellEnd"/>
      <w:r w:rsidRPr="302B18D7">
        <w:rPr>
          <w:rFonts w:ascii="Calibri" w:hAnsi="Calibri" w:cs="Calibri"/>
          <w:color w:val="000000" w:themeColor="text1"/>
          <w:lang w:val="en-US"/>
        </w:rPr>
        <w:t>.</w:t>
      </w:r>
    </w:p>
    <w:p w14:paraId="4B66F83C" w14:textId="77777777" w:rsidR="008515C4" w:rsidRPr="009658C3" w:rsidRDefault="008515C4" w:rsidP="008515C4">
      <w:pPr>
        <w:jc w:val="both"/>
        <w:rPr>
          <w:rFonts w:ascii="Calibri" w:hAnsi="Calibri" w:cs="Calibri"/>
          <w:color w:val="000000" w:themeColor="text1"/>
          <w:lang w:val="en-US"/>
        </w:rPr>
      </w:pPr>
    </w:p>
    <w:p w14:paraId="484E000C" w14:textId="77777777" w:rsidR="008515C4" w:rsidRDefault="008515C4" w:rsidP="008515C4">
      <w:pPr>
        <w:jc w:val="both"/>
        <w:rPr>
          <w:rFonts w:ascii="Calibri" w:hAnsi="Calibri" w:cs="Calibri"/>
          <w:color w:val="000000" w:themeColor="text1"/>
          <w:lang w:val="en-US"/>
        </w:rPr>
      </w:pPr>
      <w:r>
        <w:rPr>
          <w:rFonts w:ascii="Calibri" w:hAnsi="Calibri" w:cs="Calibri"/>
          <w:color w:val="000000" w:themeColor="text1"/>
          <w:lang w:val="en-US"/>
        </w:rPr>
        <w:t xml:space="preserve">Then we used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to identify transient regulatory events </w:t>
      </w:r>
      <w:r w:rsidRPr="009658C3">
        <w:rPr>
          <w:rFonts w:ascii="Calibri" w:hAnsi="Calibri" w:cs="Calibri"/>
          <w:color w:val="000000" w:themeColor="text1"/>
          <w:lang w:val="en-US"/>
        </w:rPr>
        <w:t>driv</w:t>
      </w:r>
      <w:r>
        <w:rPr>
          <w:rFonts w:ascii="Calibri" w:hAnsi="Calibri" w:cs="Calibri"/>
          <w:color w:val="000000" w:themeColor="text1"/>
          <w:lang w:val="en-US"/>
        </w:rPr>
        <w:t>ing</w:t>
      </w:r>
      <w:r w:rsidRPr="009658C3">
        <w:rPr>
          <w:rFonts w:ascii="Calibri" w:hAnsi="Calibri" w:cs="Calibri"/>
          <w:color w:val="000000" w:themeColor="text1"/>
          <w:lang w:val="en-US"/>
        </w:rPr>
        <w:t xml:space="preserve"> lineage commitment-</w:t>
      </w:r>
      <w:r>
        <w:rPr>
          <w:rFonts w:ascii="Calibri" w:hAnsi="Calibri" w:cs="Calibri"/>
          <w:color w:val="000000" w:themeColor="text1"/>
          <w:lang w:val="en-US"/>
        </w:rPr>
        <w:t>signals that are</w:t>
      </w:r>
      <w:r w:rsidRPr="009658C3">
        <w:rPr>
          <w:rFonts w:ascii="Calibri" w:hAnsi="Calibri" w:cs="Calibri"/>
          <w:color w:val="000000" w:themeColor="text1"/>
          <w:lang w:val="en-US"/>
        </w:rPr>
        <w:t xml:space="preserve"> invisible to static analyses</w:t>
      </w:r>
      <w:r>
        <w:rPr>
          <w:rFonts w:ascii="Calibri" w:hAnsi="Calibri" w:cs="Calibri"/>
          <w:color w:val="000000" w:themeColor="text1"/>
          <w:lang w:val="en-US"/>
        </w:rPr>
        <w:t xml:space="preserve">. By design,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integrates interpretable cellular programs with GRNs irrespective of how they are constructed. Here, integrating machine learning-prioritized PB-GC cellular programs with state-specific dynamic GRNs, </w:t>
      </w:r>
      <w:proofErr w:type="spellStart"/>
      <w:r>
        <w:rPr>
          <w:rFonts w:ascii="Calibri" w:hAnsi="Calibri" w:cs="Calibri"/>
          <w:color w:val="000000" w:themeColor="text1"/>
          <w:lang w:val="en-US"/>
        </w:rPr>
        <w:t>FIRFate</w:t>
      </w:r>
      <w:proofErr w:type="spellEnd"/>
      <w:r>
        <w:rPr>
          <w:rFonts w:ascii="Calibri" w:hAnsi="Calibri" w:cs="Calibri"/>
          <w:color w:val="000000" w:themeColor="text1"/>
          <w:lang w:val="en-US"/>
        </w:rPr>
        <w:t xml:space="preserve"> </w:t>
      </w:r>
      <w:r w:rsidRPr="009658C3">
        <w:rPr>
          <w:rFonts w:ascii="Calibri" w:hAnsi="Calibri" w:cs="Calibri"/>
          <w:color w:val="000000" w:themeColor="text1"/>
          <w:lang w:val="en-US"/>
        </w:rPr>
        <w:t>capture</w:t>
      </w:r>
      <w:r>
        <w:rPr>
          <w:rFonts w:ascii="Calibri" w:hAnsi="Calibri" w:cs="Calibri"/>
          <w:color w:val="000000" w:themeColor="text1"/>
          <w:lang w:val="en-US"/>
        </w:rPr>
        <w:t>d</w:t>
      </w:r>
      <w:r w:rsidRPr="009658C3">
        <w:rPr>
          <w:rFonts w:ascii="Calibri" w:hAnsi="Calibri" w:cs="Calibri"/>
          <w:color w:val="000000" w:themeColor="text1"/>
          <w:lang w:val="en-US"/>
        </w:rPr>
        <w:t xml:space="preserve"> not only changes </w:t>
      </w:r>
      <w:r>
        <w:rPr>
          <w:rFonts w:ascii="Calibri" w:hAnsi="Calibri" w:cs="Calibri"/>
          <w:color w:val="000000" w:themeColor="text1"/>
          <w:lang w:val="en-US"/>
        </w:rPr>
        <w:t xml:space="preserve">in </w:t>
      </w:r>
      <w:r w:rsidRPr="009658C3">
        <w:rPr>
          <w:rFonts w:ascii="Calibri" w:hAnsi="Calibri" w:cs="Calibri"/>
          <w:color w:val="000000" w:themeColor="text1"/>
          <w:lang w:val="en-US"/>
        </w:rPr>
        <w:t xml:space="preserve">TF expression but the episodic and hierarchical deployment of regulatory influence along </w:t>
      </w:r>
      <w:proofErr w:type="spellStart"/>
      <w:r w:rsidRPr="009658C3">
        <w:rPr>
          <w:rFonts w:ascii="Calibri" w:hAnsi="Calibri" w:cs="Calibri"/>
          <w:color w:val="000000" w:themeColor="text1"/>
          <w:lang w:val="en-US"/>
        </w:rPr>
        <w:t>pseudotime</w:t>
      </w:r>
      <w:proofErr w:type="spellEnd"/>
      <w:r w:rsidRPr="009658C3">
        <w:rPr>
          <w:rFonts w:ascii="Calibri" w:hAnsi="Calibri" w:cs="Calibri"/>
          <w:color w:val="000000" w:themeColor="text1"/>
          <w:lang w:val="en-US"/>
        </w:rPr>
        <w:t>.</w:t>
      </w:r>
      <w:r>
        <w:rPr>
          <w:rFonts w:ascii="Calibri" w:hAnsi="Calibri" w:cs="Calibri"/>
          <w:color w:val="000000" w:themeColor="text1"/>
          <w:lang w:val="en-US"/>
        </w:rPr>
        <w:t xml:space="preserve"> It provides </w:t>
      </w:r>
      <w:r w:rsidRPr="009658C3">
        <w:rPr>
          <w:rFonts w:ascii="Calibri" w:hAnsi="Calibri" w:cs="Calibri"/>
          <w:color w:val="000000" w:themeColor="text1"/>
          <w:lang w:val="en-US"/>
        </w:rPr>
        <w:t>biologically rooted priors</w:t>
      </w:r>
      <w:r>
        <w:rPr>
          <w:rFonts w:ascii="Calibri" w:hAnsi="Calibri" w:cs="Calibri"/>
          <w:color w:val="000000" w:themeColor="text1"/>
          <w:lang w:val="en-US"/>
        </w:rPr>
        <w:t xml:space="preserve"> that expose transient </w:t>
      </w:r>
      <w:r w:rsidRPr="009658C3">
        <w:rPr>
          <w:rFonts w:ascii="Calibri" w:hAnsi="Calibri" w:cs="Calibri"/>
          <w:color w:val="000000" w:themeColor="text1"/>
          <w:lang w:val="en-US"/>
        </w:rPr>
        <w:t>yet decisive regulatory events</w:t>
      </w:r>
      <w:r>
        <w:rPr>
          <w:rFonts w:ascii="Calibri" w:hAnsi="Calibri" w:cs="Calibri"/>
          <w:color w:val="000000" w:themeColor="text1"/>
          <w:lang w:val="en-US"/>
        </w:rPr>
        <w:t xml:space="preserve"> underlying </w:t>
      </w:r>
      <w:r w:rsidRPr="009658C3">
        <w:rPr>
          <w:rFonts w:ascii="Calibri" w:hAnsi="Calibri" w:cs="Calibri"/>
          <w:color w:val="000000" w:themeColor="text1"/>
          <w:lang w:val="en-US"/>
        </w:rPr>
        <w:t>lineage commitment</w:t>
      </w:r>
      <w:r>
        <w:rPr>
          <w:rFonts w:ascii="Calibri" w:hAnsi="Calibri" w:cs="Calibri"/>
          <w:color w:val="000000" w:themeColor="text1"/>
          <w:lang w:val="en-US"/>
        </w:rPr>
        <w:t>.</w:t>
      </w:r>
    </w:p>
    <w:p w14:paraId="73649590" w14:textId="77777777" w:rsidR="008515C4" w:rsidRPr="009658C3" w:rsidRDefault="008515C4" w:rsidP="008515C4">
      <w:pPr>
        <w:jc w:val="both"/>
        <w:rPr>
          <w:rFonts w:ascii="Calibri" w:hAnsi="Calibri" w:cs="Calibri"/>
          <w:color w:val="000000" w:themeColor="text1"/>
          <w:lang w:val="en-US"/>
        </w:rPr>
      </w:pPr>
    </w:p>
    <w:p w14:paraId="74CAA0E8" w14:textId="4E8EF7F0" w:rsidR="008515C4" w:rsidRPr="009658C3" w:rsidRDefault="008515C4" w:rsidP="008515C4">
      <w:pPr>
        <w:jc w:val="both"/>
        <w:rPr>
          <w:rFonts w:ascii="Calibri" w:hAnsi="Calibri" w:cs="Calibri"/>
          <w:color w:val="000000" w:themeColor="text1"/>
          <w:lang w:val="en-US"/>
        </w:rPr>
      </w:pPr>
      <w:r>
        <w:rPr>
          <w:rFonts w:ascii="Calibri" w:hAnsi="Calibri" w:cs="Calibri"/>
          <w:color w:val="000000" w:themeColor="text1"/>
          <w:lang w:val="en-US"/>
        </w:rPr>
        <w:t>In this system, a</w:t>
      </w:r>
      <w:r w:rsidRPr="009658C3">
        <w:rPr>
          <w:rFonts w:ascii="Calibri" w:hAnsi="Calibri" w:cs="Calibri"/>
          <w:color w:val="000000" w:themeColor="text1"/>
          <w:lang w:val="en-US"/>
        </w:rPr>
        <w:t>s ABCs differentiate into PB cells, lineage-defining TFs</w:t>
      </w:r>
      <w:r>
        <w:rPr>
          <w:rFonts w:ascii="Calibri" w:hAnsi="Calibri" w:cs="Calibri"/>
          <w:color w:val="000000" w:themeColor="text1"/>
          <w:lang w:val="en-US"/>
        </w:rPr>
        <w:t xml:space="preserve"> including </w:t>
      </w:r>
      <w:r w:rsidRPr="009658C3">
        <w:rPr>
          <w:rFonts w:ascii="Calibri" w:hAnsi="Calibri" w:cs="Calibri"/>
          <w:color w:val="000000" w:themeColor="text1"/>
          <w:lang w:val="en-US"/>
        </w:rPr>
        <w:t xml:space="preserve">IRF4, PRDM1, and XBP1-become increasingly expressed along the trajectory (Fig. 4C), consistent with their roles in plasma cell commitment. </w:t>
      </w:r>
      <w:r>
        <w:rPr>
          <w:rFonts w:ascii="Calibri" w:hAnsi="Calibri" w:cs="Calibri"/>
          <w:color w:val="000000" w:themeColor="text1"/>
          <w:lang w:val="en-US"/>
        </w:rPr>
        <w:t>H</w:t>
      </w:r>
      <w:r w:rsidRPr="009658C3">
        <w:rPr>
          <w:rFonts w:ascii="Calibri" w:hAnsi="Calibri" w:cs="Calibri"/>
          <w:color w:val="000000" w:themeColor="text1"/>
          <w:lang w:val="en-US"/>
        </w:rPr>
        <w:t>owever,</w:t>
      </w:r>
      <w:r w:rsidRPr="001D28EA">
        <w:t xml:space="preserve"> </w:t>
      </w:r>
      <w:r w:rsidRPr="001D28EA">
        <w:rPr>
          <w:rFonts w:ascii="Calibri" w:hAnsi="Calibri" w:cs="Calibri"/>
          <w:color w:val="000000" w:themeColor="text1"/>
          <w:lang w:val="en-US"/>
        </w:rPr>
        <w:t xml:space="preserve">Cell fate decisions are frequently governed by nonlinear gene regulatory dynamics in which </w:t>
      </w:r>
      <w:r>
        <w:rPr>
          <w:rFonts w:ascii="Calibri" w:hAnsi="Calibri" w:cs="Calibri"/>
          <w:color w:val="000000" w:themeColor="text1"/>
          <w:lang w:val="en-US"/>
        </w:rPr>
        <w:t>TFs</w:t>
      </w:r>
      <w:r w:rsidRPr="001D28EA">
        <w:rPr>
          <w:rFonts w:ascii="Calibri" w:hAnsi="Calibri" w:cs="Calibri"/>
          <w:color w:val="000000" w:themeColor="text1"/>
          <w:lang w:val="en-US"/>
        </w:rPr>
        <w:t xml:space="preserve"> exhibit </w:t>
      </w:r>
      <w:proofErr w:type="spellStart"/>
      <w:r w:rsidRPr="001D28EA">
        <w:rPr>
          <w:rFonts w:ascii="Calibri" w:hAnsi="Calibri" w:cs="Calibri"/>
          <w:color w:val="000000" w:themeColor="text1"/>
          <w:lang w:val="en-US"/>
        </w:rPr>
        <w:t>bistability</w:t>
      </w:r>
      <w:proofErr w:type="spellEnd"/>
      <w:r w:rsidRPr="001D28EA">
        <w:rPr>
          <w:rFonts w:ascii="Calibri" w:hAnsi="Calibri" w:cs="Calibri"/>
          <w:color w:val="000000" w:themeColor="text1"/>
          <w:lang w:val="en-US"/>
        </w:rPr>
        <w:t xml:space="preserve"> and threshold-like responses, producing rapid, switch-like transitions between regulatory states rather than smooth, gradual changes</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{"citationID":"M65D9iYx","properties":{"formattedCitation":"\\super 46\\nosupersub{}","plainCitation":"46","noteIndex":0},"citationItems":[{"id":2726,"uris":["http://zotero.org/groups/6337619/items/H2GXKVQH"],"itemData":{"id":2726,"type":"article-journal","abstract":"During cell differentiation, identical pluripotent cells undergo a specification process marked by changes in the expression of key genes, regulated by transcription factors that can inhibit the transcription of a competing gene or activate their own transcription. This specification is orchestrated by gene regulatory networks (GRNs), encompassing transcription factors, biochemical reactions, and signalling cascades. Mathematical models for these GRNs have been proposed in various contexts, to replicate observed robustness in differentiation properties. This includes reproducible proportions of differentiated cells with respect to parametric or stochastic noise and the avoidance of transitions between differentiated states. Understanding the GRN components controlling these features is crucial. Our study thoroughly explored an extended version of the Toggle Switch model with auto-activation loops. This model represents cells evolving from common progenitors in one out of two fates (\n              \n                A\n              \n              or\n              \n                B\n              \n              , bistable regime) or, additionally, remaining in their progenitor state (\n              \n                C\n              \n              , tristable regime). Such a differentiation into populations with three distinct cell fates is observed during blastocyst formation in mammals, where inner cell mass cells can remain in that state or differentiate into epiblast cells or primitive endoderm. Systematic analysis revealed that the existence of a stable non-differentiated state significantly impacts the GRN’s robustness against parametric variations and stochastic noise. This state reduces the sensitivity of cell populations to parameters controlling key gene expression asymmetry and prevents cells from making transitions after acquiring a new identity. Stochastic noise enhances robustness by decreasing sensitivity to initial expression levels and helping the system escape from the non-differentiated state to differentiated cell fates, making the differentiation more efficient.","container-title":"PLOS ONE","DOI":"10.1371/journal.pone.0316666","ISSN":"1932-6203","issue":"3","journalAbbreviation":"PLoS ONE","language":"en","page":"e0316666","source":"DOI.org (Crossref)","title":"Role of tristability in the robustness of the differentiation mechanism","volume":"20","author":[{"family":"Robert","given":"Corentin"},{"family":"Prista Von Bonhorst","given":"Francisco"},{"family":"Dupont","given":"Geneviève"},{"family":"Gonze","given":"Didier"},{"family":"De Decker","given":"Yannick"}],"editor":[{"family":"Kryven","given":"Ivan"}],"issued":{"date-parts":[["2025",3,19]]}}}],"schema":"https://github.com/citation-style-language/schema/raw/master/csl-citation.json"}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46</w:t>
      </w:r>
      <w:r>
        <w:rPr>
          <w:rFonts w:ascii="Calibri" w:hAnsi="Calibri" w:cs="Calibri"/>
          <w:color w:val="000000" w:themeColor="text1"/>
          <w:lang w:val="en-US"/>
        </w:rPr>
        <w:fldChar w:fldCharType="end"/>
      </w:r>
      <w:r w:rsidRPr="00B77E96">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These TFs display an unexpected biphasic pattern: an early </w:t>
      </w:r>
      <w:r>
        <w:rPr>
          <w:rFonts w:ascii="Calibri" w:hAnsi="Calibri" w:cs="Calibri"/>
          <w:color w:val="000000" w:themeColor="text1"/>
          <w:lang w:val="en-US"/>
        </w:rPr>
        <w:t>regulatory activation</w:t>
      </w:r>
      <w:r w:rsidRPr="009658C3">
        <w:rPr>
          <w:rFonts w:ascii="Calibri" w:hAnsi="Calibri" w:cs="Calibri"/>
          <w:color w:val="000000" w:themeColor="text1"/>
          <w:lang w:val="en-US"/>
        </w:rPr>
        <w:t xml:space="preserve"> at the bifurcation node </w:t>
      </w:r>
      <w:r>
        <w:rPr>
          <w:rFonts w:ascii="Calibri" w:hAnsi="Calibri" w:cs="Calibri"/>
          <w:color w:val="000000" w:themeColor="text1"/>
          <w:lang w:val="en-US"/>
        </w:rPr>
        <w:t xml:space="preserve">which </w:t>
      </w:r>
      <w:r w:rsidRPr="009658C3">
        <w:rPr>
          <w:rFonts w:ascii="Calibri" w:hAnsi="Calibri" w:cs="Calibri"/>
          <w:color w:val="000000" w:themeColor="text1"/>
          <w:lang w:val="en-US"/>
        </w:rPr>
        <w:t>seeds lineage bias, a dip in the early PB state follows, and a second peak during late differentiation consolidates terminal identity (Fig. 4D). Integrating expression and regulatory activity reveals a hierarchical cascade of three major regulatory waves during and after bifurcation (Fig. 4E).</w:t>
      </w:r>
    </w:p>
    <w:p w14:paraId="1C8BDE31" w14:textId="77777777" w:rsidR="008515C4" w:rsidRPr="009658C3" w:rsidRDefault="008515C4" w:rsidP="008515C4">
      <w:pPr>
        <w:jc w:val="both"/>
        <w:rPr>
          <w:rFonts w:ascii="Calibri" w:hAnsi="Calibri" w:cs="Calibri"/>
          <w:color w:val="000000" w:themeColor="text1"/>
          <w:lang w:val="en-US"/>
        </w:rPr>
      </w:pPr>
    </w:p>
    <w:p w14:paraId="3CD7C5A8" w14:textId="4620D131" w:rsidR="008515C4" w:rsidRPr="009658C3" w:rsidRDefault="008515C4" w:rsidP="008515C4">
      <w:pPr>
        <w:jc w:val="both"/>
        <w:rPr>
          <w:rFonts w:ascii="Calibri" w:hAnsi="Calibri" w:cs="Calibri"/>
          <w:color w:val="000000" w:themeColor="text1"/>
          <w:lang w:val="en-US"/>
        </w:rPr>
      </w:pPr>
      <w:r w:rsidRPr="00835828">
        <w:rPr>
          <w:rFonts w:ascii="Calibri" w:hAnsi="Calibri" w:cs="Calibri"/>
          <w:color w:val="000000" w:themeColor="text1"/>
          <w:lang w:val="en-US"/>
        </w:rPr>
        <w:t>The first wave</w:t>
      </w:r>
      <w:r>
        <w:rPr>
          <w:rFonts w:ascii="Calibri" w:hAnsi="Calibri" w:cs="Calibri"/>
          <w:color w:val="000000" w:themeColor="text1"/>
          <w:lang w:val="en-US"/>
        </w:rPr>
        <w:t xml:space="preserve"> </w:t>
      </w:r>
      <w:r w:rsidRPr="00835828">
        <w:rPr>
          <w:rFonts w:ascii="Calibri" w:hAnsi="Calibri" w:cs="Calibri"/>
          <w:color w:val="000000" w:themeColor="text1"/>
          <w:lang w:val="en-US"/>
        </w:rPr>
        <w:t>highlights a previously unrecognized CREB3L2 activation of RUNX2, which in turn activates PRDM1, initiating the effector differentiation program.</w:t>
      </w:r>
      <w:r>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CREB3L2 and RUNX2 drive PRDM1 induction, marking the initial shift from activated state toward PB commitment. </w:t>
      </w:r>
      <w:r>
        <w:rPr>
          <w:rFonts w:ascii="Calibri" w:hAnsi="Calibri" w:cs="Calibri"/>
          <w:color w:val="000000" w:themeColor="text1"/>
          <w:lang w:val="en-US"/>
        </w:rPr>
        <w:t xml:space="preserve">Furthermore, </w:t>
      </w:r>
      <w:r w:rsidRPr="009658C3">
        <w:rPr>
          <w:rFonts w:ascii="Calibri" w:hAnsi="Calibri" w:cs="Calibri"/>
          <w:color w:val="000000" w:themeColor="text1"/>
          <w:lang w:val="en-US"/>
        </w:rPr>
        <w:t>exit from the activated state</w:t>
      </w:r>
      <w:r>
        <w:rPr>
          <w:rFonts w:ascii="Calibri" w:hAnsi="Calibri" w:cs="Calibri"/>
          <w:color w:val="000000" w:themeColor="text1"/>
          <w:lang w:val="en-US"/>
        </w:rPr>
        <w:t xml:space="preserve"> and</w:t>
      </w:r>
      <w:r w:rsidRPr="009658C3">
        <w:rPr>
          <w:rFonts w:ascii="Calibri" w:hAnsi="Calibri" w:cs="Calibri"/>
          <w:color w:val="000000" w:themeColor="text1"/>
          <w:lang w:val="en-US"/>
        </w:rPr>
        <w:t xml:space="preserve"> activation of the plasma cell program through relief of BACH2-mediated repression of XBP1 </w:t>
      </w:r>
      <w:r>
        <w:rPr>
          <w:rFonts w:ascii="Calibri" w:hAnsi="Calibri" w:cs="Calibri"/>
          <w:color w:val="000000" w:themeColor="text1"/>
          <w:lang w:val="en-US"/>
        </w:rPr>
        <w:t>is evident in this wave</w:t>
      </w:r>
      <w:r w:rsidRPr="00835828">
        <w:rPr>
          <w:rFonts w:ascii="Calibri" w:hAnsi="Calibri" w:cs="Calibri"/>
          <w:color w:val="000000" w:themeColor="text1"/>
          <w:lang w:val="en-US"/>
        </w:rPr>
        <w:t xml:space="preserve"> (Fig. 4E, top)</w:t>
      </w:r>
      <w:r>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The second wave is </w:t>
      </w:r>
      <w:r>
        <w:rPr>
          <w:rFonts w:ascii="Calibri" w:hAnsi="Calibri" w:cs="Calibri"/>
          <w:color w:val="000000" w:themeColor="text1"/>
          <w:lang w:val="en-US"/>
        </w:rPr>
        <w:t>mostly engaged with IRF4 activity including</w:t>
      </w:r>
      <w:r w:rsidRPr="009658C3">
        <w:rPr>
          <w:rFonts w:ascii="Calibri" w:hAnsi="Calibri" w:cs="Calibri"/>
          <w:color w:val="000000" w:themeColor="text1"/>
          <w:lang w:val="en-US"/>
        </w:rPr>
        <w:t xml:space="preserve"> </w:t>
      </w:r>
      <w:r>
        <w:rPr>
          <w:rFonts w:ascii="Calibri" w:hAnsi="Calibri" w:cs="Calibri"/>
          <w:color w:val="000000" w:themeColor="text1"/>
          <w:lang w:val="en-US"/>
        </w:rPr>
        <w:t>activation of</w:t>
      </w:r>
      <w:r w:rsidRPr="008B6608">
        <w:rPr>
          <w:rFonts w:ascii="Calibri" w:hAnsi="Calibri" w:cs="Calibri"/>
          <w:color w:val="000000" w:themeColor="text1"/>
          <w:lang w:val="en-US"/>
        </w:rPr>
        <w:t xml:space="preserve"> PRDM1</w:t>
      </w:r>
      <w:r>
        <w:rPr>
          <w:rFonts w:ascii="Calibri" w:hAnsi="Calibri" w:cs="Calibri"/>
          <w:color w:val="000000" w:themeColor="text1"/>
          <w:lang w:val="en-US"/>
        </w:rPr>
        <w:t xml:space="preserve"> and ELL2</w:t>
      </w:r>
      <w:r w:rsidRPr="009658C3">
        <w:rPr>
          <w:rFonts w:ascii="Calibri" w:hAnsi="Calibri" w:cs="Calibri"/>
          <w:color w:val="000000" w:themeColor="text1"/>
          <w:lang w:val="en-US"/>
        </w:rPr>
        <w:t>, which stabilize the PB transcriptional state and potentiate antibody-secreting functions</w:t>
      </w:r>
      <w:r>
        <w:rPr>
          <w:rFonts w:ascii="Calibri" w:hAnsi="Calibri" w:cs="Calibri"/>
          <w:color w:val="000000" w:themeColor="text1"/>
          <w:lang w:val="en-US"/>
        </w:rPr>
        <w:fldChar w:fldCharType="begin"/>
      </w:r>
      <w:r w:rsidR="00BD6670">
        <w:rPr>
          <w:rFonts w:ascii="Calibri" w:hAnsi="Calibri" w:cs="Calibri"/>
          <w:color w:val="000000" w:themeColor="text1"/>
          <w:lang w:val="en-US"/>
        </w:rPr>
        <w:instrText xml:space="preserve"> ADDIN ZOTERO_ITEM CSL_CITATION {"citationID":"vAm2gA0D","properties":{"formattedCitation":"\\super 47\\nosupersub{}","plainCitation":"47","noteIndex":0},"citationItems":[{"id":2636,"uris":["http://zotero.org/groups/6337619/items/PYQK8NLE"],"itemData":{"id":2636,"type":"article-journal","abstract":"ELL2 was previously discovered as a member of the Super Elongation Complex. It is involved in driving the maturation of B cells to plasma cells through shifting patterns of RNA processing, favoring generation of the secretory form of heavy chain immunoglobulin (IgH) associated with plasma cells. ELL2 influences the expression and splicing patterns of more than 4,000 genes in antibody secreting cells. The ELL2 gene has been implicated in cancers such as multiple myeloma and salivary gland carcinoma. A member of the ELL family (ELL1) was recently proven to act as an E3 ubiquitin ligase to known proto-oncogene, c-Myc, through a highly conserved cysteine residue in the C-terminal CEYLH region. Comparison of sequence homology shows this region is conserved between the three members of the ELL family, leading us to hypothesize that the other two ELLs (2 and 3) could serve the same role. In this review, we summarize what is known about ELL2 with respect to its role in driving B cell to plasma cell differentiation as well as its potential role in tumor suppression.","container-title":"Journal of Mucosal Immunology Research","issue":"1","journalAbbreviation":"J Mucosal Immunol Res","language":"eng","page":"112","PMID":"31930204","PMCID":"PMC6953911","source":"PubMed","title":"ELL2 Influences Transcription Elongation, Splicing, Ig Secretion and Growth","volume":"3","author":[{"family":"Ghobrial","given":"Anthony"},{"family":"Flick","given":"Nathaniel"},{"family":"Daly","given":"Ryan"},{"family":"Hoffman","given":"Malcolm"},{"family":"Milcarek","given":"Christine"}],"issued":{"date-parts":[["2019"]]}}}],"schema":"https://github.com/citation-style-language/schema/raw/master/csl-citation.json"} </w:instrText>
      </w:r>
      <w:r>
        <w:rPr>
          <w:rFonts w:ascii="Calibri"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47</w:t>
      </w:r>
      <w:r>
        <w:rPr>
          <w:rFonts w:ascii="Calibri" w:hAnsi="Calibri" w:cs="Calibri"/>
          <w:color w:val="000000" w:themeColor="text1"/>
          <w:lang w:val="en-US"/>
        </w:rPr>
        <w:fldChar w:fldCharType="end"/>
      </w:r>
      <w:r>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(Fig. 4E, middle). The </w:t>
      </w:r>
      <w:r>
        <w:rPr>
          <w:rFonts w:ascii="Calibri" w:hAnsi="Calibri" w:cs="Calibri"/>
          <w:color w:val="000000" w:themeColor="text1"/>
          <w:lang w:val="en-US"/>
        </w:rPr>
        <w:t>final</w:t>
      </w:r>
      <w:r w:rsidRPr="009658C3">
        <w:rPr>
          <w:rFonts w:ascii="Calibri" w:hAnsi="Calibri" w:cs="Calibri"/>
          <w:color w:val="000000" w:themeColor="text1"/>
          <w:lang w:val="en-US"/>
        </w:rPr>
        <w:t xml:space="preserve"> wave </w:t>
      </w:r>
      <w:r>
        <w:rPr>
          <w:rFonts w:ascii="Calibri" w:hAnsi="Calibri" w:cs="Calibri"/>
          <w:color w:val="000000" w:themeColor="text1"/>
          <w:lang w:val="en-US"/>
        </w:rPr>
        <w:t>is dominated by the regulatory effects of PRDM1 and XBP1. While PRDM1 activates IRF4, f</w:t>
      </w:r>
      <w:r w:rsidRPr="009658C3">
        <w:rPr>
          <w:rFonts w:ascii="Calibri" w:hAnsi="Calibri" w:cs="Calibri"/>
          <w:color w:val="000000" w:themeColor="text1"/>
          <w:lang w:val="en-US"/>
        </w:rPr>
        <w:t>ully derepressed XBP1</w:t>
      </w:r>
      <w:r>
        <w:rPr>
          <w:rFonts w:ascii="Calibri" w:hAnsi="Calibri" w:cs="Calibri"/>
          <w:color w:val="000000" w:themeColor="text1"/>
          <w:lang w:val="en-US"/>
        </w:rPr>
        <w:t>,</w:t>
      </w:r>
      <w:r w:rsidRPr="009658C3">
        <w:rPr>
          <w:rFonts w:ascii="Calibri" w:hAnsi="Calibri" w:cs="Calibri"/>
          <w:color w:val="000000" w:themeColor="text1"/>
          <w:lang w:val="en-US"/>
        </w:rPr>
        <w:t xml:space="preserve"> </w:t>
      </w:r>
      <w:r>
        <w:rPr>
          <w:rFonts w:ascii="Calibri" w:hAnsi="Calibri" w:cs="Calibri"/>
          <w:color w:val="000000" w:themeColor="text1"/>
          <w:lang w:val="en-US"/>
        </w:rPr>
        <w:t>regulates</w:t>
      </w:r>
      <w:r w:rsidRPr="009658C3">
        <w:rPr>
          <w:rFonts w:ascii="Calibri" w:hAnsi="Calibri" w:cs="Calibri"/>
          <w:color w:val="000000" w:themeColor="text1"/>
          <w:lang w:val="en-US"/>
        </w:rPr>
        <w:t xml:space="preserve"> PPIB, TXNDC11, and HSP90B1, engaging late-stage secretory machinery required for mature plasma cell function.</w:t>
      </w:r>
      <w:r w:rsidRPr="00577E3C">
        <w:rPr>
          <w:rFonts w:ascii="Calibri" w:hAnsi="Calibri" w:cs="Calibri"/>
          <w:color w:val="000000" w:themeColor="text1"/>
          <w:lang w:val="en-US"/>
        </w:rPr>
        <w:t xml:space="preserve"> </w:t>
      </w:r>
      <w:r w:rsidRPr="009658C3">
        <w:rPr>
          <w:rFonts w:ascii="Calibri" w:hAnsi="Calibri" w:cs="Calibri"/>
          <w:color w:val="000000" w:themeColor="text1"/>
          <w:lang w:val="en-US"/>
        </w:rPr>
        <w:t>A striking finding is the temporal split of the RUNX2–PRDM1 feed-forward loop: RUNX2 enhances PRDM1 in the first wave (Fig. 4E, top), whereas in the third wave PRDM1 augments RUNX2 activity (Fig. 4E, bottom). Although RUNX2 and PRDM1 are well-studied in PB fate, this reciprocal structure is invisible to static regulons and emerges only from dynamic modeling.</w:t>
      </w:r>
    </w:p>
    <w:p w14:paraId="3CC69F4A" w14:textId="77777777" w:rsidR="008515C4" w:rsidRPr="009658C3" w:rsidRDefault="008515C4" w:rsidP="008515C4">
      <w:pPr>
        <w:jc w:val="both"/>
        <w:rPr>
          <w:rFonts w:ascii="Calibri" w:hAnsi="Calibri" w:cs="Calibri"/>
          <w:color w:val="000000" w:themeColor="text1"/>
          <w:lang w:val="en-US"/>
        </w:rPr>
      </w:pPr>
    </w:p>
    <w:p w14:paraId="2AD9AAE2" w14:textId="77777777" w:rsidR="008515C4" w:rsidRPr="009658C3" w:rsidRDefault="008515C4" w:rsidP="008515C4">
      <w:pPr>
        <w:jc w:val="both"/>
        <w:rPr>
          <w:rFonts w:ascii="Calibri" w:hAnsi="Calibri" w:cs="Calibri"/>
          <w:color w:val="000000" w:themeColor="text1"/>
          <w:lang w:val="en-US"/>
        </w:rPr>
      </w:pPr>
      <w:r w:rsidRPr="009658C3">
        <w:rPr>
          <w:rFonts w:ascii="Calibri" w:hAnsi="Calibri" w:cs="Calibri"/>
          <w:color w:val="000000" w:themeColor="text1"/>
          <w:lang w:val="en-US"/>
        </w:rPr>
        <w:t>Mirroring the PB results, the GC branch exhibits tightly ordered regulatory architecture, but with a strikingly repression-centric dynamic. Early in bifurcation, IRF4, NFKB1, and CREB3L2 show minimal expression change before declining as cells commit to GC fate, whereas PAX5 and BATF rise near bifurcation, consistent with their roles in establishing GC identity (Fig. 4</w:t>
      </w:r>
      <w:r>
        <w:rPr>
          <w:rFonts w:ascii="Calibri" w:hAnsi="Calibri" w:cs="Calibri"/>
          <w:color w:val="000000" w:themeColor="text1"/>
          <w:lang w:val="en-US"/>
        </w:rPr>
        <w:t>F</w:t>
      </w:r>
      <w:r w:rsidRPr="009658C3">
        <w:rPr>
          <w:rFonts w:ascii="Calibri" w:hAnsi="Calibri" w:cs="Calibri"/>
          <w:color w:val="000000" w:themeColor="text1"/>
          <w:lang w:val="en-US"/>
        </w:rPr>
        <w:t xml:space="preserve">). Regulatory activity echoes this structure: PRDM1 loses influence after bifurcation, while CREB3L2 and IRF4 show minimal activity change across </w:t>
      </w:r>
      <w:proofErr w:type="spellStart"/>
      <w:r w:rsidRPr="009658C3">
        <w:rPr>
          <w:rFonts w:ascii="Calibri" w:hAnsi="Calibri" w:cs="Calibri"/>
          <w:color w:val="000000" w:themeColor="text1"/>
          <w:lang w:val="en-US"/>
        </w:rPr>
        <w:t>pseudotime</w:t>
      </w:r>
      <w:proofErr w:type="spellEnd"/>
      <w:r w:rsidRPr="009658C3">
        <w:rPr>
          <w:rFonts w:ascii="Calibri" w:hAnsi="Calibri" w:cs="Calibri"/>
          <w:color w:val="000000" w:themeColor="text1"/>
          <w:lang w:val="en-US"/>
        </w:rPr>
        <w:t xml:space="preserve"> (Fig. 4</w:t>
      </w:r>
      <w:r>
        <w:rPr>
          <w:rFonts w:ascii="Calibri" w:hAnsi="Calibri" w:cs="Calibri"/>
          <w:color w:val="000000" w:themeColor="text1"/>
          <w:lang w:val="en-US"/>
        </w:rPr>
        <w:t>G</w:t>
      </w:r>
      <w:r w:rsidRPr="009658C3">
        <w:rPr>
          <w:rFonts w:ascii="Calibri" w:hAnsi="Calibri" w:cs="Calibri"/>
          <w:color w:val="000000" w:themeColor="text1"/>
          <w:lang w:val="en-US"/>
        </w:rPr>
        <w:t>). Around early GC, NFKB1 and BATF activity drops while PAX5 regulatory activity peaks, possibly blocking PB lineage. PAX5 dips at trajectory end reflect GC B-cell stabilization.</w:t>
      </w:r>
    </w:p>
    <w:p w14:paraId="7B7D6123" w14:textId="77777777" w:rsidR="008515C4" w:rsidRPr="009658C3" w:rsidRDefault="008515C4" w:rsidP="008515C4">
      <w:pPr>
        <w:jc w:val="both"/>
        <w:rPr>
          <w:rFonts w:ascii="Calibri" w:hAnsi="Calibri" w:cs="Calibri"/>
          <w:color w:val="000000" w:themeColor="text1"/>
          <w:lang w:val="en-US"/>
        </w:rPr>
      </w:pPr>
    </w:p>
    <w:p w14:paraId="14046F08" w14:textId="77777777" w:rsidR="008515C4" w:rsidRPr="009658C3" w:rsidRDefault="008515C4" w:rsidP="008515C4">
      <w:pPr>
        <w:spacing w:after="240"/>
        <w:jc w:val="both"/>
        <w:rPr>
          <w:rFonts w:ascii="Calibri" w:hAnsi="Calibri" w:cs="Calibri"/>
          <w:color w:val="000000" w:themeColor="text1"/>
          <w:lang w:val="en-US"/>
        </w:rPr>
      </w:pPr>
      <w:r w:rsidRPr="302B18D7">
        <w:rPr>
          <w:rFonts w:ascii="Calibri" w:hAnsi="Calibri" w:cs="Calibri"/>
          <w:color w:val="000000" w:themeColor="text1"/>
          <w:lang w:val="en-US"/>
        </w:rPr>
        <w:t xml:space="preserve">The surprise emerges when expression and regulation are integrated into dynamic GRN (Fig. 4H): GC commitment advances through sequential repression-driven waves, in sharp contrast to the mixed activating and reinforcing waves in </w:t>
      </w:r>
      <w:r w:rsidRPr="302B18D7">
        <w:rPr>
          <w:rFonts w:ascii="Calibri" w:hAnsi="Calibri" w:cs="Calibri"/>
          <w:color w:val="000000" w:themeColor="text1"/>
          <w:lang w:val="en-US"/>
        </w:rPr>
        <w:lastRenderedPageBreak/>
        <w:t xml:space="preserve">the PB branch. </w:t>
      </w:r>
      <w:r w:rsidRPr="302B18D7">
        <w:rPr>
          <w:rFonts w:ascii="Calibri" w:eastAsia="Calibri" w:hAnsi="Calibri" w:cs="Calibri"/>
          <w:lang w:val="en-US"/>
        </w:rPr>
        <w:t xml:space="preserve">In GC - In the first wave, approximately 66% of the regulatory interactions (4 out of 6) were repressive. In second wave, 80% (4 out of 5) of the regulations were repressive. To classify each regulation as activating or repressive, we examined the sign of TF forces across five consecutive </w:t>
      </w:r>
      <w:proofErr w:type="spellStart"/>
      <w:r w:rsidRPr="302B18D7">
        <w:rPr>
          <w:rFonts w:ascii="Calibri" w:eastAsia="Calibri" w:hAnsi="Calibri" w:cs="Calibri"/>
          <w:lang w:val="en-US"/>
        </w:rPr>
        <w:t>pseudotime</w:t>
      </w:r>
      <w:proofErr w:type="spellEnd"/>
      <w:r w:rsidRPr="302B18D7">
        <w:rPr>
          <w:rFonts w:ascii="Calibri" w:eastAsia="Calibri" w:hAnsi="Calibri" w:cs="Calibri"/>
          <w:lang w:val="en-US"/>
        </w:rPr>
        <w:t xml:space="preserve"> windows where regulatory activity was most pronounced. These windows were identified by selecting regions with the highest absolute force values, determined using </w:t>
      </w:r>
      <w:proofErr w:type="spellStart"/>
      <w:r w:rsidRPr="302B18D7">
        <w:rPr>
          <w:rFonts w:ascii="Calibri" w:eastAsia="Calibri" w:hAnsi="Calibri" w:cs="Calibri"/>
          <w:lang w:val="en-US"/>
        </w:rPr>
        <w:t>softmax</w:t>
      </w:r>
      <w:proofErr w:type="spellEnd"/>
      <w:r w:rsidRPr="302B18D7">
        <w:rPr>
          <w:rFonts w:ascii="Calibri" w:eastAsia="Calibri" w:hAnsi="Calibri" w:cs="Calibri"/>
          <w:lang w:val="en-US"/>
        </w:rPr>
        <w:t xml:space="preserve"> normalization.</w:t>
      </w:r>
      <w:r w:rsidRPr="302B18D7">
        <w:rPr>
          <w:rFonts w:ascii="Calibri" w:hAnsi="Calibri" w:cs="Calibri"/>
          <w:color w:val="000000" w:themeColor="text1"/>
          <w:lang w:val="en-US"/>
        </w:rPr>
        <w:t xml:space="preserve"> </w:t>
      </w:r>
    </w:p>
    <w:p w14:paraId="09244E5E" w14:textId="77777777" w:rsidR="008515C4" w:rsidRPr="009658C3" w:rsidRDefault="008515C4" w:rsidP="008515C4">
      <w:pPr>
        <w:jc w:val="both"/>
        <w:rPr>
          <w:rFonts w:ascii="Calibri" w:hAnsi="Calibri" w:cs="Calibri"/>
          <w:color w:val="000000" w:themeColor="text1"/>
          <w:lang w:val="en-US"/>
        </w:rPr>
      </w:pPr>
      <w:r w:rsidRPr="302B18D7">
        <w:rPr>
          <w:rFonts w:ascii="Calibri" w:hAnsi="Calibri" w:cs="Calibri"/>
          <w:color w:val="000000" w:themeColor="text1"/>
          <w:lang w:val="en-US"/>
        </w:rPr>
        <w:t>The first wave comprises early repression-most notably inhibition of PAX5 by IRF4 within the activated B-cell state, while IRF4 along with NFKB1 simultaneously activate GC-promoting factor AFF3, initiating the early GC program (Fig. 4H, top). As cells transition from activated day 3–4 into early GC, repression of PAX5 eases, followed by a regulatory handoff in which NFKB1 starts to activating PAX5, enabling suppression of PRDM1 and blockade of PB fate (Fig. 4H, center). This repression-dominated cascade locks in GC identity while actively preventing effector differentiation, revealing a dynamic architecture fundamentally and unexpectedly distinct from the PB trajectory (Fig. 4H).</w:t>
      </w:r>
    </w:p>
    <w:p w14:paraId="50DF1210" w14:textId="77777777" w:rsidR="008515C4" w:rsidRPr="009658C3" w:rsidRDefault="008515C4" w:rsidP="008515C4">
      <w:pPr>
        <w:jc w:val="both"/>
        <w:rPr>
          <w:rFonts w:ascii="Calibri" w:hAnsi="Calibri" w:cs="Calibri"/>
          <w:color w:val="000000" w:themeColor="text1"/>
        </w:rPr>
      </w:pPr>
    </w:p>
    <w:p w14:paraId="18C4C635" w14:textId="77777777" w:rsidR="008515C4" w:rsidRPr="009658C3" w:rsidRDefault="008515C4" w:rsidP="008515C4">
      <w:pPr>
        <w:jc w:val="both"/>
        <w:rPr>
          <w:rFonts w:ascii="Calibri" w:hAnsi="Calibri" w:cs="Calibri"/>
          <w:color w:val="000000" w:themeColor="text1"/>
          <w:lang w:val="en-US"/>
        </w:rPr>
      </w:pPr>
      <w:proofErr w:type="spellStart"/>
      <w:r w:rsidRPr="6C4092E4">
        <w:rPr>
          <w:rFonts w:ascii="Calibri" w:hAnsi="Calibri" w:cs="Calibri"/>
          <w:color w:val="000000" w:themeColor="text1"/>
          <w:lang w:val="en-US"/>
        </w:rPr>
        <w:t>FIREFate</w:t>
      </w:r>
      <w:proofErr w:type="spellEnd"/>
      <w:r w:rsidRPr="6C4092E4">
        <w:rPr>
          <w:rFonts w:ascii="Calibri" w:hAnsi="Calibri" w:cs="Calibri"/>
          <w:color w:val="000000" w:themeColor="text1"/>
          <w:lang w:val="en-US"/>
        </w:rPr>
        <w:t xml:space="preserve"> moves beyond tracking single-gene trajectories to quantify how entire cellular programs are rewired over time. By embedding time-resolved regulatory information and focusing on edges invariant across episodic windows, it captures the episodic deployment of regulatory authority rather than a static snapshot (Extended Fig. 2A</w:t>
      </w:r>
      <w:r>
        <w:rPr>
          <w:rFonts w:ascii="Calibri" w:hAnsi="Calibri" w:cs="Calibri"/>
          <w:color w:val="000000" w:themeColor="text1"/>
          <w:lang w:val="en-US"/>
        </w:rPr>
        <w:t>-D).</w:t>
      </w:r>
      <w:r w:rsidRPr="6C4092E4">
        <w:rPr>
          <w:rFonts w:ascii="Calibri" w:hAnsi="Calibri" w:cs="Calibri"/>
          <w:color w:val="000000" w:themeColor="text1"/>
          <w:lang w:val="en-US"/>
        </w:rPr>
        <w:t xml:space="preserve"> To interrogate this evolution systematically, transcription factors were classified into four wave-like patterns along </w:t>
      </w:r>
      <w:proofErr w:type="spellStart"/>
      <w:r w:rsidRPr="6C4092E4">
        <w:rPr>
          <w:rFonts w:ascii="Calibri" w:hAnsi="Calibri" w:cs="Calibri"/>
          <w:color w:val="000000" w:themeColor="text1"/>
          <w:lang w:val="en-US"/>
        </w:rPr>
        <w:t>pseudotime</w:t>
      </w:r>
      <w:proofErr w:type="spellEnd"/>
      <w:r w:rsidRPr="6C4092E4">
        <w:rPr>
          <w:rFonts w:ascii="Calibri" w:hAnsi="Calibri" w:cs="Calibri"/>
          <w:color w:val="000000" w:themeColor="text1"/>
          <w:lang w:val="en-US"/>
        </w:rPr>
        <w:t>: terminally upregulated, terminally downregulated, transiently upregulated, and transiently downregulated.</w:t>
      </w:r>
    </w:p>
    <w:p w14:paraId="4FF4A34A" w14:textId="77777777" w:rsidR="008515C4" w:rsidRDefault="008515C4" w:rsidP="008515C4">
      <w:pPr>
        <w:jc w:val="both"/>
        <w:rPr>
          <w:rFonts w:ascii="Calibri" w:hAnsi="Calibri" w:cs="Calibri"/>
          <w:color w:val="000000" w:themeColor="text1"/>
        </w:rPr>
      </w:pPr>
    </w:p>
    <w:p w14:paraId="77292505" w14:textId="77777777" w:rsidR="008515C4" w:rsidRDefault="008515C4" w:rsidP="008515C4">
      <w:pPr>
        <w:jc w:val="both"/>
        <w:rPr>
          <w:rFonts w:ascii="Calibri" w:hAnsi="Calibri" w:cs="Calibri"/>
          <w:color w:val="000000" w:themeColor="text1"/>
          <w:lang w:val="en-US"/>
        </w:rPr>
      </w:pPr>
      <w:r w:rsidRPr="6C4092E4">
        <w:rPr>
          <w:rFonts w:ascii="Calibri" w:hAnsi="Calibri" w:cs="Calibri"/>
          <w:color w:val="000000" w:themeColor="text1"/>
          <w:lang w:val="en-US"/>
        </w:rPr>
        <w:t>The first three patterns exhibited strong effect sizes for PB and GC bifurcation, showing that both persistent and transient regulatory activities are essential for fate commitment</w:t>
      </w:r>
      <w:r>
        <w:rPr>
          <w:rFonts w:ascii="Calibri" w:hAnsi="Calibri" w:cs="Calibri"/>
          <w:color w:val="000000" w:themeColor="text1"/>
          <w:lang w:val="en-US"/>
        </w:rPr>
        <w:t xml:space="preserve">. </w:t>
      </w:r>
      <w:r w:rsidRPr="6C4092E4">
        <w:rPr>
          <w:rFonts w:ascii="Calibri" w:hAnsi="Calibri" w:cs="Calibri"/>
          <w:color w:val="000000" w:themeColor="text1"/>
          <w:lang w:val="en-US"/>
        </w:rPr>
        <w:t xml:space="preserve">Minimal overlap with statically enriched TFs highlights the complementary and non-redundant insight of episodic enrichment (Extended Fig. 2E-G). Within terminally upregulated TFs (Extended Fig. 2E), seven were uniquely recovered-including MAX, USF2, MEF2A, and IRF1-displaying bell-shaped (Extended Fig. 2F), wave-like expression indicative of transient yet functionally decisive activity, while static enrichment detected only ARID5B with sustained activation. In terminally downregulated TFs (Extended Fig. 2G), TEAD2, IRF8, and TFEC were uniquely episodically enriched, whereas BACH2 and TFEC were identified by static analysis, with TFEC as the sole overlap. These findings demonstrate that </w:t>
      </w:r>
      <w:proofErr w:type="spellStart"/>
      <w:r w:rsidRPr="6C4092E4">
        <w:rPr>
          <w:rFonts w:ascii="Calibri" w:hAnsi="Calibri" w:cs="Calibri"/>
          <w:color w:val="000000" w:themeColor="text1"/>
          <w:lang w:val="en-US"/>
        </w:rPr>
        <w:t>FIREFate’s</w:t>
      </w:r>
      <w:proofErr w:type="spellEnd"/>
      <w:r w:rsidRPr="6C4092E4">
        <w:rPr>
          <w:rFonts w:ascii="Calibri" w:hAnsi="Calibri" w:cs="Calibri"/>
          <w:color w:val="000000" w:themeColor="text1"/>
          <w:lang w:val="en-US"/>
        </w:rPr>
        <w:t xml:space="preserve"> TF-centric programs derived from dynamic framework with episodic enrichment uncovers regulatory episodes and TFs invisible to conventional analyses. By constraining inference to fate-defining programs and tracking their temporal wiring, </w:t>
      </w:r>
      <w:proofErr w:type="spellStart"/>
      <w:r w:rsidRPr="6C4092E4">
        <w:rPr>
          <w:rFonts w:ascii="Calibri" w:hAnsi="Calibri" w:cs="Calibri"/>
          <w:color w:val="000000" w:themeColor="text1"/>
          <w:lang w:val="en-US"/>
        </w:rPr>
        <w:t>FIREFate</w:t>
      </w:r>
      <w:proofErr w:type="spellEnd"/>
      <w:r w:rsidRPr="6C4092E4">
        <w:rPr>
          <w:rFonts w:ascii="Calibri" w:hAnsi="Calibri" w:cs="Calibri"/>
          <w:color w:val="000000" w:themeColor="text1"/>
          <w:lang w:val="en-US"/>
        </w:rPr>
        <w:t xml:space="preserve"> exposes the system-level logic and mechanistic regulators driving B-cell fate divergence, revealing dynamic temporal patterns that static approaches cannot resolve. </w:t>
      </w:r>
    </w:p>
    <w:p w14:paraId="007E3A8A" w14:textId="77777777" w:rsidR="008515C4" w:rsidRDefault="008515C4" w:rsidP="008515C4">
      <w:pPr>
        <w:jc w:val="both"/>
        <w:rPr>
          <w:rFonts w:ascii="Calibri" w:hAnsi="Calibri" w:cs="Calibri"/>
          <w:color w:val="000000" w:themeColor="text1"/>
          <w:lang w:val="en-US"/>
        </w:rPr>
      </w:pPr>
    </w:p>
    <w:p w14:paraId="05986E38" w14:textId="77777777" w:rsidR="008515C4" w:rsidRPr="00EA3582" w:rsidRDefault="008515C4" w:rsidP="008515C4">
      <w:pPr>
        <w:jc w:val="both"/>
        <w:rPr>
          <w:rFonts w:ascii="Calibri" w:hAnsi="Calibri" w:cs="Calibri"/>
          <w:color w:val="000000" w:themeColor="text1"/>
          <w:lang w:val="en-US"/>
        </w:rPr>
      </w:pPr>
      <w:r w:rsidRPr="677FDD44">
        <w:rPr>
          <w:rFonts w:ascii="Calibri" w:hAnsi="Calibri" w:cs="Calibri"/>
          <w:color w:val="000000" w:themeColor="text1"/>
          <w:lang w:val="en-US"/>
        </w:rPr>
        <w:t xml:space="preserve">In conclusion findings establish </w:t>
      </w:r>
      <w:proofErr w:type="spellStart"/>
      <w:r w:rsidRPr="677FDD44">
        <w:rPr>
          <w:rFonts w:ascii="Calibri" w:hAnsi="Calibri" w:cs="Calibri"/>
          <w:color w:val="000000" w:themeColor="text1"/>
          <w:lang w:val="en-US"/>
        </w:rPr>
        <w:t>FIREFate</w:t>
      </w:r>
      <w:proofErr w:type="spellEnd"/>
      <w:r w:rsidRPr="677FDD44">
        <w:rPr>
          <w:rFonts w:ascii="Calibri" w:hAnsi="Calibri" w:cs="Calibri"/>
          <w:color w:val="000000" w:themeColor="text1"/>
          <w:lang w:val="en-US"/>
        </w:rPr>
        <w:t xml:space="preserve"> as a conceptual framework that can move beyond static snapshots or single-gene analyses to capture the temporal wiring of entire cellular programs to identify transient, decisive regulatory events that occur in discrete windows across </w:t>
      </w:r>
      <w:proofErr w:type="spellStart"/>
      <w:r w:rsidRPr="677FDD44">
        <w:rPr>
          <w:rFonts w:ascii="Calibri" w:hAnsi="Calibri" w:cs="Calibri"/>
          <w:color w:val="000000" w:themeColor="text1"/>
          <w:lang w:val="en-US"/>
        </w:rPr>
        <w:t>pseudotime</w:t>
      </w:r>
      <w:proofErr w:type="spellEnd"/>
      <w:r w:rsidRPr="677FDD44">
        <w:rPr>
          <w:rFonts w:ascii="Calibri" w:hAnsi="Calibri" w:cs="Calibri"/>
          <w:color w:val="000000" w:themeColor="text1"/>
          <w:lang w:val="en-US"/>
        </w:rPr>
        <w:t xml:space="preserve">. Across PB and GC trajectories, this framework reveals distinct dynamic architectures: sequential activating and reinforcing waves drive PB commitment, whereas a repression-dominated cascade safeguards GC identity. By resolving when, how, and in what order transcription factors exert regulatory control, </w:t>
      </w:r>
      <w:proofErr w:type="spellStart"/>
      <w:r w:rsidRPr="677FDD44">
        <w:rPr>
          <w:rFonts w:ascii="Calibri" w:hAnsi="Calibri" w:cs="Calibri"/>
          <w:color w:val="000000" w:themeColor="text1"/>
          <w:lang w:val="en-US"/>
        </w:rPr>
        <w:t>FIREFate</w:t>
      </w:r>
      <w:proofErr w:type="spellEnd"/>
      <w:r w:rsidRPr="677FDD44">
        <w:rPr>
          <w:rFonts w:ascii="Calibri" w:hAnsi="Calibri" w:cs="Calibri"/>
          <w:color w:val="000000" w:themeColor="text1"/>
          <w:lang w:val="en-US"/>
        </w:rPr>
        <w:t xml:space="preserve"> uncovers the system-level logic of lineage specification, highlighting mechanistic regulators and temporal patterns previously invisible to static analyses. </w:t>
      </w:r>
      <w:r w:rsidRPr="677FDD44">
        <w:rPr>
          <w:rFonts w:ascii="Calibri" w:hAnsi="Calibri" w:cs="Calibri"/>
          <w:lang w:val="en-US"/>
        </w:rPr>
        <w:t>In short, our framework provides a quantitative, and program-centric blueprint for understanding cell fate decisions by extracting transient regulatory signals from any mechanistic representation of regulatory links—static or dynamic, and irrespective of the inference method—thereby revealing the episodic regulatory events that truly drive lineage divergence.</w:t>
      </w:r>
    </w:p>
    <w:p w14:paraId="43C902A8" w14:textId="77777777" w:rsidR="008515C4" w:rsidRDefault="008515C4" w:rsidP="008515C4">
      <w:pPr>
        <w:pStyle w:val="Heading3"/>
        <w:jc w:val="both"/>
        <w:rPr>
          <w:rFonts w:ascii="Calibri" w:hAnsi="Calibri" w:cs="Calibri"/>
          <w:b/>
          <w:bCs/>
          <w:color w:val="000000" w:themeColor="text1"/>
          <w:sz w:val="24"/>
          <w:szCs w:val="24"/>
          <w:lang w:val="en-US"/>
        </w:rPr>
      </w:pPr>
      <w:proofErr w:type="spellStart"/>
      <w:r>
        <w:rPr>
          <w:rFonts w:ascii="Calibri" w:hAnsi="Calibri" w:cs="Calibri"/>
          <w:b/>
          <w:bCs/>
          <w:color w:val="000000" w:themeColor="text1"/>
          <w:sz w:val="24"/>
          <w:szCs w:val="24"/>
          <w:lang w:val="en-US"/>
        </w:rPr>
        <w:lastRenderedPageBreak/>
        <w:t>FIREFate</w:t>
      </w:r>
      <w:proofErr w:type="spellEnd"/>
      <w:r>
        <w:rPr>
          <w:rFonts w:ascii="Calibri" w:hAnsi="Calibri" w:cs="Calibri"/>
          <w:b/>
          <w:bCs/>
          <w:color w:val="000000" w:themeColor="text1"/>
          <w:sz w:val="24"/>
          <w:szCs w:val="24"/>
          <w:lang w:val="en-US"/>
        </w:rPr>
        <w:t xml:space="preserve"> Uncovers TF Dynamic Activity and</w:t>
      </w:r>
      <w:r w:rsidRPr="00473B69">
        <w:rPr>
          <w:rFonts w:ascii="Calibri" w:hAnsi="Calibri" w:cs="Calibri"/>
          <w:b/>
          <w:bCs/>
          <w:color w:val="000000" w:themeColor="text1"/>
          <w:sz w:val="24"/>
          <w:szCs w:val="24"/>
          <w:lang w:val="en-US"/>
        </w:rPr>
        <w:t xml:space="preserve"> </w:t>
      </w:r>
      <w:r>
        <w:rPr>
          <w:rFonts w:ascii="Calibri" w:hAnsi="Calibri" w:cs="Calibri"/>
          <w:b/>
          <w:bCs/>
          <w:color w:val="000000" w:themeColor="text1"/>
          <w:sz w:val="24"/>
          <w:szCs w:val="24"/>
          <w:lang w:val="en-US"/>
        </w:rPr>
        <w:t>B C</w:t>
      </w:r>
      <w:r w:rsidRPr="00473B69">
        <w:rPr>
          <w:rFonts w:ascii="Calibri" w:hAnsi="Calibri" w:cs="Calibri"/>
          <w:b/>
          <w:bCs/>
          <w:color w:val="000000" w:themeColor="text1"/>
          <w:sz w:val="24"/>
          <w:szCs w:val="24"/>
          <w:lang w:val="en-US"/>
        </w:rPr>
        <w:t xml:space="preserve">ell </w:t>
      </w:r>
      <w:r>
        <w:rPr>
          <w:rFonts w:ascii="Calibri" w:hAnsi="Calibri" w:cs="Calibri"/>
          <w:b/>
          <w:bCs/>
          <w:color w:val="000000" w:themeColor="text1"/>
          <w:sz w:val="24"/>
          <w:szCs w:val="24"/>
          <w:lang w:val="en-US"/>
        </w:rPr>
        <w:t>F</w:t>
      </w:r>
      <w:r w:rsidRPr="00473B69">
        <w:rPr>
          <w:rFonts w:ascii="Calibri" w:hAnsi="Calibri" w:cs="Calibri"/>
          <w:b/>
          <w:bCs/>
          <w:color w:val="000000" w:themeColor="text1"/>
          <w:sz w:val="24"/>
          <w:szCs w:val="24"/>
          <w:lang w:val="en-US"/>
        </w:rPr>
        <w:t xml:space="preserve">ate </w:t>
      </w:r>
      <w:r>
        <w:rPr>
          <w:rFonts w:ascii="Calibri" w:hAnsi="Calibri" w:cs="Calibri"/>
          <w:b/>
          <w:bCs/>
          <w:color w:val="000000" w:themeColor="text1"/>
          <w:sz w:val="24"/>
          <w:szCs w:val="24"/>
          <w:lang w:val="en-US"/>
        </w:rPr>
        <w:t>B</w:t>
      </w:r>
      <w:r w:rsidRPr="00473B69">
        <w:rPr>
          <w:rFonts w:ascii="Calibri" w:hAnsi="Calibri" w:cs="Calibri"/>
          <w:b/>
          <w:bCs/>
          <w:color w:val="000000" w:themeColor="text1"/>
          <w:sz w:val="24"/>
          <w:szCs w:val="24"/>
          <w:lang w:val="en-US"/>
        </w:rPr>
        <w:t xml:space="preserve">ias </w:t>
      </w:r>
      <w:r>
        <w:rPr>
          <w:rFonts w:ascii="Calibri" w:hAnsi="Calibri" w:cs="Calibri"/>
          <w:b/>
          <w:bCs/>
          <w:color w:val="000000" w:themeColor="text1"/>
          <w:sz w:val="24"/>
          <w:szCs w:val="24"/>
          <w:lang w:val="en-US"/>
        </w:rPr>
        <w:t>B</w:t>
      </w:r>
      <w:r w:rsidRPr="00473B69">
        <w:rPr>
          <w:rFonts w:ascii="Calibri" w:hAnsi="Calibri" w:cs="Calibri"/>
          <w:b/>
          <w:bCs/>
          <w:color w:val="000000" w:themeColor="text1"/>
          <w:sz w:val="24"/>
          <w:szCs w:val="24"/>
          <w:lang w:val="en-US"/>
        </w:rPr>
        <w:t xml:space="preserve">efore </w:t>
      </w:r>
      <w:r>
        <w:rPr>
          <w:rFonts w:ascii="Calibri" w:hAnsi="Calibri" w:cs="Calibri"/>
          <w:b/>
          <w:bCs/>
          <w:color w:val="000000" w:themeColor="text1"/>
          <w:sz w:val="24"/>
          <w:szCs w:val="24"/>
          <w:lang w:val="en-US"/>
        </w:rPr>
        <w:t>P</w:t>
      </w:r>
      <w:r w:rsidRPr="00473B69">
        <w:rPr>
          <w:rFonts w:ascii="Calibri" w:hAnsi="Calibri" w:cs="Calibri"/>
          <w:b/>
          <w:bCs/>
          <w:color w:val="000000" w:themeColor="text1"/>
          <w:sz w:val="24"/>
          <w:szCs w:val="24"/>
          <w:lang w:val="en-US"/>
        </w:rPr>
        <w:t xml:space="preserve">henotypic </w:t>
      </w:r>
      <w:r>
        <w:rPr>
          <w:rFonts w:ascii="Calibri" w:hAnsi="Calibri" w:cs="Calibri"/>
          <w:b/>
          <w:bCs/>
          <w:color w:val="000000" w:themeColor="text1"/>
          <w:sz w:val="24"/>
          <w:szCs w:val="24"/>
          <w:lang w:val="en-US"/>
        </w:rPr>
        <w:t>C</w:t>
      </w:r>
      <w:r w:rsidRPr="00473B69">
        <w:rPr>
          <w:rFonts w:ascii="Calibri" w:hAnsi="Calibri" w:cs="Calibri"/>
          <w:b/>
          <w:bCs/>
          <w:color w:val="000000" w:themeColor="text1"/>
          <w:sz w:val="24"/>
          <w:szCs w:val="24"/>
          <w:lang w:val="en-US"/>
        </w:rPr>
        <w:t xml:space="preserve">ommitment </w:t>
      </w:r>
      <w:r>
        <w:rPr>
          <w:rFonts w:ascii="Calibri" w:hAnsi="Calibri" w:cs="Calibri"/>
          <w:b/>
          <w:bCs/>
          <w:color w:val="000000" w:themeColor="text1"/>
          <w:sz w:val="24"/>
          <w:szCs w:val="24"/>
          <w:lang w:val="en-US"/>
        </w:rPr>
        <w:t>T</w:t>
      </w:r>
      <w:r w:rsidRPr="00473B69">
        <w:rPr>
          <w:rFonts w:ascii="Calibri" w:hAnsi="Calibri" w:cs="Calibri"/>
          <w:b/>
          <w:bCs/>
          <w:color w:val="000000" w:themeColor="text1"/>
          <w:sz w:val="24"/>
          <w:szCs w:val="24"/>
          <w:lang w:val="en-US"/>
        </w:rPr>
        <w:t xml:space="preserve">hrough </w:t>
      </w:r>
      <w:r>
        <w:rPr>
          <w:rFonts w:ascii="Calibri" w:hAnsi="Calibri" w:cs="Calibri"/>
          <w:b/>
          <w:bCs/>
          <w:color w:val="000000" w:themeColor="text1"/>
          <w:sz w:val="24"/>
          <w:szCs w:val="24"/>
          <w:lang w:val="en-US"/>
        </w:rPr>
        <w:t>P</w:t>
      </w:r>
      <w:r w:rsidRPr="00473B69">
        <w:rPr>
          <w:rFonts w:ascii="Calibri" w:hAnsi="Calibri" w:cs="Calibri"/>
          <w:b/>
          <w:bCs/>
          <w:color w:val="000000" w:themeColor="text1"/>
          <w:sz w:val="24"/>
          <w:szCs w:val="24"/>
          <w:lang w:val="en-US"/>
        </w:rPr>
        <w:t xml:space="preserve">erturbation-guided </w:t>
      </w:r>
      <w:r>
        <w:rPr>
          <w:rFonts w:ascii="Calibri" w:hAnsi="Calibri" w:cs="Calibri"/>
          <w:b/>
          <w:bCs/>
          <w:color w:val="000000" w:themeColor="text1"/>
          <w:sz w:val="24"/>
          <w:szCs w:val="24"/>
          <w:lang w:val="en-US"/>
        </w:rPr>
        <w:t>T</w:t>
      </w:r>
      <w:r w:rsidRPr="00473B69">
        <w:rPr>
          <w:rFonts w:ascii="Calibri" w:hAnsi="Calibri" w:cs="Calibri"/>
          <w:b/>
          <w:bCs/>
          <w:color w:val="000000" w:themeColor="text1"/>
          <w:sz w:val="24"/>
          <w:szCs w:val="24"/>
          <w:lang w:val="en-US"/>
        </w:rPr>
        <w:t xml:space="preserve">ransfer </w:t>
      </w:r>
      <w:r>
        <w:rPr>
          <w:rFonts w:ascii="Calibri" w:hAnsi="Calibri" w:cs="Calibri"/>
          <w:b/>
          <w:bCs/>
          <w:color w:val="000000" w:themeColor="text1"/>
          <w:sz w:val="24"/>
          <w:szCs w:val="24"/>
          <w:lang w:val="en-US"/>
        </w:rPr>
        <w:t>L</w:t>
      </w:r>
      <w:r w:rsidRPr="00473B69">
        <w:rPr>
          <w:rFonts w:ascii="Calibri" w:hAnsi="Calibri" w:cs="Calibri"/>
          <w:b/>
          <w:bCs/>
          <w:color w:val="000000" w:themeColor="text1"/>
          <w:sz w:val="24"/>
          <w:szCs w:val="24"/>
          <w:lang w:val="en-US"/>
        </w:rPr>
        <w:t>earning</w:t>
      </w:r>
    </w:p>
    <w:p w14:paraId="1177C1BB" w14:textId="2F201BD9" w:rsidR="008515C4" w:rsidRPr="00EE504C" w:rsidRDefault="008515C4" w:rsidP="008515C4">
      <w:pPr>
        <w:jc w:val="both"/>
        <w:rPr>
          <w:rFonts w:ascii="Calibri" w:hAnsi="Calibri" w:cs="Calibri"/>
          <w:lang w:val="en-US"/>
        </w:rPr>
      </w:pPr>
      <w:r w:rsidRPr="00EE504C">
        <w:rPr>
          <w:rFonts w:ascii="Calibri" w:hAnsi="Calibri" w:cs="Calibri"/>
          <w:lang w:val="en-US"/>
        </w:rPr>
        <w:t xml:space="preserve">Cell </w:t>
      </w:r>
      <w:r>
        <w:rPr>
          <w:rFonts w:ascii="Calibri" w:hAnsi="Calibri" w:cs="Calibri"/>
          <w:lang w:val="en-US"/>
        </w:rPr>
        <w:t>state</w:t>
      </w:r>
      <w:r w:rsidRPr="00EE504C">
        <w:rPr>
          <w:rFonts w:ascii="Calibri" w:hAnsi="Calibri" w:cs="Calibri"/>
          <w:lang w:val="en-US"/>
        </w:rPr>
        <w:t xml:space="preserve"> transitions are multi-phase heterogeneous processes driven by temporally ordered and often transient regulatory programs</w:t>
      </w:r>
      <w:r>
        <w:rPr>
          <w:rFonts w:ascii="Calibri" w:hAnsi="Calibri" w:cs="Calibri"/>
          <w:lang w:val="en-US"/>
        </w:rPr>
        <w:fldChar w:fldCharType="begin"/>
      </w:r>
      <w:r w:rsidR="00BD6670">
        <w:rPr>
          <w:rFonts w:ascii="Calibri" w:hAnsi="Calibri" w:cs="Calibri"/>
          <w:lang w:val="en-US"/>
        </w:rPr>
        <w:instrText xml:space="preserve"> ADDIN ZOTERO_ITEM CSL_CITATION {"citationID":"NwY8D19a","properties":{"formattedCitation":"\\super 48\\nosupersub{}","plainCitation":"48","noteIndex":0},"citationItems":[{"id":2730,"uris":["http://zotero.org/groups/6337619/items/FU7KGDX4"],"itemData":{"id":2730,"type":"article-journal","abstract":"Dynamic reprogramming of transcriptional networks enables cells to adapt to a changing environment. Thus, it is crucial not only to understand what gene targets are regulated by a transcription factor (TF) but also when. This review explores the way TFs function with respect to time, paying particular attention to discoveries made in plants - where coordinated, genome-wide responses to environmental change is crucial to the survival of these sessile organisms. We investigate the molecular mechanisms that mediate transient TF-DNA binding, and assess how these rapid and dynamic interactions translate to long-term temporal regulation of genomes. We also discuss how current molecular techniques can catch, and sometimes miss, transient TF-target interactions that underlie dynamic cellular responses. This article is part of a Special Issue entitled: Plant Gene Regulatory Mechanisms and Networks, edited by Dr. Erich Grotewold and Dr. Nathan Springer.","container-title":"Biochimica Et Biophysica Acta. Gene Regulatory Mechanisms","DOI":"10.1016/j.bbagrm.2016.08.007","ISSN":"1874-9399","issue":"1","journalAbbreviation":"Biochim Biophys Acta Gene Regul Mech","language":"eng","page":"75-83","PMID":"27546191","PMCID":"PMC5203810","source":"PubMed","title":"A matter of time - How transient transcription factor interactions create dynamic gene regulatory networks","volume":"1860","author":[{"family":"Swift","given":"Joseph"},{"family":"Coruzzi","given":"Gloria M."}],"issued":{"date-parts":[["2017",1]]}}}],"schema":"https://github.com/citation-style-language/schema/raw/master/csl-citation.json"} </w:instrText>
      </w:r>
      <w:r>
        <w:rPr>
          <w:rFonts w:ascii="Calibri" w:hAnsi="Calibri" w:cs="Calibri"/>
          <w:lang w:val="en-US"/>
        </w:rPr>
        <w:fldChar w:fldCharType="separate"/>
      </w:r>
      <w:r w:rsidR="00BD6670" w:rsidRPr="00BD6670">
        <w:rPr>
          <w:rFonts w:ascii="Calibri" w:eastAsiaTheme="minorHAnsi" w:hAnsi="Calibri" w:cs="Calibri"/>
          <w:szCs w:val="24"/>
          <w:vertAlign w:val="superscript"/>
          <w:lang w:val="en-US"/>
          <w14:ligatures w14:val="standardContextual"/>
        </w:rPr>
        <w:t>48</w:t>
      </w:r>
      <w:r>
        <w:rPr>
          <w:rFonts w:ascii="Calibri" w:hAnsi="Calibri" w:cs="Calibri"/>
          <w:lang w:val="en-US"/>
        </w:rPr>
        <w:fldChar w:fldCharType="end"/>
      </w:r>
      <w:r w:rsidRPr="00EE504C">
        <w:rPr>
          <w:rFonts w:ascii="Calibri" w:hAnsi="Calibri" w:cs="Calibri"/>
          <w:lang w:val="en-US"/>
        </w:rPr>
        <w:t xml:space="preserve">. These programs, arising from dynamic transcription factor (TF) activities, bias cellular </w:t>
      </w:r>
      <w:r>
        <w:rPr>
          <w:rFonts w:ascii="Calibri" w:hAnsi="Calibri" w:cs="Calibri"/>
          <w:lang w:val="en-US"/>
        </w:rPr>
        <w:t>commitment</w:t>
      </w:r>
      <w:r w:rsidRPr="00EE504C">
        <w:rPr>
          <w:rFonts w:ascii="Calibri" w:hAnsi="Calibri" w:cs="Calibri"/>
          <w:lang w:val="en-US"/>
        </w:rPr>
        <w:t xml:space="preserve"> before </w:t>
      </w:r>
      <w:r>
        <w:rPr>
          <w:rFonts w:ascii="Calibri" w:hAnsi="Calibri" w:cs="Calibri"/>
          <w:lang w:val="en-US"/>
        </w:rPr>
        <w:t>it</w:t>
      </w:r>
      <w:r w:rsidRPr="00EE504C">
        <w:rPr>
          <w:rFonts w:ascii="Calibri" w:hAnsi="Calibri" w:cs="Calibri"/>
          <w:lang w:val="en-US"/>
        </w:rPr>
        <w:t xml:space="preserve"> becomes phenotypically visible, giving rise to stochastic timing even in similar environments</w:t>
      </w:r>
      <w:r>
        <w:rPr>
          <w:rFonts w:ascii="Calibri" w:hAnsi="Calibri" w:cs="Calibri"/>
          <w:lang w:val="en-US"/>
        </w:rPr>
        <w:fldChar w:fldCharType="begin"/>
      </w:r>
      <w:r w:rsidR="00BD6670">
        <w:rPr>
          <w:rFonts w:ascii="Calibri" w:hAnsi="Calibri" w:cs="Calibri"/>
          <w:lang w:val="en-US"/>
        </w:rPr>
        <w:instrText xml:space="preserve"> ADDIN ZOTERO_ITEM CSL_CITATION {"citationID":"xbfLzJBn","properties":{"formattedCitation":"\\super 49\\nosupersub{}","plainCitation":"49","noteIndex":0},"citationItems":[{"id":2732,"uris":["http://zotero.org/groups/6337619/items/ESBYBK74"],"itemData":{"id":2732,"type":"article-journal","abstract":"The development of multi-cellular organisms requires coordinated changes in gene expression that are often mediated by the interaction between transcription factors (TFs) and their corresponding cis-regulatory elements (CREs). During development and differentiation, the accessibility of CREs is dynamically modulated by the epigenome. How the epigenome, CREs and TFs together exert control over cell fate commitment remains to be fully understood. In the Arabidopsis leaf epidermis, meristemoids undergo a series of stereotyped cell divisions, then switch fate to commit to stomatal differentiation. Newly created or reanalyzed scRNA-seq and ChIP-seq data confirm that stomatal development involves distinctive phases of transcriptional regulation and that differentially regulated genes are bound by the stomatal basic-helix-loop-helix (bHLH) TFs. Targets of the bHLHs often reside in repressive chromatin before activation. MNase-seq evidence further suggests that the repressive state can be overcome and remodeled upon activation by specific stomatal bHLHs. We propose that chromatin remodeling is mediated through the recruitment of a set of physical interactors that we identified through proximity labeling - the ATPase-dependent chromatin remodeling SWI/SNF complex and the histone acetyltransferase HAC1. The bHLHs and chromatin remodelers localize to overlapping genomic regions in a hierarchical order. Furthermore, plants with stage-specific knock-down of the SWI/SNF components or HAC1 fail to activate specific bHLH targets and display stomatal development defects. Together these data converge on a model for how stomatal TFs and epigenetic machinery cooperatively regulate transcription and chromatin remodeling during progressive fate specification.","container-title":"bioRxiv: The Preprint Server for Biology","DOI":"10.1101/2023.08.23.554515","ISSN":"2692-8205","journalAbbreviation":"bioRxiv","language":"eng","page":"2023.08.23.554515","PMID":"37662219","PMCID":"PMC10473704","source":"PubMed","title":"Cell Fate Programming by Transcription Factors and Epigenetic Machinery in Stomatal Development","author":[{"family":"Liu","given":"Ao"},{"family":"Mair","given":"Andrea"},{"family":"Matos","given":"Juliana L."},{"family":"Vollbrecht","given":"Macy"},{"family":"Xu","given":"Shou-Ling"},{"family":"Bergmann","given":"Dominique C."}],"issued":{"date-parts":[["2023",8,24]]}}}],"schema":"https://github.com/citation-style-language/schema/raw/master/csl-citation.json"} </w:instrText>
      </w:r>
      <w:r>
        <w:rPr>
          <w:rFonts w:ascii="Calibri" w:hAnsi="Calibri" w:cs="Calibri"/>
          <w:lang w:val="en-US"/>
        </w:rPr>
        <w:fldChar w:fldCharType="separate"/>
      </w:r>
      <w:r w:rsidR="00BD6670" w:rsidRPr="00BD6670">
        <w:rPr>
          <w:rFonts w:ascii="Calibri" w:eastAsiaTheme="minorHAnsi" w:hAnsi="Calibri" w:cs="Calibri"/>
          <w:szCs w:val="24"/>
          <w:vertAlign w:val="superscript"/>
          <w:lang w:val="en-US"/>
          <w14:ligatures w14:val="standardContextual"/>
        </w:rPr>
        <w:t>49</w:t>
      </w:r>
      <w:r>
        <w:rPr>
          <w:rFonts w:ascii="Calibri" w:hAnsi="Calibri" w:cs="Calibri"/>
          <w:lang w:val="en-US"/>
        </w:rPr>
        <w:fldChar w:fldCharType="end"/>
      </w:r>
      <w:r w:rsidRPr="00EE504C">
        <w:rPr>
          <w:rFonts w:ascii="Calibri" w:hAnsi="Calibri" w:cs="Calibri"/>
          <w:lang w:val="en-US"/>
        </w:rPr>
        <w:t xml:space="preserve">. </w:t>
      </w:r>
      <w:r>
        <w:rPr>
          <w:rFonts w:ascii="Calibri" w:hAnsi="Calibri" w:cs="Calibri"/>
          <w:lang w:val="en-US"/>
        </w:rPr>
        <w:t>B cell</w:t>
      </w:r>
      <w:r w:rsidRPr="00EE504C">
        <w:rPr>
          <w:rFonts w:ascii="Calibri" w:hAnsi="Calibri" w:cs="Calibri"/>
          <w:lang w:val="en-US"/>
        </w:rPr>
        <w:t xml:space="preserve"> bifurcation </w:t>
      </w:r>
      <w:r>
        <w:rPr>
          <w:rFonts w:ascii="Calibri" w:hAnsi="Calibri" w:cs="Calibri"/>
          <w:lang w:val="en-US"/>
        </w:rPr>
        <w:t>serves as a remarkable exemplar</w:t>
      </w:r>
      <w:r w:rsidRPr="00EE504C">
        <w:rPr>
          <w:rFonts w:ascii="Calibri" w:hAnsi="Calibri" w:cs="Calibri"/>
          <w:lang w:val="en-US"/>
        </w:rPr>
        <w:t xml:space="preserve"> of lineage commitment</w:t>
      </w:r>
      <w:r>
        <w:rPr>
          <w:rFonts w:ascii="Calibri" w:hAnsi="Calibri" w:cs="Calibri"/>
          <w:lang w:val="en-US"/>
        </w:rPr>
        <w:t>.</w:t>
      </w:r>
      <w:r w:rsidRPr="00EE504C">
        <w:rPr>
          <w:rFonts w:ascii="Calibri" w:hAnsi="Calibri" w:cs="Calibri"/>
          <w:lang w:val="en-US"/>
        </w:rPr>
        <w:t xml:space="preserve"> </w:t>
      </w:r>
      <w:r>
        <w:rPr>
          <w:rFonts w:ascii="Calibri" w:hAnsi="Calibri" w:cs="Calibri"/>
          <w:lang w:val="en-US"/>
        </w:rPr>
        <w:t>PB or GC cell</w:t>
      </w:r>
      <w:r w:rsidRPr="00EE504C">
        <w:rPr>
          <w:rFonts w:ascii="Calibri" w:hAnsi="Calibri" w:cs="Calibri"/>
          <w:lang w:val="en-US"/>
        </w:rPr>
        <w:t xml:space="preserve"> fates emerge from</w:t>
      </w:r>
      <w:r>
        <w:rPr>
          <w:rFonts w:ascii="Calibri" w:hAnsi="Calibri" w:cs="Calibri"/>
          <w:lang w:val="en-US"/>
        </w:rPr>
        <w:t xml:space="preserve"> activated B cells</w:t>
      </w:r>
      <w:r w:rsidRPr="00EE504C">
        <w:rPr>
          <w:rFonts w:ascii="Calibri" w:hAnsi="Calibri" w:cs="Calibri"/>
          <w:lang w:val="en-US"/>
        </w:rPr>
        <w:t xml:space="preserve"> </w:t>
      </w:r>
      <w:r>
        <w:rPr>
          <w:rFonts w:ascii="Calibri" w:hAnsi="Calibri" w:cs="Calibri"/>
          <w:lang w:val="en-US"/>
        </w:rPr>
        <w:t xml:space="preserve">through </w:t>
      </w:r>
      <w:r w:rsidRPr="00EE504C">
        <w:rPr>
          <w:rFonts w:ascii="Calibri" w:hAnsi="Calibri" w:cs="Calibri"/>
          <w:lang w:val="en-US"/>
        </w:rPr>
        <w:t>overlapping transcriptional landscapes that diverge gradually</w:t>
      </w:r>
      <w:r>
        <w:rPr>
          <w:rFonts w:ascii="Calibri" w:hAnsi="Calibri" w:cs="Calibri"/>
          <w:lang w:val="en-US"/>
        </w:rPr>
        <w:fldChar w:fldCharType="begin"/>
      </w:r>
      <w:r w:rsidR="00BD6670">
        <w:rPr>
          <w:rFonts w:ascii="Calibri" w:hAnsi="Calibri" w:cs="Calibri"/>
          <w:lang w:val="en-US"/>
        </w:rPr>
        <w:instrText xml:space="preserve"> ADDIN ZOTERO_ITEM CSL_CITATION {"citationID":"5Cecz11V","properties":{"formattedCitation":"\\super 50\\nosupersub{}","plainCitation":"50","noteIndex":0},"citationItems":[{"id":2734,"uris":["http://zotero.org/groups/6337619/items/3IQFVBL3"],"itemData":{"id":2734,"type":"article-journal","abstract":"B cells within secondary lymphoid tissues encompass a diversity of activation states and multiple maturation processes that reflect antigen recognition and transition through the germinal center (GC) reaction, in which mature B cells differentiate into memory and antibody-secreting cells (ASCs). Here, utilizing single-cell RNA-seq, we identify a range of distinct activation and maturation states of tonsil-derived B cells. In particular, we identify what we believe is a previously uncharacterized CCL4/CCL3 chemokine-expressing B cell population with an expression pattern consistent with B cell receptor/CD40 activation. Furthermore, we present a computational method that leverages regulatory network inference and pseudotemporal modeling to identify upstream transcription factor modulation along a GC-to-ASC axis of transcriptional maturation. Our data set provides valuable insight into diverse B cell functional profiles and will be a useful resource for further studies into the B cell immune compartment.","container-title":"JCI insight","DOI":"10.1172/jci.insight.155199","ISSN":"2379-3708","issue":"7","journalAbbreviation":"JCI Insight","language":"eng","page":"e155199","PMID":"36809296","PMCID":"PMC10132144","source":"PubMed","title":"Distinct stage-specific transcriptional states of B cells derived from human tonsillar tissue","volume":"8","author":[{"family":"Espinoza","given":"Diego A."},{"family":"Le Coz","given":"Carole"},{"family":"Cruz Cabrera","given":"Emylette"},{"family":"Romberg","given":"Neil"},{"family":"Bar-Or","given":"Amit"},{"family":"Li","given":"Rui"}],"issued":{"date-parts":[["2023",4,10]]}}}],"schema":"https://github.com/citation-style-language/schema/raw/master/csl-citation.json"} </w:instrText>
      </w:r>
      <w:r>
        <w:rPr>
          <w:rFonts w:ascii="Calibri" w:hAnsi="Calibri" w:cs="Calibri"/>
          <w:lang w:val="en-US"/>
        </w:rPr>
        <w:fldChar w:fldCharType="separate"/>
      </w:r>
      <w:r w:rsidR="00BD6670" w:rsidRPr="00BD6670">
        <w:rPr>
          <w:rFonts w:ascii="Calibri" w:eastAsiaTheme="minorHAnsi" w:hAnsi="Calibri" w:cs="Calibri"/>
          <w:szCs w:val="24"/>
          <w:vertAlign w:val="superscript"/>
          <w:lang w:val="en-US"/>
          <w14:ligatures w14:val="standardContextual"/>
        </w:rPr>
        <w:t>50</w:t>
      </w:r>
      <w:r>
        <w:rPr>
          <w:rFonts w:ascii="Calibri" w:hAnsi="Calibri" w:cs="Calibri"/>
          <w:lang w:val="en-US"/>
        </w:rPr>
        <w:fldChar w:fldCharType="end"/>
      </w:r>
      <w:r w:rsidRPr="00EE504C">
        <w:rPr>
          <w:rFonts w:ascii="Calibri" w:hAnsi="Calibri" w:cs="Calibri"/>
          <w:lang w:val="en-US"/>
        </w:rPr>
        <w:t xml:space="preserve">. </w:t>
      </w:r>
      <w:proofErr w:type="spellStart"/>
      <w:r w:rsidRPr="00EE504C">
        <w:rPr>
          <w:rFonts w:ascii="Calibri" w:hAnsi="Calibri" w:cs="Calibri"/>
          <w:lang w:val="en-US"/>
        </w:rPr>
        <w:t>FIREFate</w:t>
      </w:r>
      <w:proofErr w:type="spellEnd"/>
      <w:r w:rsidRPr="00EE504C">
        <w:rPr>
          <w:rFonts w:ascii="Calibri" w:hAnsi="Calibri" w:cs="Calibri"/>
          <w:lang w:val="en-US"/>
        </w:rPr>
        <w:t xml:space="preserve"> </w:t>
      </w:r>
      <w:r>
        <w:rPr>
          <w:rFonts w:ascii="Calibri" w:hAnsi="Calibri" w:cs="Calibri"/>
          <w:lang w:val="en-US"/>
        </w:rPr>
        <w:t xml:space="preserve">regulons </w:t>
      </w:r>
      <w:r w:rsidRPr="00EE504C">
        <w:rPr>
          <w:rFonts w:ascii="Calibri" w:hAnsi="Calibri" w:cs="Calibri"/>
          <w:lang w:val="en-US"/>
        </w:rPr>
        <w:t>capture</w:t>
      </w:r>
      <w:r>
        <w:rPr>
          <w:rFonts w:ascii="Calibri" w:hAnsi="Calibri" w:cs="Calibri"/>
          <w:lang w:val="en-US"/>
        </w:rPr>
        <w:t xml:space="preserve"> </w:t>
      </w:r>
      <w:r w:rsidRPr="00EE504C">
        <w:rPr>
          <w:rFonts w:ascii="Calibri" w:hAnsi="Calibri" w:cs="Calibri"/>
          <w:lang w:val="en-US"/>
        </w:rPr>
        <w:t>regulatory scaffolds underlying lineage bifurc</w:t>
      </w:r>
      <w:r>
        <w:rPr>
          <w:rFonts w:ascii="Calibri" w:hAnsi="Calibri" w:cs="Calibri"/>
          <w:lang w:val="en-US"/>
        </w:rPr>
        <w:t xml:space="preserve">ation but it </w:t>
      </w:r>
      <w:r w:rsidRPr="00EE504C">
        <w:rPr>
          <w:rFonts w:ascii="Calibri" w:hAnsi="Calibri" w:cs="Calibri"/>
          <w:lang w:val="en-US"/>
        </w:rPr>
        <w:t xml:space="preserve">does not explain </w:t>
      </w:r>
      <w:r>
        <w:rPr>
          <w:rFonts w:ascii="Calibri" w:hAnsi="Calibri" w:cs="Calibri"/>
          <w:lang w:val="en-US"/>
        </w:rPr>
        <w:t>pre-</w:t>
      </w:r>
      <w:r w:rsidRPr="00EE504C">
        <w:rPr>
          <w:rFonts w:ascii="Calibri" w:hAnsi="Calibri" w:cs="Calibri"/>
          <w:lang w:val="en-US"/>
        </w:rPr>
        <w:t xml:space="preserve">fate </w:t>
      </w:r>
      <w:r>
        <w:rPr>
          <w:rFonts w:ascii="Calibri" w:hAnsi="Calibri" w:cs="Calibri"/>
          <w:lang w:val="en-US"/>
        </w:rPr>
        <w:t xml:space="preserve">commitment </w:t>
      </w:r>
      <w:r w:rsidRPr="00EE504C">
        <w:rPr>
          <w:rFonts w:ascii="Calibri" w:hAnsi="Calibri" w:cs="Calibri"/>
          <w:lang w:val="en-US"/>
        </w:rPr>
        <w:t>bias</w:t>
      </w:r>
      <w:r>
        <w:rPr>
          <w:rFonts w:ascii="Calibri" w:hAnsi="Calibri" w:cs="Calibri"/>
          <w:lang w:val="en-US"/>
        </w:rPr>
        <w:t>es</w:t>
      </w:r>
      <w:r w:rsidRPr="00EE504C">
        <w:rPr>
          <w:rFonts w:ascii="Calibri" w:hAnsi="Calibri" w:cs="Calibri"/>
          <w:lang w:val="en-US"/>
        </w:rPr>
        <w:t xml:space="preserve">. Resolving such early decision </w:t>
      </w:r>
      <w:r>
        <w:rPr>
          <w:rFonts w:ascii="Calibri" w:hAnsi="Calibri" w:cs="Calibri"/>
          <w:lang w:val="en-US"/>
        </w:rPr>
        <w:t xml:space="preserve">time </w:t>
      </w:r>
      <w:r w:rsidRPr="00EE504C">
        <w:rPr>
          <w:rFonts w:ascii="Calibri" w:hAnsi="Calibri" w:cs="Calibri"/>
          <w:lang w:val="en-US"/>
        </w:rPr>
        <w:t>points requires dense temporal profiling, lineage tracing, and systematic experiments</w:t>
      </w:r>
      <w:r>
        <w:rPr>
          <w:rFonts w:ascii="Calibri" w:hAnsi="Calibri" w:cs="Calibri"/>
          <w:lang w:val="en-US"/>
        </w:rPr>
        <w:t xml:space="preserve">. These </w:t>
      </w:r>
      <w:r w:rsidRPr="00EE504C">
        <w:rPr>
          <w:rFonts w:ascii="Calibri" w:hAnsi="Calibri" w:cs="Calibri"/>
          <w:lang w:val="en-US"/>
        </w:rPr>
        <w:t>approaches are technically demanding, costly, and largely infeasible across most immune contexts. Consequently,</w:t>
      </w:r>
      <w:r>
        <w:rPr>
          <w:rFonts w:ascii="Calibri" w:hAnsi="Calibri" w:cs="Calibri"/>
          <w:lang w:val="en-US"/>
        </w:rPr>
        <w:t xml:space="preserve"> </w:t>
      </w:r>
      <w:r w:rsidRPr="00EE504C">
        <w:rPr>
          <w:rFonts w:ascii="Calibri" w:hAnsi="Calibri" w:cs="Calibri"/>
          <w:lang w:val="en-US"/>
        </w:rPr>
        <w:t>fate-predisposing regulatory programs remain hidden and existing computational methods fail to</w:t>
      </w:r>
      <w:r>
        <w:rPr>
          <w:rFonts w:ascii="Calibri" w:hAnsi="Calibri" w:cs="Calibri"/>
          <w:lang w:val="en-US"/>
        </w:rPr>
        <w:t xml:space="preserve"> </w:t>
      </w:r>
      <w:r w:rsidRPr="00EE504C">
        <w:rPr>
          <w:rFonts w:ascii="Calibri" w:hAnsi="Calibri" w:cs="Calibri"/>
          <w:lang w:val="en-US"/>
        </w:rPr>
        <w:t>predict</w:t>
      </w:r>
      <w:r>
        <w:rPr>
          <w:rFonts w:ascii="Calibri" w:hAnsi="Calibri" w:cs="Calibri"/>
          <w:lang w:val="en-US"/>
        </w:rPr>
        <w:t xml:space="preserve"> regulatory</w:t>
      </w:r>
      <w:r w:rsidRPr="00EE504C">
        <w:rPr>
          <w:rFonts w:ascii="Calibri" w:hAnsi="Calibri" w:cs="Calibri"/>
          <w:lang w:val="en-US"/>
        </w:rPr>
        <w:t xml:space="preserve"> activities that drive fate transitions.</w:t>
      </w:r>
    </w:p>
    <w:p w14:paraId="3A4FDD3A" w14:textId="77777777" w:rsidR="008515C4" w:rsidRDefault="008515C4" w:rsidP="008515C4">
      <w:pPr>
        <w:jc w:val="both"/>
        <w:rPr>
          <w:rFonts w:ascii="Calibri" w:hAnsi="Calibri" w:cs="Calibri"/>
          <w:color w:val="000000" w:themeColor="text1"/>
        </w:rPr>
      </w:pPr>
    </w:p>
    <w:p w14:paraId="24E6E00D" w14:textId="77777777" w:rsidR="008515C4" w:rsidRPr="007111EF" w:rsidRDefault="008515C4" w:rsidP="008515C4">
      <w:pPr>
        <w:jc w:val="both"/>
        <w:rPr>
          <w:rFonts w:ascii="Calibri" w:hAnsi="Calibri" w:cs="Calibri"/>
          <w:color w:val="000000" w:themeColor="text1"/>
          <w:lang w:val="en-US"/>
        </w:rPr>
      </w:pPr>
      <w:r>
        <w:rPr>
          <w:rFonts w:ascii="Calibri" w:hAnsi="Calibri" w:cs="Calibri"/>
          <w:color w:val="000000" w:themeColor="text1"/>
          <w:lang w:val="en-US"/>
        </w:rPr>
        <w:t xml:space="preserve">We first hypothesized that the regulons driving </w:t>
      </w:r>
      <w:r w:rsidRPr="6C4092E4">
        <w:rPr>
          <w:rFonts w:ascii="Calibri" w:hAnsi="Calibri" w:cs="Calibri"/>
          <w:color w:val="000000" w:themeColor="text1"/>
          <w:lang w:val="en-US"/>
        </w:rPr>
        <w:t>fate bias</w:t>
      </w:r>
      <w:r>
        <w:rPr>
          <w:rFonts w:ascii="Calibri" w:hAnsi="Calibri" w:cs="Calibri"/>
          <w:color w:val="000000" w:themeColor="text1"/>
          <w:lang w:val="en-US"/>
        </w:rPr>
        <w:t xml:space="preserve"> are</w:t>
      </w:r>
      <w:r w:rsidRPr="6C4092E4">
        <w:rPr>
          <w:rFonts w:ascii="Calibri" w:hAnsi="Calibri" w:cs="Calibri"/>
          <w:color w:val="000000" w:themeColor="text1"/>
          <w:lang w:val="en-US"/>
        </w:rPr>
        <w:t xml:space="preserve"> pre-encoded within the late-stage regulatory programs</w:t>
      </w:r>
      <w:r>
        <w:rPr>
          <w:rFonts w:ascii="Calibri" w:hAnsi="Calibri" w:cs="Calibri"/>
          <w:color w:val="000000" w:themeColor="text1"/>
          <w:lang w:val="en-US"/>
        </w:rPr>
        <w:t>.</w:t>
      </w:r>
      <w:r w:rsidRPr="6C4092E4">
        <w:rPr>
          <w:rFonts w:ascii="Calibri" w:hAnsi="Calibri" w:cs="Calibri"/>
          <w:color w:val="000000" w:themeColor="text1"/>
          <w:lang w:val="en-US"/>
        </w:rPr>
        <w:t xml:space="preserve"> </w:t>
      </w:r>
      <w:r>
        <w:rPr>
          <w:rFonts w:ascii="Calibri" w:hAnsi="Calibri" w:cs="Calibri"/>
          <w:color w:val="000000" w:themeColor="text1"/>
          <w:lang w:val="en-US"/>
        </w:rPr>
        <w:t xml:space="preserve">To test this, we leveraged </w:t>
      </w:r>
      <w:r w:rsidRPr="6C4092E4">
        <w:rPr>
          <w:rFonts w:ascii="Calibri" w:hAnsi="Calibri" w:cs="Calibri"/>
          <w:color w:val="000000" w:themeColor="text1"/>
          <w:lang w:val="en-US"/>
        </w:rPr>
        <w:t>the learned PB- and GC-state cellular programs (Fig. 2C–D) and project</w:t>
      </w:r>
      <w:r>
        <w:rPr>
          <w:rFonts w:ascii="Calibri" w:hAnsi="Calibri" w:cs="Calibri"/>
          <w:color w:val="000000" w:themeColor="text1"/>
          <w:lang w:val="en-US"/>
        </w:rPr>
        <w:t>ing</w:t>
      </w:r>
      <w:r w:rsidRPr="6C4092E4">
        <w:rPr>
          <w:rFonts w:ascii="Calibri" w:hAnsi="Calibri" w:cs="Calibri"/>
          <w:color w:val="000000" w:themeColor="text1"/>
          <w:lang w:val="en-US"/>
        </w:rPr>
        <w:t xml:space="preserve"> them onto ABCs at day 2 and day 4</w:t>
      </w:r>
      <w:r>
        <w:rPr>
          <w:rFonts w:ascii="Calibri" w:hAnsi="Calibri" w:cs="Calibri"/>
          <w:color w:val="000000" w:themeColor="text1"/>
          <w:lang w:val="en-US"/>
        </w:rPr>
        <w:t>. We aimed to</w:t>
      </w:r>
      <w:r w:rsidRPr="6C4092E4">
        <w:rPr>
          <w:rFonts w:ascii="Calibri" w:hAnsi="Calibri" w:cs="Calibri"/>
          <w:color w:val="000000" w:themeColor="text1"/>
          <w:lang w:val="en-US"/>
        </w:rPr>
        <w:t xml:space="preserve"> identify cells harboring latent PB- or GC-like signatures</w:t>
      </w:r>
      <w:r>
        <w:rPr>
          <w:rFonts w:ascii="Calibri" w:hAnsi="Calibri" w:cs="Calibri"/>
          <w:color w:val="000000" w:themeColor="text1"/>
          <w:lang w:val="en-US"/>
        </w:rPr>
        <w:t xml:space="preserve"> and found that cellular programs learnt from post-bifurcation phenotypes </w:t>
      </w:r>
      <w:r w:rsidRPr="6C4092E4">
        <w:rPr>
          <w:rFonts w:ascii="Calibri" w:hAnsi="Calibri" w:cs="Calibri"/>
          <w:color w:val="000000" w:themeColor="text1"/>
          <w:lang w:val="en-US"/>
        </w:rPr>
        <w:t xml:space="preserve">fail to predict </w:t>
      </w:r>
      <w:r>
        <w:rPr>
          <w:rFonts w:ascii="Calibri" w:hAnsi="Calibri" w:cs="Calibri"/>
          <w:color w:val="000000" w:themeColor="text1"/>
          <w:lang w:val="en-US"/>
        </w:rPr>
        <w:t>predisposition</w:t>
      </w:r>
      <w:r w:rsidRPr="6C4092E4">
        <w:rPr>
          <w:rFonts w:ascii="Calibri" w:hAnsi="Calibri" w:cs="Calibri"/>
          <w:color w:val="000000" w:themeColor="text1"/>
          <w:lang w:val="en-US"/>
        </w:rPr>
        <w:t xml:space="preserve"> (</w:t>
      </w:r>
      <w:r>
        <w:rPr>
          <w:rFonts w:ascii="Calibri" w:hAnsi="Calibri" w:cs="Calibri"/>
          <w:color w:val="000000" w:themeColor="text1"/>
          <w:lang w:val="en-US"/>
        </w:rPr>
        <w:t>Supplementary</w:t>
      </w:r>
      <w:r w:rsidRPr="6C4092E4">
        <w:rPr>
          <w:rFonts w:ascii="Calibri" w:hAnsi="Calibri" w:cs="Calibri"/>
          <w:color w:val="000000" w:themeColor="text1"/>
          <w:lang w:val="en-US"/>
        </w:rPr>
        <w:t xml:space="preserve"> Fig. </w:t>
      </w:r>
      <w:r>
        <w:rPr>
          <w:rFonts w:ascii="Calibri" w:hAnsi="Calibri" w:cs="Calibri"/>
          <w:color w:val="000000" w:themeColor="text1"/>
          <w:lang w:val="en-US"/>
        </w:rPr>
        <w:t>3</w:t>
      </w:r>
      <w:r w:rsidRPr="6C4092E4">
        <w:rPr>
          <w:rFonts w:ascii="Calibri" w:hAnsi="Calibri" w:cs="Calibri"/>
          <w:color w:val="000000" w:themeColor="text1"/>
          <w:lang w:val="en-US"/>
        </w:rPr>
        <w:t>)</w:t>
      </w:r>
      <w:r>
        <w:rPr>
          <w:rFonts w:ascii="Calibri" w:hAnsi="Calibri" w:cs="Calibri"/>
          <w:color w:val="000000" w:themeColor="text1"/>
          <w:lang w:val="en-US"/>
        </w:rPr>
        <w:t xml:space="preserve">. We posited that it is </w:t>
      </w:r>
      <w:r w:rsidRPr="6C4092E4">
        <w:rPr>
          <w:rFonts w:ascii="Calibri" w:hAnsi="Calibri" w:cs="Calibri"/>
          <w:color w:val="000000" w:themeColor="text1"/>
          <w:lang w:val="en-US"/>
        </w:rPr>
        <w:t xml:space="preserve">because these programs are </w:t>
      </w:r>
      <w:r>
        <w:rPr>
          <w:rFonts w:ascii="Calibri" w:hAnsi="Calibri" w:cs="Calibri"/>
          <w:color w:val="000000" w:themeColor="text1"/>
          <w:lang w:val="en-US"/>
        </w:rPr>
        <w:t>inferred</w:t>
      </w:r>
      <w:r w:rsidRPr="6C4092E4">
        <w:rPr>
          <w:rFonts w:ascii="Calibri" w:hAnsi="Calibri" w:cs="Calibri"/>
          <w:color w:val="000000" w:themeColor="text1"/>
          <w:lang w:val="en-US"/>
        </w:rPr>
        <w:t xml:space="preserve"> after phenotypic bifurcation</w:t>
      </w:r>
      <w:r>
        <w:rPr>
          <w:rFonts w:ascii="Calibri" w:hAnsi="Calibri" w:cs="Calibri"/>
          <w:color w:val="000000" w:themeColor="text1"/>
          <w:lang w:val="en-US"/>
        </w:rPr>
        <w:t xml:space="preserve"> and</w:t>
      </w:r>
      <w:r w:rsidRPr="6C4092E4">
        <w:rPr>
          <w:rFonts w:ascii="Calibri" w:hAnsi="Calibri" w:cs="Calibri"/>
          <w:color w:val="000000" w:themeColor="text1"/>
          <w:lang w:val="en-US"/>
        </w:rPr>
        <w:t xml:space="preserve"> their constituent genes largely reflect state-dependent regulons rather than TF dynamic activity. This limitation prompted us to shift </w:t>
      </w:r>
      <w:r>
        <w:rPr>
          <w:rFonts w:ascii="Calibri" w:hAnsi="Calibri" w:cs="Calibri"/>
          <w:color w:val="000000" w:themeColor="text1"/>
          <w:lang w:val="en-US"/>
        </w:rPr>
        <w:t xml:space="preserve">our </w:t>
      </w:r>
      <w:r w:rsidRPr="6C4092E4">
        <w:rPr>
          <w:rFonts w:ascii="Calibri" w:hAnsi="Calibri" w:cs="Calibri"/>
          <w:color w:val="000000" w:themeColor="text1"/>
          <w:lang w:val="en-US"/>
        </w:rPr>
        <w:t>focus from terminal transcriptional states to the final waves of dynamic</w:t>
      </w:r>
      <w:r>
        <w:rPr>
          <w:rFonts w:ascii="Calibri" w:hAnsi="Calibri" w:cs="Calibri"/>
          <w:color w:val="000000" w:themeColor="text1"/>
          <w:lang w:val="en-US"/>
        </w:rPr>
        <w:t xml:space="preserve"> GRNs in bifurcated states </w:t>
      </w:r>
      <w:r w:rsidRPr="6C4092E4">
        <w:rPr>
          <w:rFonts w:ascii="Calibri" w:hAnsi="Calibri" w:cs="Calibri"/>
          <w:color w:val="000000" w:themeColor="text1"/>
          <w:lang w:val="en-US"/>
        </w:rPr>
        <w:t xml:space="preserve">(Fig. 4E, 4H). By interrogating these regulatory dynamics, we identified lineage-defining TFs, including IRF4 and PRDM1, as dominant drivers of fate commitment. </w:t>
      </w:r>
      <w:r>
        <w:rPr>
          <w:rFonts w:ascii="Calibri" w:hAnsi="Calibri" w:cs="Calibri"/>
          <w:color w:val="000000" w:themeColor="text1"/>
          <w:lang w:val="en-US"/>
        </w:rPr>
        <w:t>Thus, we</w:t>
      </w:r>
      <w:r w:rsidRPr="6C4092E4">
        <w:rPr>
          <w:rFonts w:ascii="Calibri" w:hAnsi="Calibri" w:cs="Calibri"/>
          <w:color w:val="000000" w:themeColor="text1"/>
          <w:lang w:val="en-US"/>
        </w:rPr>
        <w:t xml:space="preserve"> examined their early regulatory activity using </w:t>
      </w:r>
      <w:r>
        <w:rPr>
          <w:rFonts w:ascii="Calibri" w:hAnsi="Calibri" w:cs="Calibri"/>
          <w:color w:val="000000" w:themeColor="text1"/>
          <w:lang w:val="en-US"/>
        </w:rPr>
        <w:t>TF p</w:t>
      </w:r>
      <w:r w:rsidRPr="6C4092E4">
        <w:rPr>
          <w:rFonts w:ascii="Calibri" w:hAnsi="Calibri" w:cs="Calibri"/>
          <w:color w:val="000000" w:themeColor="text1"/>
          <w:lang w:val="en-US"/>
        </w:rPr>
        <w:t xml:space="preserve">erturb-seq and higher–temporal-resolution profiling across pre-bifurcation windows (day 2 to day 4). </w:t>
      </w:r>
      <w:r w:rsidRPr="007111EF">
        <w:rPr>
          <w:rFonts w:ascii="Calibri" w:hAnsi="Calibri" w:cs="Calibri"/>
        </w:rPr>
        <w:t>We initially expected that, because IRF4 and PRDM1 were selected based on established B cell biology and their known roles in fate specification, the regulatory programs emerging from our perturbation analysis would be largely dominated by regulons centered on these factors. Surprisingly, instead of simply reinforcing these canonical regulators, we uncovered a distinct set of previously unappreciated regulons that become active during early stages. These findings indicate that fate commitment is encoded by dynamic TF activity prior to overt phenotypic divergence, revealing regulatory signatures that can predict lineage outcome before bifurcation becomes transcriptionally apparent.</w:t>
      </w:r>
    </w:p>
    <w:p w14:paraId="482E0E5E" w14:textId="77777777" w:rsidR="008515C4" w:rsidRDefault="008515C4" w:rsidP="008515C4">
      <w:pPr>
        <w:jc w:val="both"/>
        <w:rPr>
          <w:rFonts w:ascii="Calibri" w:hAnsi="Calibri" w:cs="Calibri"/>
          <w:color w:val="000000" w:themeColor="text1"/>
        </w:rPr>
      </w:pPr>
    </w:p>
    <w:p w14:paraId="29E9F61B" w14:textId="6C845A2D" w:rsidR="008515C4" w:rsidRPr="009658C3" w:rsidRDefault="008515C4" w:rsidP="008515C4">
      <w:pPr>
        <w:jc w:val="both"/>
        <w:rPr>
          <w:rFonts w:ascii="Calibri" w:hAnsi="Calibri" w:cs="Calibri"/>
          <w:color w:val="000000" w:themeColor="text1"/>
          <w:lang w:val="en-US"/>
        </w:rPr>
      </w:pPr>
      <w:r w:rsidRPr="6C4092E4">
        <w:rPr>
          <w:rFonts w:ascii="Calibri" w:hAnsi="Calibri" w:cs="Calibri"/>
          <w:color w:val="000000" w:themeColor="text1"/>
          <w:lang w:val="en-US"/>
        </w:rPr>
        <w:t xml:space="preserve">To do so, we </w:t>
      </w:r>
      <w:r>
        <w:rPr>
          <w:rFonts w:ascii="Calibri" w:hAnsi="Calibri" w:cs="Calibri"/>
          <w:color w:val="000000" w:themeColor="text1"/>
          <w:lang w:val="en-US"/>
        </w:rPr>
        <w:t xml:space="preserve">used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in</w:t>
      </w:r>
      <w:r w:rsidRPr="6C4092E4">
        <w:rPr>
          <w:rFonts w:ascii="Calibri" w:hAnsi="Calibri" w:cs="Calibri"/>
          <w:color w:val="000000" w:themeColor="text1"/>
          <w:lang w:val="en-US"/>
        </w:rPr>
        <w:t xml:space="preserve"> a three-stage </w:t>
      </w:r>
      <w:r>
        <w:rPr>
          <w:rFonts w:ascii="Calibri" w:hAnsi="Calibri" w:cs="Calibri"/>
          <w:color w:val="000000" w:themeColor="text1"/>
          <w:lang w:val="en-US"/>
        </w:rPr>
        <w:t>downstream task</w:t>
      </w:r>
      <w:r w:rsidRPr="6C4092E4">
        <w:rPr>
          <w:rFonts w:ascii="Calibri" w:hAnsi="Calibri" w:cs="Calibri"/>
          <w:color w:val="000000" w:themeColor="text1"/>
          <w:lang w:val="en-US"/>
        </w:rPr>
        <w:t xml:space="preserve"> - learning, prediction, and validation </w:t>
      </w:r>
      <w:r>
        <w:rPr>
          <w:rFonts w:ascii="Calibri" w:hAnsi="Calibri" w:cs="Calibri"/>
          <w:color w:val="000000" w:themeColor="text1"/>
          <w:lang w:val="en-US"/>
        </w:rPr>
        <w:t>–</w:t>
      </w:r>
      <w:r w:rsidRPr="6C4092E4">
        <w:rPr>
          <w:rFonts w:ascii="Calibri" w:hAnsi="Calibri" w:cs="Calibri"/>
          <w:color w:val="000000" w:themeColor="text1"/>
          <w:lang w:val="en-US"/>
        </w:rPr>
        <w:t xml:space="preserve"> </w:t>
      </w:r>
      <w:r>
        <w:rPr>
          <w:rFonts w:ascii="Calibri" w:hAnsi="Calibri" w:cs="Calibri"/>
          <w:color w:val="000000" w:themeColor="text1"/>
          <w:lang w:val="en-US"/>
        </w:rPr>
        <w:t>to integrate</w:t>
      </w:r>
      <w:r w:rsidRPr="6C4092E4">
        <w:rPr>
          <w:rFonts w:ascii="Calibri" w:hAnsi="Calibri" w:cs="Calibri"/>
          <w:color w:val="000000" w:themeColor="text1"/>
          <w:lang w:val="en-US"/>
        </w:rPr>
        <w:t xml:space="preserve"> dynamic TF activity which leads us to fate commitment prediction. In learning step, we train classifier models to extract gene features discriminating TF-perturbed cells from wild-type controls, leveraging perturbations that </w:t>
      </w:r>
      <w:r w:rsidR="00D424EE">
        <w:rPr>
          <w:rFonts w:ascii="Calibri" w:hAnsi="Calibri" w:cs="Calibri"/>
          <w:color w:val="000000" w:themeColor="text1"/>
          <w:lang w:val="en-US"/>
        </w:rPr>
        <w:t>control</w:t>
      </w:r>
      <w:r w:rsidRPr="6C4092E4">
        <w:rPr>
          <w:rFonts w:ascii="Calibri" w:hAnsi="Calibri" w:cs="Calibri"/>
          <w:color w:val="000000" w:themeColor="text1"/>
          <w:lang w:val="en-US"/>
        </w:rPr>
        <w:t xml:space="preserve"> fate—PRDM1 or IRF4 knockouts favoring GC states (Fig. 5A Left). In the prediction phase, these perturbation-derived signatures are transferred to independent unperturbed ABCs at Day2 and Day4 to identify cells harboring latent GC-like or PB-like programs (Fig. 5A Middle). To validate predictions, we cross-compared against bona fide terminal phenotypes. A correctly predicted GC-like ABC should be transcriptionally indistinguishable from terminal GC cells (AUC ≈ 0.5) yet separable from PB fate (high AUC) (Fig. 5A Right). This transfer-learning approach maintains total data isolation between learning and prediction phases.</w:t>
      </w:r>
    </w:p>
    <w:p w14:paraId="0F932801" w14:textId="77777777" w:rsidR="008515C4" w:rsidRPr="009658C3" w:rsidRDefault="008515C4" w:rsidP="008515C4">
      <w:pPr>
        <w:jc w:val="both"/>
        <w:rPr>
          <w:rFonts w:ascii="Calibri" w:hAnsi="Calibri" w:cs="Calibri"/>
          <w:color w:val="000000" w:themeColor="text1"/>
        </w:rPr>
      </w:pPr>
    </w:p>
    <w:p w14:paraId="1B7258B3" w14:textId="77777777" w:rsidR="008515C4" w:rsidRPr="009658C3" w:rsidRDefault="008515C4" w:rsidP="008515C4">
      <w:pPr>
        <w:pStyle w:val="NormalWeb"/>
        <w:spacing w:before="0" w:beforeAutospacing="0" w:after="0" w:afterAutospacing="0" w:line="276" w:lineRule="auto"/>
        <w:jc w:val="both"/>
        <w:rPr>
          <w:rFonts w:ascii="Calibri" w:hAnsi="Calibri" w:cs="Calibri"/>
          <w:color w:val="000000" w:themeColor="text1"/>
          <w:sz w:val="22"/>
          <w:szCs w:val="22"/>
        </w:rPr>
      </w:pPr>
      <w:r w:rsidRPr="007111EF">
        <w:rPr>
          <w:rFonts w:ascii="Calibri" w:hAnsi="Calibri" w:cs="Calibri"/>
          <w:color w:val="000000" w:themeColor="text1"/>
          <w:sz w:val="22"/>
          <w:szCs w:val="22"/>
        </w:rPr>
        <w:t xml:space="preserve">Then, we tested whether conventional gene-based classifiers could resolve latent fate bias in uncommitted cells. We trained a regularized Lasso logistic regression model to discriminate PRDM1-deficient and IRF4-deficient cells from wild-type controls. While this model achieved near-perfect classification on perturbation training data (AUC ≈ 0.99), prediction on unperturbed day 2 and day 4 ABCs resulted in over 92% of cells being labeled as GC-biased (Fig. 5B). Validation revealed fundamental failure: the predicted GC-like cells were not distinguishable from the alternative PB fate (AUC = 0.70). To ensure this was not a byproduct of Lasso-specific feature selection, we tested a second approach constrained to </w:t>
      </w:r>
      <w:r w:rsidRPr="007111EF">
        <w:rPr>
          <w:rFonts w:ascii="Calibri" w:hAnsi="Calibri" w:cs="Calibri"/>
          <w:color w:val="000000" w:themeColor="text1"/>
          <w:sz w:val="22"/>
          <w:szCs w:val="22"/>
        </w:rPr>
        <w:lastRenderedPageBreak/>
        <w:t xml:space="preserve">differentially expressed genes (DEGs) (Extended Fig. 3A). This gene-centric prediction similarly labeled over 93% of ABCs as GC-like, yet validation again failed as classifiers could not distinguish these cells from terminal PB cells (AUC 0.50-0.62; Fig. 5C, Extended Fig. 3B). These results demonstrate that univariate gene features cannot resolve the latent regulatory architecture of fate predisposition, even when they accurately define terminal states. This reflects that </w:t>
      </w:r>
      <w:r w:rsidRPr="00EF1D60">
        <w:rPr>
          <w:rFonts w:ascii="Calibri" w:hAnsi="Calibri" w:cs="Calibri"/>
          <w:color w:val="000000" w:themeColor="text1"/>
          <w:sz w:val="22"/>
          <w:szCs w:val="22"/>
        </w:rPr>
        <w:t>fate</w:t>
      </w:r>
      <w:r w:rsidRPr="009658C3">
        <w:rPr>
          <w:rFonts w:ascii="Calibri" w:hAnsi="Calibri" w:cs="Calibri"/>
          <w:color w:val="000000" w:themeColor="text1"/>
          <w:sz w:val="22"/>
          <w:szCs w:val="22"/>
        </w:rPr>
        <w:t xml:space="preserve"> commitment is not a static list of differentially expressed genes but a coordinated regulatory program that precedes phenotypic divergence. These models fail not because bias is absent, but because they discount higher-order cellular programs that govern latent states. To resolve this, we leveraged </w:t>
      </w:r>
      <w:proofErr w:type="spellStart"/>
      <w:r>
        <w:rPr>
          <w:rFonts w:ascii="Calibri" w:hAnsi="Calibri" w:cs="Calibri"/>
          <w:color w:val="000000" w:themeColor="text1"/>
          <w:sz w:val="22"/>
          <w:szCs w:val="22"/>
        </w:rPr>
        <w:t>FIREFate</w:t>
      </w:r>
      <w:proofErr w:type="spellEnd"/>
      <w:r>
        <w:rPr>
          <w:rFonts w:ascii="Calibri" w:hAnsi="Calibri" w:cs="Calibri"/>
          <w:color w:val="000000" w:themeColor="text1"/>
          <w:sz w:val="22"/>
          <w:szCs w:val="22"/>
        </w:rPr>
        <w:t xml:space="preserve"> </w:t>
      </w:r>
      <w:r w:rsidRPr="009658C3">
        <w:rPr>
          <w:rFonts w:ascii="Calibri" w:hAnsi="Calibri" w:cs="Calibri"/>
          <w:color w:val="000000" w:themeColor="text1"/>
          <w:sz w:val="22"/>
          <w:szCs w:val="22"/>
        </w:rPr>
        <w:t xml:space="preserve">to model fate predisposition at the level of regulatory programs rather than individual genes. By capturing these complex interactions, </w:t>
      </w:r>
      <w:r>
        <w:rPr>
          <w:rFonts w:ascii="Calibri" w:hAnsi="Calibri" w:cs="Calibri"/>
          <w:color w:val="000000" w:themeColor="text1"/>
          <w:sz w:val="22"/>
          <w:szCs w:val="22"/>
        </w:rPr>
        <w:t>it</w:t>
      </w:r>
      <w:r w:rsidRPr="009658C3">
        <w:rPr>
          <w:rFonts w:ascii="Calibri" w:hAnsi="Calibri" w:cs="Calibri"/>
          <w:color w:val="000000" w:themeColor="text1"/>
          <w:sz w:val="22"/>
          <w:szCs w:val="22"/>
        </w:rPr>
        <w:t xml:space="preserve"> unmasked a lineage commitment landscape within early, heterogeneous ABC populations that remained entirely invisible to DEG-based methods.</w:t>
      </w:r>
    </w:p>
    <w:p w14:paraId="0CC1968F" w14:textId="77777777" w:rsidR="008515C4" w:rsidRPr="009658C3" w:rsidRDefault="008515C4" w:rsidP="008515C4">
      <w:pPr>
        <w:pStyle w:val="NormalWeb"/>
        <w:spacing w:before="0" w:beforeAutospacing="0" w:after="0" w:afterAutospacing="0" w:line="276" w:lineRule="auto"/>
        <w:jc w:val="both"/>
        <w:rPr>
          <w:rFonts w:ascii="Calibri" w:hAnsi="Calibri" w:cs="Calibri"/>
          <w:color w:val="000000" w:themeColor="text1"/>
          <w:sz w:val="22"/>
          <w:szCs w:val="22"/>
        </w:rPr>
      </w:pPr>
    </w:p>
    <w:p w14:paraId="79B9A305" w14:textId="37D75D02" w:rsidR="008515C4" w:rsidRDefault="008515C4" w:rsidP="008515C4">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We</w:t>
      </w:r>
      <w:r w:rsidRPr="009658C3">
        <w:rPr>
          <w:rFonts w:ascii="Calibri" w:hAnsi="Calibri" w:cs="Calibri"/>
          <w:color w:val="000000" w:themeColor="text1"/>
          <w:sz w:val="22"/>
          <w:szCs w:val="22"/>
        </w:rPr>
        <w:t xml:space="preserve"> </w:t>
      </w:r>
      <w:r>
        <w:rPr>
          <w:rFonts w:ascii="Calibri" w:hAnsi="Calibri" w:cs="Calibri"/>
          <w:color w:val="000000" w:themeColor="text1"/>
          <w:sz w:val="22"/>
          <w:szCs w:val="22"/>
        </w:rPr>
        <w:t xml:space="preserve">first </w:t>
      </w:r>
      <w:r w:rsidRPr="009658C3">
        <w:rPr>
          <w:rFonts w:ascii="Calibri" w:hAnsi="Calibri" w:cs="Calibri"/>
          <w:color w:val="000000" w:themeColor="text1"/>
          <w:sz w:val="22"/>
          <w:szCs w:val="22"/>
        </w:rPr>
        <w:t>infer</w:t>
      </w:r>
      <w:r>
        <w:rPr>
          <w:rFonts w:ascii="Calibri" w:hAnsi="Calibri" w:cs="Calibri"/>
          <w:color w:val="000000" w:themeColor="text1"/>
          <w:sz w:val="22"/>
          <w:szCs w:val="22"/>
        </w:rPr>
        <w:t>red</w:t>
      </w:r>
      <w:r w:rsidRPr="009658C3">
        <w:rPr>
          <w:rFonts w:ascii="Calibri" w:hAnsi="Calibri" w:cs="Calibri"/>
          <w:color w:val="000000" w:themeColor="text1"/>
          <w:sz w:val="22"/>
          <w:szCs w:val="22"/>
        </w:rPr>
        <w:t xml:space="preserve"> the transcriptional programs underlying IRF4- and PRDM1-deficient states, achieving near-perfect discrimination between perturbed and control cells (AUC ≈ 0.99; Extended Fig. 3C). For each model, a single regulatory component captured the core signals driving lineage divergence</w:t>
      </w:r>
      <w:r>
        <w:rPr>
          <w:rFonts w:ascii="Calibri" w:hAnsi="Calibri" w:cs="Calibri"/>
          <w:color w:val="000000" w:themeColor="text1"/>
          <w:sz w:val="22"/>
          <w:szCs w:val="22"/>
        </w:rPr>
        <w:t xml:space="preserve"> (</w:t>
      </w:r>
      <w:r w:rsidRPr="009658C3">
        <w:rPr>
          <w:rFonts w:ascii="Calibri" w:hAnsi="Calibri" w:cs="Calibri"/>
          <w:color w:val="000000" w:themeColor="text1"/>
          <w:sz w:val="22"/>
          <w:szCs w:val="22"/>
        </w:rPr>
        <w:t>Extended Fig. 3</w:t>
      </w:r>
      <w:r>
        <w:rPr>
          <w:rFonts w:ascii="Calibri" w:hAnsi="Calibri" w:cs="Calibri"/>
          <w:color w:val="000000" w:themeColor="text1"/>
          <w:sz w:val="22"/>
          <w:szCs w:val="22"/>
        </w:rPr>
        <w:t>D)</w:t>
      </w:r>
      <w:r w:rsidRPr="009658C3">
        <w:rPr>
          <w:rFonts w:ascii="Calibri" w:hAnsi="Calibri" w:cs="Calibri"/>
          <w:color w:val="000000" w:themeColor="text1"/>
          <w:sz w:val="22"/>
          <w:szCs w:val="22"/>
        </w:rPr>
        <w:t>. In the PRDM1-deficient model, this component was enriched for B-cell activation signaling and included critical lineage regulators such as SPIB and MYBL2</w:t>
      </w:r>
      <w:r>
        <w:rPr>
          <w:rFonts w:ascii="Calibri" w:hAnsi="Calibri" w:cs="Calibri"/>
          <w:color w:val="000000" w:themeColor="text1"/>
          <w:sz w:val="22"/>
          <w:szCs w:val="22"/>
        </w:rPr>
        <w:fldChar w:fldCharType="begin"/>
      </w:r>
      <w:r w:rsidR="00BD6670">
        <w:rPr>
          <w:rFonts w:ascii="Calibri" w:hAnsi="Calibri" w:cs="Calibri"/>
          <w:color w:val="000000" w:themeColor="text1"/>
          <w:sz w:val="22"/>
          <w:szCs w:val="22"/>
        </w:rPr>
        <w:instrText xml:space="preserve"> ADDIN ZOTERO_ITEM CSL_CITATION {"citationID":"zEWzmn45","properties":{"formattedCitation":"\\super 51\\nosupersub{}","plainCitation":"51","noteIndex":0},"citationItems":[{"id":2736,"uris":["http://zotero.org/groups/6337619/items/S4UBGNP2"],"itemData":{"id":2736,"type":"article-journal","abstract":"Generation of memory B cells is one of the key features of adaptive immunity as they respond rapidly to re-exposure to the antigen and generate functional antibodies. Although the functions of memory B cells are becoming clearer, the regulation of memory B cell generation and maintenance is still not well understood. Here we found that transcription factor SpiB is expressed in some germinal center (GC) B cells and memory B cells and participates in the maintenance of memory B cells. Overexpression and knockdown analyses revealed that SpiB suppresses plasma cell differentiation by suppressing the expression of Blimp1 while inducing Bach2 in the\n              in-vitro\n              -induced germinal center B (iGB) cell culture system, and that SpiB facilitates\n              in-vivo\n              appearance of memory-like B cells derived from the iGB cells. Further analysis in IgG1\n              +\n              cell-specific SpiB conditional knockout (cKO) mice showed that function of SpiB is critical for the generation of late memory B cells but not early memory B cells or GC B cells. Gene expression analysis suggested that SpiB-dependent suppression of plasma cell differentiation is independent of the expression of Bach2. We further revealed that SpiB upregulates anti-apoptosis and autophagy genes to control the survival of memory B cells. These findings indicate the function of SpiB in the generation of long-lasting memory B cells to maintain humoral memory.","container-title":"Frontiers in Immunology","DOI":"10.3389/fimmu.2023.1250719","ISSN":"1664-3224","journalAbbreviation":"Front. Immunol.","page":"1250719","source":"DOI.org (Crossref)","title":"SpiB regulates the expression of B-cell-related genes and increases the longevity of memory B cells","volume":"14","author":[{"family":"Horiuchi","given":"Shu"},{"family":"Koike","given":"Takuya"},{"family":"Takebuchi","given":"Hirofumi"},{"family":"Hoshino","given":"Katsuaki"},{"family":"Sasaki","given":"Izumi"},{"family":"Fukuda-Ohta","given":"Yuri"},{"family":"Kaisho","given":"Tsuneyasu"},{"family":"Kitamura","given":"Daisuke"}],"issued":{"date-parts":[["2023",10,27]]}}}],"schema":"https://github.com/citation-style-language/schema/raw/master/csl-citation.json"} </w:instrText>
      </w:r>
      <w:r>
        <w:rPr>
          <w:rFonts w:ascii="Calibri" w:hAnsi="Calibri" w:cs="Calibri"/>
          <w:color w:val="000000" w:themeColor="text1"/>
          <w:sz w:val="22"/>
          <w:szCs w:val="22"/>
        </w:rPr>
        <w:fldChar w:fldCharType="separate"/>
      </w:r>
      <w:r w:rsidR="00BD6670" w:rsidRPr="00BD6670">
        <w:rPr>
          <w:rFonts w:ascii="Calibri" w:eastAsiaTheme="minorHAnsi" w:hAnsi="Calibri" w:cs="Calibri"/>
          <w:color w:val="000000"/>
          <w:sz w:val="22"/>
          <w:vertAlign w:val="superscript"/>
          <w14:ligatures w14:val="standardContextual"/>
        </w:rPr>
        <w:t>51</w:t>
      </w:r>
      <w:r>
        <w:rPr>
          <w:rFonts w:ascii="Calibri" w:hAnsi="Calibri" w:cs="Calibri"/>
          <w:color w:val="000000" w:themeColor="text1"/>
          <w:sz w:val="22"/>
          <w:szCs w:val="22"/>
        </w:rPr>
        <w:fldChar w:fldCharType="end"/>
      </w:r>
      <w:r>
        <w:rPr>
          <w:rFonts w:ascii="Calibri" w:hAnsi="Calibri" w:cs="Calibri"/>
          <w:color w:val="000000" w:themeColor="text1"/>
          <w:sz w:val="22"/>
          <w:szCs w:val="22"/>
          <w:vertAlign w:val="superscript"/>
        </w:rPr>
        <w:t>,</w:t>
      </w:r>
      <w:r>
        <w:rPr>
          <w:rFonts w:ascii="Calibri" w:hAnsi="Calibri" w:cs="Calibri"/>
          <w:color w:val="000000" w:themeColor="text1"/>
          <w:sz w:val="22"/>
          <w:szCs w:val="22"/>
          <w:vertAlign w:val="superscript"/>
        </w:rPr>
        <w:fldChar w:fldCharType="begin"/>
      </w:r>
      <w:r w:rsidR="00BD6670">
        <w:rPr>
          <w:rFonts w:ascii="Calibri" w:hAnsi="Calibri" w:cs="Calibri"/>
          <w:color w:val="000000" w:themeColor="text1"/>
          <w:sz w:val="22"/>
          <w:szCs w:val="22"/>
          <w:vertAlign w:val="superscript"/>
        </w:rPr>
        <w:instrText xml:space="preserve"> ADDIN ZOTERO_ITEM CSL_CITATION {"citationID":"0wQw3MSW","properties":{"formattedCitation":"\\super 52\\nosupersub{}","plainCitation":"52","noteIndex":0},"citationItems":[{"id":2737,"uris":["http://zotero.org/groups/6337619/items/TKBF25Z2"],"itemData":{"id":2737,"type":"article-journal","abstract":"Limitless cell proliferation, evasion from apoptosis, dedifferentiation, metastatic spread and therapy resistance: all these properties of a cancer cell contribute to its malignant phenotype and affect patient outcome. MYBL2 (alias B-Myb) is a transcription factor of the MYB transcription factor family and a physiological regulator of cell cycle progression, cell survival and cell differentiation. When deregulated in cancer cells, MYBL2 mediates the deregulation of these properties. In fact, MYBL2 is overexpressed and associated with poor patient outcome in numerous cancer entities. MYBL2 and players of its downstream transcriptional network can be used as prognostic and/or predictive biomarkers as well as potential therapeutic targets to offer less toxic and more specific anti-cancer therapies in future. In this review, we summarize current knowledge on the physiological roles of MYBL2 and highlight the impact of its deregulation on cancer initiation and progression.","container-title":"Cell Death &amp; Disease","DOI":"10.1038/cddis.2017.244","ISSN":"2041-4889","issue":"6","journalAbbreviation":"Cell Death Dis","language":"eng","page":"e2895","PMID":"28640249","PMCID":"PMC5520903","source":"PubMed","title":"MYBL2 (B-Myb): a central regulator of cell proliferation, cell survival and differentiation involved in tumorigenesis","title-short":"MYBL2 (B-Myb)","volume":"8","author":[{"family":"Musa","given":"Julian"},{"family":"Aynaud","given":"Marie-Ming"},{"family":"Mirabeau","given":"Olivier"},{"family":"Delattre","given":"Olivier"},{"family":"Grünewald","given":"Thomas Gp"}],"issued":{"date-parts":[["2017",6,22]]}}}],"schema":"https://github.com/citation-style-language/schema/raw/master/csl-citation.json"} </w:instrText>
      </w:r>
      <w:r>
        <w:rPr>
          <w:rFonts w:ascii="Calibri" w:hAnsi="Calibri" w:cs="Calibri"/>
          <w:color w:val="000000" w:themeColor="text1"/>
          <w:sz w:val="22"/>
          <w:szCs w:val="22"/>
          <w:vertAlign w:val="superscript"/>
        </w:rPr>
        <w:fldChar w:fldCharType="separate"/>
      </w:r>
      <w:r w:rsidR="00BD6670" w:rsidRPr="00BD6670">
        <w:rPr>
          <w:rFonts w:ascii="Calibri" w:eastAsiaTheme="minorHAnsi" w:hAnsi="Calibri" w:cs="Calibri"/>
          <w:color w:val="000000"/>
          <w:sz w:val="22"/>
          <w:vertAlign w:val="superscript"/>
          <w14:ligatures w14:val="standardContextual"/>
        </w:rPr>
        <w:t>52</w:t>
      </w:r>
      <w:r>
        <w:rPr>
          <w:rFonts w:ascii="Calibri" w:hAnsi="Calibri" w:cs="Calibri"/>
          <w:color w:val="000000" w:themeColor="text1"/>
          <w:sz w:val="22"/>
          <w:szCs w:val="22"/>
          <w:vertAlign w:val="superscript"/>
        </w:rPr>
        <w:fldChar w:fldCharType="end"/>
      </w:r>
      <w:r w:rsidRPr="009658C3">
        <w:rPr>
          <w:rFonts w:ascii="Calibri" w:hAnsi="Calibri" w:cs="Calibri"/>
          <w:color w:val="000000" w:themeColor="text1"/>
          <w:sz w:val="22"/>
          <w:szCs w:val="22"/>
        </w:rPr>
        <w:t>, alongside immune-modulatory components like TGFB1</w:t>
      </w:r>
      <w:r>
        <w:rPr>
          <w:rFonts w:ascii="Calibri" w:hAnsi="Calibri" w:cs="Calibri"/>
          <w:color w:val="000000" w:themeColor="text1"/>
          <w:sz w:val="22"/>
          <w:szCs w:val="22"/>
        </w:rPr>
        <w:fldChar w:fldCharType="begin"/>
      </w:r>
      <w:r w:rsidR="00BD6670">
        <w:rPr>
          <w:rFonts w:ascii="Calibri" w:hAnsi="Calibri" w:cs="Calibri"/>
          <w:color w:val="000000" w:themeColor="text1"/>
          <w:sz w:val="22"/>
          <w:szCs w:val="22"/>
        </w:rPr>
        <w:instrText xml:space="preserve"> ADDIN ZOTERO_ITEM CSL_CITATION {"citationID":"VGtVzTu5","properties":{"formattedCitation":"\\super 53\\nosupersub{}","plainCitation":"53","noteIndex":0},"citationItems":[{"id":2739,"uris":["http://zotero.org/groups/6337619/items/KKPFWQMD"],"itemData":{"id":2739,"type":"article-journal","abstract":"The TGFβ superfamily is composed of more than 33 growth and differentiation factors, including TGFβ1, β2, β3, BMPs, GDFs, nodal-related proteins, and activins. These members usually exert pleiotropic actions on several tissues and control multiple cellular processes, such as cell growth, cell survival, cell migration, cell fate specification, and differentiation, both during embryonic development and postnatal life. Although the effects of these factors on immune responses were elucidated long ago, most studies have been focused on the actions of TGFβs on T cells, as major regulators of adaptive immunity. In this review, we discuss new findings about the involvement of TGFβ superfamily members in the control of B cell development and function. Moreover, the potential contribution of TGFβ signaling to control B cell-mediated autoimmune diseases and its utility in the design of new therapies are also discussed.","container-title":"International Journal of Molecular Sciences","DOI":"10.3390/ijms19123928","ISSN":"1422-0067","issue":"12","journalAbbreviation":"Int J Mol Sci","language":"eng","page":"3928","PMID":"30544541","PMCID":"PMC6321615","source":"PubMed","title":"TGFβ Superfamily Members as Regulators of B Cell Development and Function-Implications for Autoimmunity","volume":"19","author":[{"family":"Tamayo","given":"Esther"},{"family":"Alvarez","given":"Pilar"},{"family":"Merino","given":"Ramón"}],"issued":{"date-parts":[["2018",12,7]]}}}],"schema":"https://github.com/citation-style-language/schema/raw/master/csl-citation.json"} </w:instrText>
      </w:r>
      <w:r>
        <w:rPr>
          <w:rFonts w:ascii="Calibri" w:hAnsi="Calibri" w:cs="Calibri"/>
          <w:color w:val="000000" w:themeColor="text1"/>
          <w:sz w:val="22"/>
          <w:szCs w:val="22"/>
        </w:rPr>
        <w:fldChar w:fldCharType="separate"/>
      </w:r>
      <w:r w:rsidR="00BD6670" w:rsidRPr="00BD6670">
        <w:rPr>
          <w:rFonts w:ascii="Calibri" w:eastAsiaTheme="minorHAnsi" w:hAnsi="Calibri" w:cs="Calibri"/>
          <w:color w:val="000000"/>
          <w:sz w:val="22"/>
          <w:vertAlign w:val="superscript"/>
          <w14:ligatures w14:val="standardContextual"/>
        </w:rPr>
        <w:t>53</w:t>
      </w:r>
      <w:r>
        <w:rPr>
          <w:rFonts w:ascii="Calibri" w:hAnsi="Calibri" w:cs="Calibri"/>
          <w:color w:val="000000" w:themeColor="text1"/>
          <w:sz w:val="22"/>
          <w:szCs w:val="22"/>
        </w:rPr>
        <w:fldChar w:fldCharType="end"/>
      </w:r>
      <w:r w:rsidRPr="009658C3">
        <w:rPr>
          <w:rFonts w:ascii="Calibri" w:hAnsi="Calibri" w:cs="Calibri"/>
          <w:color w:val="000000" w:themeColor="text1"/>
          <w:sz w:val="22"/>
          <w:szCs w:val="22"/>
        </w:rPr>
        <w:t xml:space="preserve"> (Fig. 5D</w:t>
      </w:r>
      <w:r>
        <w:rPr>
          <w:rFonts w:ascii="Calibri" w:hAnsi="Calibri" w:cs="Calibri"/>
          <w:color w:val="000000" w:themeColor="text1"/>
          <w:sz w:val="22"/>
          <w:szCs w:val="22"/>
        </w:rPr>
        <w:t>, top</w:t>
      </w:r>
      <w:r w:rsidRPr="009658C3">
        <w:rPr>
          <w:rFonts w:ascii="Calibri" w:hAnsi="Calibri" w:cs="Calibri"/>
          <w:color w:val="000000" w:themeColor="text1"/>
          <w:sz w:val="22"/>
          <w:szCs w:val="22"/>
        </w:rPr>
        <w:t>). The IRF4-deficient model identified a program centered on BCR signaling and differentiation regulation, encompassing BLNK</w:t>
      </w:r>
      <w:r>
        <w:rPr>
          <w:rFonts w:ascii="Calibri" w:hAnsi="Calibri" w:cs="Calibri"/>
          <w:color w:val="000000" w:themeColor="text1"/>
          <w:sz w:val="22"/>
          <w:szCs w:val="22"/>
        </w:rPr>
        <w:fldChar w:fldCharType="begin"/>
      </w:r>
      <w:r w:rsidR="00BD6670">
        <w:rPr>
          <w:rFonts w:ascii="Calibri" w:hAnsi="Calibri" w:cs="Calibri"/>
          <w:color w:val="000000" w:themeColor="text1"/>
          <w:sz w:val="22"/>
          <w:szCs w:val="22"/>
        </w:rPr>
        <w:instrText xml:space="preserve"> ADDIN ZOTERO_ITEM CSL_CITATION {"citationID":"8Go1wv6a","properties":{"formattedCitation":"\\super 54\\nosupersub{}","plainCitation":"54","noteIndex":0},"citationItems":[{"id":2741,"uris":["http://zotero.org/groups/6337619/items/IT93RBL5"],"itemData":{"id":2741,"type":"article-journal","abstract":"Linker proteins function as molecular scaffolds to localize enzymes with substrates. In B cells, B cell linker protein (BLNK) links the B cell receptor (BCR)–activated Syk kinase to the phosphoinositide and mitogen-activated kinase pathways. To examine the in vivo role of BLNK, mice deficient in\n              BLNK\n              were generated. B cell development in\n              BLNK\n              −/−\n              mice was blocked at the transition from B220\n              +\n              CD43\n              +\n              progenitor B to B220\n              +\n              CD43\n              −\n              precursor B cells. Only a small percentage of immunoglobulin M\n              ++\n              (IgM\n              ++\n              ), but not mature IgM\n              lo\n              IgD\n              hi\n              , B cells were detected in the periphery. Hence, BLNK is an essential component of BCR signaling pathways and is required to promote B cell development.","container-title":"Science","DOI":"10.1126/science.286.5446.1949","ISSN":"0036-8075, 1095-9203","issue":"5446","journalAbbreviation":"Science","language":"en","page":"1949-1954","source":"DOI.org (Crossref)","title":"Requirement for B Cell Linker Protein (BLNK) in B Cell Development","volume":"286","author":[{"family":"Pappu","given":"Rajita"},{"family":"Cheng","given":"Alec M."},{"family":"Li","given":"Bin"},{"family":"Gong","given":"Qian"},{"family":"Chiu","given":"Chris"},{"family":"Griffin","given":"Nancy"},{"family":"White","given":"Mike"},{"family":"Sleckman","given":"Barry P."},{"family":"Chan","given":"Andrew C."}],"issued":{"date-parts":[["1999",12,3]]}}}],"schema":"https://github.com/citation-style-language/schema/raw/master/csl-citation.json"} </w:instrText>
      </w:r>
      <w:r>
        <w:rPr>
          <w:rFonts w:ascii="Calibri" w:hAnsi="Calibri" w:cs="Calibri"/>
          <w:color w:val="000000" w:themeColor="text1"/>
          <w:sz w:val="22"/>
          <w:szCs w:val="22"/>
        </w:rPr>
        <w:fldChar w:fldCharType="separate"/>
      </w:r>
      <w:r w:rsidR="00BD6670" w:rsidRPr="00BD6670">
        <w:rPr>
          <w:rFonts w:ascii="Calibri" w:eastAsiaTheme="minorHAnsi" w:hAnsi="Calibri" w:cs="Calibri"/>
          <w:color w:val="000000"/>
          <w:sz w:val="22"/>
          <w:vertAlign w:val="superscript"/>
          <w14:ligatures w14:val="standardContextual"/>
        </w:rPr>
        <w:t>54</w:t>
      </w:r>
      <w:r>
        <w:rPr>
          <w:rFonts w:ascii="Calibri" w:hAnsi="Calibri" w:cs="Calibri"/>
          <w:color w:val="000000" w:themeColor="text1"/>
          <w:sz w:val="22"/>
          <w:szCs w:val="22"/>
        </w:rPr>
        <w:fldChar w:fldCharType="end"/>
      </w:r>
      <w:r w:rsidRPr="009658C3">
        <w:rPr>
          <w:rFonts w:ascii="Calibri" w:hAnsi="Calibri" w:cs="Calibri"/>
          <w:color w:val="000000" w:themeColor="text1"/>
          <w:sz w:val="22"/>
          <w:szCs w:val="22"/>
        </w:rPr>
        <w:t>, NCK1</w:t>
      </w:r>
      <w:r>
        <w:rPr>
          <w:rFonts w:ascii="Calibri" w:hAnsi="Calibri" w:cs="Calibri"/>
          <w:color w:val="000000" w:themeColor="text1"/>
          <w:sz w:val="22"/>
          <w:szCs w:val="22"/>
        </w:rPr>
        <w:fldChar w:fldCharType="begin"/>
      </w:r>
      <w:r w:rsidR="00BD6670">
        <w:rPr>
          <w:rFonts w:ascii="Calibri" w:hAnsi="Calibri" w:cs="Calibri"/>
          <w:color w:val="000000" w:themeColor="text1"/>
          <w:sz w:val="22"/>
          <w:szCs w:val="22"/>
        </w:rPr>
        <w:instrText xml:space="preserve"> ADDIN ZOTERO_ITEM CSL_CITATION {"citationID":"OA4bbFIM","properties":{"formattedCitation":"\\super 55\\nosupersub{}","plainCitation":"55","noteIndex":0},"citationItems":[{"id":2742,"uris":["http://zotero.org/groups/6337619/items/GD69N5RQ"],"itemData":{"id":2742,"type":"article-journal","container-title":"Cellular &amp; Molecular Immunology","DOI":"10.1038/cmi.2013.53","ISSN":"2042-0226","issue":"2","journalAbbreviation":"Cell Mol Immunol","language":"eng","page":"120-122","PMID":"24270472","PMCID":"PMC4003375","source":"PubMed","title":"Nck, a missing adaptor between the B-cell receptor complex and the BCAP/PI3K/Akt pathway","volume":"11","author":[{"family":"Leu","given":"Chuen-Miin"}],"issued":{"date-parts":[["2014",3]]}}}],"schema":"https://github.com/citation-style-language/schema/raw/master/csl-citation.json"} </w:instrText>
      </w:r>
      <w:r>
        <w:rPr>
          <w:rFonts w:ascii="Calibri" w:hAnsi="Calibri" w:cs="Calibri"/>
          <w:color w:val="000000" w:themeColor="text1"/>
          <w:sz w:val="22"/>
          <w:szCs w:val="22"/>
        </w:rPr>
        <w:fldChar w:fldCharType="separate"/>
      </w:r>
      <w:r w:rsidR="00BD6670" w:rsidRPr="00BD6670">
        <w:rPr>
          <w:rFonts w:ascii="Calibri" w:eastAsiaTheme="minorHAnsi" w:hAnsi="Calibri" w:cs="Calibri"/>
          <w:color w:val="000000"/>
          <w:sz w:val="22"/>
          <w:vertAlign w:val="superscript"/>
          <w14:ligatures w14:val="standardContextual"/>
        </w:rPr>
        <w:t>55</w:t>
      </w:r>
      <w:r>
        <w:rPr>
          <w:rFonts w:ascii="Calibri" w:hAnsi="Calibri" w:cs="Calibri"/>
          <w:color w:val="000000" w:themeColor="text1"/>
          <w:sz w:val="22"/>
          <w:szCs w:val="22"/>
        </w:rPr>
        <w:fldChar w:fldCharType="end"/>
      </w:r>
      <w:r w:rsidRPr="009658C3">
        <w:rPr>
          <w:rFonts w:ascii="Calibri" w:hAnsi="Calibri" w:cs="Calibri"/>
          <w:color w:val="000000" w:themeColor="text1"/>
          <w:sz w:val="22"/>
          <w:szCs w:val="22"/>
        </w:rPr>
        <w:t xml:space="preserve">  (Fig. 5D</w:t>
      </w:r>
      <w:r>
        <w:rPr>
          <w:rFonts w:ascii="Calibri" w:hAnsi="Calibri" w:cs="Calibri"/>
          <w:color w:val="000000" w:themeColor="text1"/>
          <w:sz w:val="22"/>
          <w:szCs w:val="22"/>
        </w:rPr>
        <w:t>, bottom</w:t>
      </w:r>
      <w:r w:rsidRPr="009658C3">
        <w:rPr>
          <w:rFonts w:ascii="Calibri" w:hAnsi="Calibri" w:cs="Calibri"/>
          <w:color w:val="000000" w:themeColor="text1"/>
          <w:sz w:val="22"/>
          <w:szCs w:val="22"/>
        </w:rPr>
        <w:t xml:space="preserve">). With these biologically resolved cellular programs, </w:t>
      </w:r>
      <w:r>
        <w:rPr>
          <w:rFonts w:ascii="Calibri" w:hAnsi="Calibri" w:cs="Calibri"/>
          <w:color w:val="000000" w:themeColor="text1"/>
          <w:sz w:val="22"/>
          <w:szCs w:val="22"/>
        </w:rPr>
        <w:t>we then</w:t>
      </w:r>
      <w:r w:rsidRPr="009658C3">
        <w:rPr>
          <w:rFonts w:ascii="Calibri" w:hAnsi="Calibri" w:cs="Calibri"/>
          <w:color w:val="000000" w:themeColor="text1"/>
          <w:sz w:val="22"/>
          <w:szCs w:val="22"/>
        </w:rPr>
        <w:t xml:space="preserve"> mapped the learned regulatory logic onto unseen ABCs from days 2 and 4. In stark contrast to DEG- and Lasso-based failures, </w:t>
      </w:r>
      <w:r>
        <w:rPr>
          <w:rFonts w:ascii="Calibri" w:hAnsi="Calibri" w:cs="Calibri"/>
          <w:color w:val="000000" w:themeColor="text1"/>
          <w:sz w:val="22"/>
          <w:szCs w:val="22"/>
        </w:rPr>
        <w:t>we</w:t>
      </w:r>
      <w:r w:rsidRPr="009658C3">
        <w:rPr>
          <w:rFonts w:ascii="Calibri" w:hAnsi="Calibri" w:cs="Calibri"/>
          <w:color w:val="000000" w:themeColor="text1"/>
          <w:sz w:val="22"/>
          <w:szCs w:val="22"/>
        </w:rPr>
        <w:t xml:space="preserve"> revealed clear early fate bifurcation. Subsets of early ABCs already exhibited coordinated transcriptional programs resembling their eventual GC or PB lineages (Fig. 5E). </w:t>
      </w:r>
    </w:p>
    <w:p w14:paraId="61AFE40F" w14:textId="77777777" w:rsidR="008515C4" w:rsidRPr="009658C3" w:rsidRDefault="008515C4" w:rsidP="008515C4">
      <w:pPr>
        <w:pStyle w:val="NormalWeb"/>
        <w:spacing w:before="0" w:beforeAutospacing="0" w:after="0" w:afterAutospacing="0" w:line="276" w:lineRule="auto"/>
        <w:jc w:val="both"/>
        <w:rPr>
          <w:rFonts w:ascii="Calibri" w:hAnsi="Calibri" w:cs="Calibri"/>
          <w:color w:val="000000" w:themeColor="text1"/>
          <w:sz w:val="22"/>
          <w:szCs w:val="22"/>
        </w:rPr>
      </w:pPr>
    </w:p>
    <w:p w14:paraId="33CD0D5C" w14:textId="3896D9CE" w:rsidR="008515C4" w:rsidRDefault="008515C4" w:rsidP="008515C4">
      <w:pPr>
        <w:pStyle w:val="NormalWeb"/>
        <w:spacing w:before="0" w:beforeAutospacing="0" w:after="0" w:afterAutospacing="0" w:line="276" w:lineRule="auto"/>
        <w:jc w:val="both"/>
        <w:rPr>
          <w:rFonts w:ascii="Calibri" w:hAnsi="Calibri" w:cs="Calibri"/>
          <w:color w:val="000000" w:themeColor="text1"/>
          <w:sz w:val="22"/>
          <w:szCs w:val="22"/>
        </w:rPr>
      </w:pPr>
      <w:r w:rsidRPr="009658C3">
        <w:rPr>
          <w:rFonts w:ascii="Calibri" w:hAnsi="Calibri" w:cs="Calibri"/>
          <w:color w:val="000000" w:themeColor="text1"/>
          <w:sz w:val="22"/>
          <w:szCs w:val="22"/>
        </w:rPr>
        <w:t xml:space="preserve">In the last step, rigorous validation confirmed these predictions represent genuine lineage commitment. </w:t>
      </w:r>
      <w:r>
        <w:rPr>
          <w:rFonts w:ascii="Calibri" w:hAnsi="Calibri" w:cs="Calibri"/>
          <w:color w:val="000000" w:themeColor="text1"/>
          <w:sz w:val="22"/>
          <w:szCs w:val="22"/>
        </w:rPr>
        <w:t>Models</w:t>
      </w:r>
      <w:r w:rsidRPr="009658C3">
        <w:rPr>
          <w:rFonts w:ascii="Calibri" w:hAnsi="Calibri" w:cs="Calibri"/>
          <w:color w:val="000000" w:themeColor="text1"/>
          <w:sz w:val="22"/>
          <w:szCs w:val="22"/>
        </w:rPr>
        <w:t xml:space="preserve"> trained on cellular programs from PRDM1- and IRF4-knockout states successfully discriminated predisposed ABCs from the PB lineage yet remained entirely unable to separate them from bona fide GC cells (Fig. 5</w:t>
      </w:r>
      <w:r>
        <w:rPr>
          <w:rFonts w:ascii="Calibri" w:hAnsi="Calibri" w:cs="Calibri"/>
          <w:color w:val="000000" w:themeColor="text1"/>
          <w:sz w:val="22"/>
          <w:szCs w:val="22"/>
        </w:rPr>
        <w:t>F</w:t>
      </w:r>
      <w:r w:rsidRPr="009658C3">
        <w:rPr>
          <w:rFonts w:ascii="Calibri" w:hAnsi="Calibri" w:cs="Calibri"/>
          <w:color w:val="000000" w:themeColor="text1"/>
          <w:sz w:val="22"/>
          <w:szCs w:val="22"/>
        </w:rPr>
        <w:t xml:space="preserve">). This failure to discriminate—evidenced by AUC ≈ 0.5—statistically confirms these early ABCs are transcriptionally biased toward GC fate. </w:t>
      </w:r>
      <w:r w:rsidRPr="0039465C">
        <w:rPr>
          <w:rFonts w:ascii="Calibri" w:hAnsi="Calibri" w:cs="Calibri"/>
          <w:color w:val="000000" w:themeColor="text1"/>
          <w:sz w:val="22"/>
          <w:szCs w:val="22"/>
        </w:rPr>
        <w:t xml:space="preserve">In contrast, ABC subsets identified as PB-predisposed via knockouts of GC-associated factors (IRF8, SPIB, BATF) remained distinguishable from both terminal GC and PB populations (Extended Fig. 4H), indicating these cells occupy an intermediate state. This aligns with experimental observations: unlike PRDM1 and IRF4 knockouts, which strongly </w:t>
      </w:r>
      <w:r w:rsidR="004F055A">
        <w:rPr>
          <w:rFonts w:ascii="Calibri" w:hAnsi="Calibri" w:cs="Calibri"/>
          <w:color w:val="000000" w:themeColor="text1"/>
          <w:sz w:val="22"/>
          <w:szCs w:val="22"/>
        </w:rPr>
        <w:t>control</w:t>
      </w:r>
      <w:r w:rsidRPr="0039465C">
        <w:rPr>
          <w:rFonts w:ascii="Calibri" w:hAnsi="Calibri" w:cs="Calibri"/>
          <w:color w:val="000000" w:themeColor="text1"/>
          <w:sz w:val="22"/>
          <w:szCs w:val="22"/>
        </w:rPr>
        <w:t xml:space="preserve"> fate toward GC, IRF8, SPIB, and BATF knockouts produce weaker phenotypic shifts</w:t>
      </w:r>
      <w:r>
        <w:rPr>
          <w:rFonts w:ascii="Calibri" w:hAnsi="Calibri" w:cs="Calibri"/>
          <w:color w:val="000000" w:themeColor="text1"/>
          <w:sz w:val="22"/>
          <w:szCs w:val="22"/>
        </w:rPr>
        <w:t xml:space="preserve"> (</w:t>
      </w:r>
      <w:r w:rsidRPr="009658C3">
        <w:rPr>
          <w:rFonts w:ascii="Calibri" w:hAnsi="Calibri" w:cs="Calibri"/>
          <w:color w:val="000000" w:themeColor="text1"/>
          <w:sz w:val="22"/>
          <w:szCs w:val="22"/>
        </w:rPr>
        <w:t>Extended Fig. 4</w:t>
      </w:r>
      <w:r>
        <w:rPr>
          <w:rFonts w:ascii="Calibri" w:hAnsi="Calibri" w:cs="Calibri"/>
          <w:color w:val="000000" w:themeColor="text1"/>
          <w:sz w:val="22"/>
          <w:szCs w:val="22"/>
        </w:rPr>
        <w:t>B-D) [CITE: Pease]</w:t>
      </w:r>
      <w:r w:rsidRPr="0039465C">
        <w:rPr>
          <w:rFonts w:ascii="Calibri" w:hAnsi="Calibri" w:cs="Calibri"/>
          <w:color w:val="000000" w:themeColor="text1"/>
          <w:sz w:val="22"/>
          <w:szCs w:val="22"/>
        </w:rPr>
        <w:t xml:space="preserve">, leaving perturbed cells in an ambiguous state that is distinguishable from both bona fide PB and GC populations. </w:t>
      </w:r>
      <w:r w:rsidRPr="009658C3">
        <w:rPr>
          <w:rFonts w:ascii="Calibri" w:hAnsi="Calibri" w:cs="Calibri"/>
          <w:color w:val="000000" w:themeColor="text1"/>
          <w:sz w:val="22"/>
          <w:szCs w:val="22"/>
        </w:rPr>
        <w:t xml:space="preserve">As an orthogonal validation, we quantified overlap between biased ABC populations. High Jaccard indices for PRDM1- and IRF4-derived programs (0.34 at day 2, 0.17 at day 4) significantly exceeded other perturbations, indicating that loss of either factor triggers convergent regulatory programs forcing early ABCs toward GC fate (Extended Fig. </w:t>
      </w:r>
      <w:r>
        <w:rPr>
          <w:rFonts w:ascii="Calibri" w:hAnsi="Calibri" w:cs="Calibri"/>
          <w:color w:val="000000" w:themeColor="text1"/>
          <w:sz w:val="22"/>
          <w:szCs w:val="22"/>
        </w:rPr>
        <w:t>4F</w:t>
      </w:r>
      <w:r w:rsidRPr="009658C3">
        <w:rPr>
          <w:rFonts w:ascii="Calibri" w:hAnsi="Calibri" w:cs="Calibri"/>
          <w:color w:val="000000" w:themeColor="text1"/>
          <w:sz w:val="22"/>
          <w:szCs w:val="22"/>
        </w:rPr>
        <w:t xml:space="preserve">). These data establish that </w:t>
      </w:r>
      <w:proofErr w:type="spellStart"/>
      <w:r w:rsidRPr="009658C3">
        <w:rPr>
          <w:rFonts w:ascii="Calibri" w:hAnsi="Calibri" w:cs="Calibri"/>
          <w:color w:val="000000" w:themeColor="text1"/>
          <w:sz w:val="22"/>
          <w:szCs w:val="22"/>
        </w:rPr>
        <w:t>FIREFate</w:t>
      </w:r>
      <w:proofErr w:type="spellEnd"/>
      <w:r w:rsidRPr="009658C3">
        <w:rPr>
          <w:rFonts w:ascii="Calibri" w:hAnsi="Calibri" w:cs="Calibri"/>
          <w:color w:val="000000" w:themeColor="text1"/>
          <w:sz w:val="22"/>
          <w:szCs w:val="22"/>
        </w:rPr>
        <w:t xml:space="preserve"> unmask</w:t>
      </w:r>
      <w:r>
        <w:rPr>
          <w:rFonts w:ascii="Calibri" w:hAnsi="Calibri" w:cs="Calibri"/>
          <w:color w:val="000000" w:themeColor="text1"/>
          <w:sz w:val="22"/>
          <w:szCs w:val="22"/>
        </w:rPr>
        <w:t>s</w:t>
      </w:r>
      <w:r w:rsidRPr="009658C3">
        <w:rPr>
          <w:rFonts w:ascii="Calibri" w:hAnsi="Calibri" w:cs="Calibri"/>
          <w:color w:val="000000" w:themeColor="text1"/>
          <w:sz w:val="22"/>
          <w:szCs w:val="22"/>
        </w:rPr>
        <w:t xml:space="preserve"> hidden </w:t>
      </w:r>
      <w:r>
        <w:rPr>
          <w:rFonts w:ascii="Calibri" w:hAnsi="Calibri" w:cs="Calibri"/>
          <w:color w:val="000000" w:themeColor="text1"/>
          <w:sz w:val="22"/>
          <w:szCs w:val="22"/>
        </w:rPr>
        <w:t xml:space="preserve">TF dynamic </w:t>
      </w:r>
      <w:r w:rsidRPr="009658C3">
        <w:rPr>
          <w:rFonts w:ascii="Calibri" w:hAnsi="Calibri" w:cs="Calibri"/>
          <w:color w:val="000000" w:themeColor="text1"/>
          <w:sz w:val="22"/>
          <w:szCs w:val="22"/>
        </w:rPr>
        <w:t>regulatory architecture within activated B cells, identifying lineage commitment well before overt phenotypic markers emerge.</w:t>
      </w:r>
    </w:p>
    <w:p w14:paraId="5C864A34" w14:textId="77777777" w:rsidR="008515C4" w:rsidRDefault="008515C4" w:rsidP="008515C4">
      <w:pPr>
        <w:pStyle w:val="NormalWeb"/>
        <w:spacing w:before="0" w:beforeAutospacing="0" w:after="0" w:afterAutospacing="0" w:line="276" w:lineRule="auto"/>
        <w:jc w:val="both"/>
        <w:rPr>
          <w:rFonts w:ascii="Calibri" w:hAnsi="Calibri" w:cs="Calibri"/>
          <w:color w:val="000000" w:themeColor="text1"/>
          <w:sz w:val="22"/>
          <w:szCs w:val="22"/>
        </w:rPr>
      </w:pPr>
    </w:p>
    <w:p w14:paraId="26D9872E" w14:textId="5F5904CB" w:rsidR="008515C4" w:rsidRDefault="008515C4" w:rsidP="008515C4">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Next</w:t>
      </w:r>
      <w:r w:rsidRPr="00CD5441">
        <w:rPr>
          <w:rFonts w:ascii="Calibri" w:hAnsi="Calibri" w:cs="Calibri"/>
          <w:color w:val="000000" w:themeColor="text1"/>
          <w:sz w:val="22"/>
          <w:szCs w:val="22"/>
        </w:rPr>
        <w:t xml:space="preserve">, we integrated </w:t>
      </w:r>
      <w:r>
        <w:rPr>
          <w:rFonts w:ascii="Calibri" w:hAnsi="Calibri" w:cs="Calibri"/>
          <w:color w:val="000000" w:themeColor="text1"/>
          <w:sz w:val="22"/>
          <w:szCs w:val="22"/>
        </w:rPr>
        <w:t>the cellular</w:t>
      </w:r>
      <w:r w:rsidRPr="00CD5441">
        <w:rPr>
          <w:rFonts w:ascii="Calibri" w:hAnsi="Calibri" w:cs="Calibri"/>
          <w:color w:val="000000" w:themeColor="text1"/>
          <w:sz w:val="22"/>
          <w:szCs w:val="22"/>
        </w:rPr>
        <w:t xml:space="preserve"> programs with both static and dynamic GRNs, moving beyond descriptive </w:t>
      </w:r>
      <w:r>
        <w:rPr>
          <w:rFonts w:ascii="Calibri" w:hAnsi="Calibri" w:cs="Calibri"/>
          <w:color w:val="000000" w:themeColor="text1"/>
          <w:sz w:val="22"/>
          <w:szCs w:val="22"/>
        </w:rPr>
        <w:t>TF</w:t>
      </w:r>
      <w:r w:rsidRPr="00CD5441">
        <w:rPr>
          <w:rFonts w:ascii="Calibri" w:hAnsi="Calibri" w:cs="Calibri"/>
          <w:color w:val="000000" w:themeColor="text1"/>
          <w:sz w:val="22"/>
          <w:szCs w:val="22"/>
        </w:rPr>
        <w:t xml:space="preserve"> lists to expose the precise regulatory architecture enforcing early fate decisions. By embedding predisposing programs within static GRNs, we pinpointed upstream TFs anchoring lineage commitment at its inception (Fig. 5G, H). This analysis identified canonical regulators, including NFATC2 and TFEC, where NFATC2 emerged as a dominant enriched factor across both </w:t>
      </w:r>
      <w:r>
        <w:rPr>
          <w:rFonts w:ascii="Calibri" w:hAnsi="Calibri" w:cs="Calibri"/>
          <w:color w:val="000000" w:themeColor="text1"/>
          <w:sz w:val="22"/>
          <w:szCs w:val="22"/>
        </w:rPr>
        <w:t>PRDM1</w:t>
      </w:r>
      <w:r w:rsidRPr="00B40A6A">
        <w:rPr>
          <w:rFonts w:ascii="Calibri" w:hAnsi="Calibri" w:cs="Calibri"/>
          <w:color w:val="000000" w:themeColor="text1"/>
          <w:sz w:val="22"/>
          <w:szCs w:val="22"/>
          <w:vertAlign w:val="superscript"/>
        </w:rPr>
        <w:t>-/-</w:t>
      </w:r>
      <w:r>
        <w:rPr>
          <w:rFonts w:ascii="Calibri" w:hAnsi="Calibri" w:cs="Calibri"/>
          <w:color w:val="000000" w:themeColor="text1"/>
          <w:sz w:val="22"/>
          <w:szCs w:val="22"/>
        </w:rPr>
        <w:t xml:space="preserve"> and IRF4</w:t>
      </w:r>
      <w:r w:rsidRPr="00B40A6A">
        <w:rPr>
          <w:rFonts w:ascii="Calibri" w:hAnsi="Calibri" w:cs="Calibri"/>
          <w:color w:val="000000" w:themeColor="text1"/>
          <w:sz w:val="22"/>
          <w:szCs w:val="22"/>
          <w:vertAlign w:val="superscript"/>
        </w:rPr>
        <w:t>-/-</w:t>
      </w:r>
      <w:r>
        <w:rPr>
          <w:rFonts w:ascii="Calibri" w:hAnsi="Calibri" w:cs="Calibri"/>
          <w:color w:val="000000" w:themeColor="text1"/>
          <w:sz w:val="22"/>
          <w:szCs w:val="22"/>
        </w:rPr>
        <w:t xml:space="preserve"> data</w:t>
      </w:r>
      <w:r w:rsidRPr="00CD5441">
        <w:rPr>
          <w:rFonts w:ascii="Calibri" w:hAnsi="Calibri" w:cs="Calibri"/>
          <w:color w:val="000000" w:themeColor="text1"/>
          <w:sz w:val="22"/>
          <w:szCs w:val="22"/>
        </w:rPr>
        <w:t>, likely reflecting disruption in the essential cooperation between IRF4 and NFATC2 during lymphocyte activation that effectively rewires the B-cell bifurcation landscape. While static GRNs anchor core identity, dynamic frameworks unmask transient regulatory circuits operating only within discrete windows of the activation continuum (Fig. 5I, J). These temporal windows enabled identification of IKZF2 and RBPJ as critical, episodically active regulators of early lineage polarization. The temporal enrichment of IKZF2, an Ikaros family member linked to humoral autoimmunity</w:t>
      </w:r>
      <w:r>
        <w:rPr>
          <w:rFonts w:ascii="Calibri" w:hAnsi="Calibri" w:cs="Calibri"/>
          <w:color w:val="000000" w:themeColor="text1"/>
          <w:sz w:val="22"/>
          <w:szCs w:val="22"/>
        </w:rPr>
        <w:fldChar w:fldCharType="begin"/>
      </w:r>
      <w:r w:rsidR="00BD6670">
        <w:rPr>
          <w:rFonts w:ascii="Calibri" w:hAnsi="Calibri" w:cs="Calibri"/>
          <w:color w:val="000000" w:themeColor="text1"/>
          <w:sz w:val="22"/>
          <w:szCs w:val="22"/>
        </w:rPr>
        <w:instrText xml:space="preserve"> ADDIN ZOTERO_ITEM CSL_CITATION {"citationID":"1tABHF9d","properties":{"formattedCitation":"\\super 56\\nosupersub{}","plainCitation":"56","noteIndex":0},"citationItems":[{"id":2744,"uris":["http://zotero.org/groups/6337619/items/9EYNTYV7"],"itemData":{"id":2744,"type":"article-journal","abstract":"Abstract\n            Helios, a member of the Ikaros family of DNA-binding proteins, is expressed in multipotential lymphoid progenitors and throughout the T lineage. However, in most B lineage cells, Helios is not expressed, suggesting that its absence may be critical for B cell development and function. To test this possibility, transgenic mice were generated that express Helios under the control of an Ig μ enhancer. Commitment to the B cell lineage was unaltered in Helios transgenic mice, and numbers of surface IgM+ B cells were normal in the bone marrow and spleen. However, both bone marrow and splenic B cells exhibited prolonged survival and enhanced proliferation. B cells in Helios transgenic mice were also hyperresponsive to Ag stimulation. These alterations were observed even though the concentration of ectopic Helios in B lineage cells, like that of endogenous Helios in thymocytes, was well below the concentration of Ikaros. Further evidence that ectopic Helios expression contributes to B cell abnormalities was provided by the observation that Helios transgenic mice developed metastatic lymphoma as they aged. Taken together, these results demonstrate that silencing of Helios is critical for normal B cell function.","container-title":"The Journal of Immunology","DOI":"10.4049/jimmunol.175.6.3508","ISSN":"0022-1767, 1550-6606","issue":"6","language":"en","license":"https://academic.oup.com/pages/standard-publication-reuse-rights","page":"3508-3515","source":"DOI.org (Crossref)","title":"Transgenic Expression of Helios in B Lineage Cells Alters B Cell Properties and Promotes Lymphomagenesis","volume":"175","author":[{"family":"Dovat","given":"Sinisa"},{"family":"Montecino-Rodriguez","given":"Encarnacion"},{"family":"Schuman","given":"Valerie"},{"family":"Teitell","given":"Michael A"},{"family":"Dorshkind","given":"Kenneth"},{"family":"Smale","given":"Stephen T"}],"issued":{"date-parts":[["2005",9,15]]}}}],"schema":"https://github.com/citation-style-language/schema/raw/master/csl-citation.json"} </w:instrText>
      </w:r>
      <w:r>
        <w:rPr>
          <w:rFonts w:ascii="Calibri" w:hAnsi="Calibri" w:cs="Calibri"/>
          <w:color w:val="000000" w:themeColor="text1"/>
          <w:sz w:val="22"/>
          <w:szCs w:val="22"/>
        </w:rPr>
        <w:fldChar w:fldCharType="separate"/>
      </w:r>
      <w:r w:rsidR="00BD6670" w:rsidRPr="00BD6670">
        <w:rPr>
          <w:rFonts w:ascii="Calibri" w:eastAsiaTheme="minorHAnsi" w:hAnsi="Calibri" w:cs="Calibri"/>
          <w:color w:val="000000"/>
          <w:sz w:val="22"/>
          <w:vertAlign w:val="superscript"/>
          <w14:ligatures w14:val="standardContextual"/>
        </w:rPr>
        <w:t>56</w:t>
      </w:r>
      <w:r>
        <w:rPr>
          <w:rFonts w:ascii="Calibri" w:hAnsi="Calibri" w:cs="Calibri"/>
          <w:color w:val="000000" w:themeColor="text1"/>
          <w:sz w:val="22"/>
          <w:szCs w:val="22"/>
        </w:rPr>
        <w:fldChar w:fldCharType="end"/>
      </w:r>
      <w:r w:rsidRPr="00CD5441">
        <w:rPr>
          <w:rFonts w:ascii="Calibri" w:hAnsi="Calibri" w:cs="Calibri"/>
          <w:color w:val="000000" w:themeColor="text1"/>
          <w:sz w:val="22"/>
          <w:szCs w:val="22"/>
        </w:rPr>
        <w:t>, and RBPJ, a mediator of Notch signaling essential for B-cell subset decisions</w:t>
      </w:r>
      <w:r>
        <w:rPr>
          <w:rFonts w:ascii="Calibri" w:hAnsi="Calibri" w:cs="Calibri"/>
          <w:color w:val="000000" w:themeColor="text1"/>
          <w:sz w:val="22"/>
          <w:szCs w:val="22"/>
        </w:rPr>
        <w:fldChar w:fldCharType="begin"/>
      </w:r>
      <w:r w:rsidR="00BD6670">
        <w:rPr>
          <w:rFonts w:ascii="Calibri" w:hAnsi="Calibri" w:cs="Calibri"/>
          <w:color w:val="000000" w:themeColor="text1"/>
          <w:sz w:val="22"/>
          <w:szCs w:val="22"/>
        </w:rPr>
        <w:instrText xml:space="preserve"> ADDIN ZOTERO_ITEM CSL_CITATION {"citationID":"LOhYgtm5","properties":{"formattedCitation":"\\super 57\\nosupersub{}","plainCitation":"57","noteIndex":0},"citationItems":[{"id":2745,"uris":["http://zotero.org/groups/6337619/items/NANRTAFG"],"itemData":{"id":2745,"type":"article-journal","container-title":"Seminars in Immunology","DOI":"10.1016/S1044-5323(03)00008-3","ISSN":"10445323","issue":"2","journalAbbreviation":"Seminars in Immunology","language":"en","license":"https://www.elsevier.com/tdm/userlicense/1.0/","page":"113-119","source":"DOI.org (Crossref)","title":"Regulation of B cell development by Notch/RBP-J signaling","volume":"15","author":[{"family":"Tanigaki","given":"Kenji"},{"family":"Kuroda","given":"Kazuki"},{"family":"Han","given":"Hua"},{"family":"Honjo","given":"Tasuku"}],"issued":{"date-parts":[["2003",4]]}}}],"schema":"https://github.com/citation-style-language/schema/raw/master/csl-citation.json"} </w:instrText>
      </w:r>
      <w:r>
        <w:rPr>
          <w:rFonts w:ascii="Calibri" w:hAnsi="Calibri" w:cs="Calibri"/>
          <w:color w:val="000000" w:themeColor="text1"/>
          <w:sz w:val="22"/>
          <w:szCs w:val="22"/>
        </w:rPr>
        <w:fldChar w:fldCharType="separate"/>
      </w:r>
      <w:r w:rsidR="00BD6670" w:rsidRPr="00BD6670">
        <w:rPr>
          <w:rFonts w:ascii="Calibri" w:eastAsiaTheme="minorHAnsi" w:hAnsi="Calibri" w:cs="Calibri"/>
          <w:color w:val="000000"/>
          <w:sz w:val="22"/>
          <w:vertAlign w:val="superscript"/>
          <w14:ligatures w14:val="standardContextual"/>
        </w:rPr>
        <w:t>57</w:t>
      </w:r>
      <w:r>
        <w:rPr>
          <w:rFonts w:ascii="Calibri" w:hAnsi="Calibri" w:cs="Calibri"/>
          <w:color w:val="000000" w:themeColor="text1"/>
          <w:sz w:val="22"/>
          <w:szCs w:val="22"/>
        </w:rPr>
        <w:fldChar w:fldCharType="end"/>
      </w:r>
      <w:r w:rsidRPr="00CD5441">
        <w:rPr>
          <w:rFonts w:ascii="Calibri" w:hAnsi="Calibri" w:cs="Calibri"/>
          <w:color w:val="000000" w:themeColor="text1"/>
          <w:sz w:val="22"/>
          <w:szCs w:val="22"/>
        </w:rPr>
        <w:t xml:space="preserve">, suggests these factors are </w:t>
      </w:r>
      <w:r w:rsidRPr="00CD5441">
        <w:rPr>
          <w:rFonts w:ascii="Calibri" w:hAnsi="Calibri" w:cs="Calibri"/>
          <w:color w:val="000000" w:themeColor="text1"/>
          <w:sz w:val="22"/>
          <w:szCs w:val="22"/>
        </w:rPr>
        <w:lastRenderedPageBreak/>
        <w:t>under-appreciated drivers of the GC-PB choice.</w:t>
      </w:r>
      <w:r>
        <w:rPr>
          <w:rFonts w:ascii="Calibri" w:hAnsi="Calibri" w:cs="Calibri"/>
          <w:color w:val="000000" w:themeColor="text1"/>
          <w:sz w:val="22"/>
          <w:szCs w:val="22"/>
        </w:rPr>
        <w:t xml:space="preserve"> In totality, </w:t>
      </w:r>
      <w:proofErr w:type="spellStart"/>
      <w:r>
        <w:rPr>
          <w:rFonts w:ascii="Calibri" w:hAnsi="Calibri" w:cs="Calibri"/>
          <w:color w:val="000000" w:themeColor="text1"/>
          <w:sz w:val="22"/>
          <w:szCs w:val="22"/>
        </w:rPr>
        <w:t>FIREFate</w:t>
      </w:r>
      <w:proofErr w:type="spellEnd"/>
      <w:r w:rsidRPr="002D05F8">
        <w:rPr>
          <w:rFonts w:ascii="Calibri" w:hAnsi="Calibri" w:cs="Calibri"/>
          <w:color w:val="000000" w:themeColor="text1"/>
          <w:sz w:val="22"/>
          <w:szCs w:val="22"/>
        </w:rPr>
        <w:t xml:space="preserve"> exposes how early, short-lived regulatory signals exert control over B cell lineage commitment well before overt differentiation.</w:t>
      </w:r>
    </w:p>
    <w:p w14:paraId="0223C4D5" w14:textId="77777777" w:rsidR="008515C4" w:rsidRDefault="008515C4" w:rsidP="008515C4">
      <w:pPr>
        <w:pStyle w:val="NormalWeb"/>
        <w:spacing w:before="0" w:beforeAutospacing="0" w:after="0" w:afterAutospacing="0" w:line="276" w:lineRule="auto"/>
        <w:jc w:val="both"/>
        <w:rPr>
          <w:rFonts w:ascii="Calibri" w:hAnsi="Calibri" w:cs="Calibri"/>
          <w:color w:val="000000" w:themeColor="text1"/>
          <w:sz w:val="22"/>
          <w:szCs w:val="22"/>
        </w:rPr>
      </w:pPr>
    </w:p>
    <w:p w14:paraId="3142E00B" w14:textId="31415C1B" w:rsidR="008515C4" w:rsidRDefault="008515C4" w:rsidP="008515C4">
      <w:pPr>
        <w:pStyle w:val="NormalWeb"/>
        <w:spacing w:before="0" w:beforeAutospacing="0" w:after="0" w:afterAutospacing="0" w:line="276" w:lineRule="auto"/>
        <w:jc w:val="both"/>
        <w:rPr>
          <w:rFonts w:ascii="Calibri" w:hAnsi="Calibri" w:cs="Calibri"/>
          <w:color w:val="000000" w:themeColor="text1"/>
          <w:sz w:val="22"/>
          <w:szCs w:val="22"/>
        </w:rPr>
      </w:pPr>
      <w:r w:rsidRPr="00AD4B2B">
        <w:rPr>
          <w:rFonts w:ascii="Calibri" w:hAnsi="Calibri" w:cs="Calibri"/>
          <w:color w:val="000000" w:themeColor="text1"/>
          <w:sz w:val="22"/>
          <w:szCs w:val="22"/>
        </w:rPr>
        <w:t xml:space="preserve">A central obstacle in resolving cell fate commitment is that </w:t>
      </w:r>
      <w:r>
        <w:rPr>
          <w:rFonts w:ascii="Calibri" w:hAnsi="Calibri" w:cs="Calibri"/>
          <w:color w:val="000000" w:themeColor="text1"/>
          <w:sz w:val="22"/>
          <w:szCs w:val="22"/>
        </w:rPr>
        <w:t>TF</w:t>
      </w:r>
      <w:r w:rsidRPr="00AD4B2B">
        <w:rPr>
          <w:rFonts w:ascii="Calibri" w:hAnsi="Calibri" w:cs="Calibri"/>
          <w:color w:val="000000" w:themeColor="text1"/>
          <w:sz w:val="22"/>
          <w:szCs w:val="22"/>
        </w:rPr>
        <w:t>s often exert decisive influence through transient regulatory activity that is poorly captured by expression or chromatin accessibility alone</w:t>
      </w:r>
      <w:r>
        <w:rPr>
          <w:rFonts w:ascii="Calibri" w:hAnsi="Calibri" w:cs="Calibri"/>
          <w:color w:val="000000" w:themeColor="text1"/>
          <w:sz w:val="22"/>
          <w:szCs w:val="22"/>
        </w:rPr>
        <w:fldChar w:fldCharType="begin"/>
      </w:r>
      <w:r w:rsidR="00BD6670">
        <w:rPr>
          <w:rFonts w:ascii="Calibri" w:hAnsi="Calibri" w:cs="Calibri"/>
          <w:color w:val="000000" w:themeColor="text1"/>
          <w:sz w:val="22"/>
          <w:szCs w:val="22"/>
        </w:rPr>
        <w:instrText xml:space="preserve"> ADDIN ZOTERO_ITEM CSL_CITATION {"citationID":"ZzLf1MHu","properties":{"formattedCitation":"\\super 58\\nosupersub{}","plainCitation":"58","noteIndex":0},"citationItems":[{"id":2748,"uris":["http://zotero.org/groups/6337619/items/FN52WH5X"],"itemData":{"id":2748,"type":"article-journal","container-title":"Cell","issue":"4","note":"ISBN: 0092-8674","page":"650-665","publisher":"Elsevier","title":"The human transcription factors","volume":"172","author":[{"family":"Lambert","given":"Samuel A."},{"family":"Jolma","given":"Arttu"},{"family":"Campitelli","given":"Laura F."},{"family":"Das","given":"Pratyush K."},{"family":"Yin","given":"Yimeng"},{"family":"Albu","given":"Mihai"},{"family":"Chen","given":"Xiaoting"},{"family":"Taipale","given":"Jussi"},{"family":"Hughes","given":"Timothy R."},{"family":"Weirauch","given":"Matthew T."}],"issued":{"date-parts":[["2018"]]}}}],"schema":"https://github.com/citation-style-language/schema/raw/master/csl-citation.json"} </w:instrText>
      </w:r>
      <w:r>
        <w:rPr>
          <w:rFonts w:ascii="Calibri" w:hAnsi="Calibri" w:cs="Calibri"/>
          <w:color w:val="000000" w:themeColor="text1"/>
          <w:sz w:val="22"/>
          <w:szCs w:val="22"/>
        </w:rPr>
        <w:fldChar w:fldCharType="separate"/>
      </w:r>
      <w:r w:rsidR="00BD6670" w:rsidRPr="00BD6670">
        <w:rPr>
          <w:rFonts w:ascii="Calibri" w:eastAsiaTheme="minorHAnsi" w:hAnsi="Calibri" w:cs="Calibri"/>
          <w:color w:val="000000"/>
          <w:sz w:val="22"/>
          <w:vertAlign w:val="superscript"/>
          <w14:ligatures w14:val="standardContextual"/>
        </w:rPr>
        <w:t>58</w:t>
      </w:r>
      <w:r>
        <w:rPr>
          <w:rFonts w:ascii="Calibri" w:hAnsi="Calibri" w:cs="Calibri"/>
          <w:color w:val="000000" w:themeColor="text1"/>
          <w:sz w:val="22"/>
          <w:szCs w:val="22"/>
        </w:rPr>
        <w:fldChar w:fldCharType="end"/>
      </w:r>
      <w:r w:rsidRPr="00AD4B2B">
        <w:rPr>
          <w:rFonts w:ascii="Calibri" w:hAnsi="Calibri" w:cs="Calibri"/>
          <w:color w:val="000000" w:themeColor="text1"/>
          <w:sz w:val="22"/>
          <w:szCs w:val="22"/>
        </w:rPr>
        <w:t xml:space="preserve">. These short-lived events can irreversibly bias lineage outcomes yet remain effectively invisible to conventional analyses. </w:t>
      </w:r>
      <w:proofErr w:type="spellStart"/>
      <w:r>
        <w:rPr>
          <w:rFonts w:ascii="Calibri" w:hAnsi="Calibri" w:cs="Calibri"/>
          <w:color w:val="000000" w:themeColor="text1"/>
          <w:sz w:val="22"/>
          <w:szCs w:val="22"/>
        </w:rPr>
        <w:t>FIREFate</w:t>
      </w:r>
      <w:proofErr w:type="spellEnd"/>
      <w:r w:rsidRPr="00AD4B2B">
        <w:rPr>
          <w:rFonts w:ascii="Calibri" w:hAnsi="Calibri" w:cs="Calibri"/>
          <w:color w:val="000000" w:themeColor="text1"/>
          <w:sz w:val="22"/>
          <w:szCs w:val="22"/>
        </w:rPr>
        <w:t xml:space="preserve"> directly overcomes this limitation by </w:t>
      </w:r>
      <w:r>
        <w:rPr>
          <w:rFonts w:ascii="Calibri" w:hAnsi="Calibri" w:cs="Calibri"/>
          <w:color w:val="000000" w:themeColor="text1"/>
          <w:sz w:val="22"/>
          <w:szCs w:val="22"/>
        </w:rPr>
        <w:t>elucidating</w:t>
      </w:r>
      <w:r w:rsidRPr="00AD4B2B">
        <w:rPr>
          <w:rFonts w:ascii="Calibri" w:hAnsi="Calibri" w:cs="Calibri"/>
          <w:color w:val="000000" w:themeColor="text1"/>
          <w:sz w:val="22"/>
          <w:szCs w:val="22"/>
        </w:rPr>
        <w:t xml:space="preserve"> time-resolved TF regulatory activity across the bifurcation, revealing how early, subtle regulatory signals are translated into stable fate decisions. By jointly modeling TF expression, TF–target regulatory dynamics, and OCR binding score and count dynamics, </w:t>
      </w:r>
      <w:r>
        <w:rPr>
          <w:rFonts w:ascii="Calibri" w:hAnsi="Calibri" w:cs="Calibri"/>
          <w:color w:val="000000" w:themeColor="text1"/>
          <w:sz w:val="22"/>
          <w:szCs w:val="22"/>
        </w:rPr>
        <w:t>it</w:t>
      </w:r>
      <w:r w:rsidRPr="00AD4B2B">
        <w:rPr>
          <w:rFonts w:ascii="Calibri" w:hAnsi="Calibri" w:cs="Calibri"/>
          <w:color w:val="000000" w:themeColor="text1"/>
          <w:sz w:val="22"/>
          <w:szCs w:val="22"/>
        </w:rPr>
        <w:t xml:space="preserve"> delivers a multidimensional representation of regulatory control that captures functional influence beyond static transcriptional or chromatin features. Direct comparison with established biology demonstrates strong concordance for canonical GC regulators such as PAX5, BACH2, and BATF, while also validating NFATC2, previously implicated through integration of predisposing programs with static GRNs. Crucially, </w:t>
      </w:r>
      <w:proofErr w:type="spellStart"/>
      <w:r>
        <w:rPr>
          <w:rFonts w:ascii="Calibri" w:hAnsi="Calibri" w:cs="Calibri"/>
          <w:color w:val="000000" w:themeColor="text1"/>
          <w:sz w:val="22"/>
          <w:szCs w:val="22"/>
        </w:rPr>
        <w:t>FIREFate</w:t>
      </w:r>
      <w:proofErr w:type="spellEnd"/>
      <w:r w:rsidRPr="00AD4B2B">
        <w:rPr>
          <w:rFonts w:ascii="Calibri" w:hAnsi="Calibri" w:cs="Calibri"/>
          <w:color w:val="000000" w:themeColor="text1"/>
          <w:sz w:val="22"/>
          <w:szCs w:val="22"/>
        </w:rPr>
        <w:t xml:space="preserve"> uniquely identifies IKZF2 and RBPJ as fate-influential regulators detectable only through dynamic GRN inference (Fig. 5K, L). Notably, these TFs exhibit relatively low expression levels and no clear GC–PB differential chromatin accessibility across the dynamic window (Extended Fig. 3E, F), yet display pronounced, temporally structured regulatory </w:t>
      </w:r>
      <w:r w:rsidRPr="009C4A04">
        <w:rPr>
          <w:rFonts w:ascii="Calibri" w:hAnsi="Calibri" w:cs="Calibri"/>
          <w:color w:val="000000" w:themeColor="text1"/>
          <w:sz w:val="22"/>
          <w:szCs w:val="22"/>
        </w:rPr>
        <w:t xml:space="preserve">activity over </w:t>
      </w:r>
      <w:proofErr w:type="spellStart"/>
      <w:r w:rsidRPr="009C4A04">
        <w:rPr>
          <w:rFonts w:ascii="Calibri" w:hAnsi="Calibri" w:cs="Calibri"/>
          <w:color w:val="000000" w:themeColor="text1"/>
          <w:sz w:val="22"/>
          <w:szCs w:val="22"/>
        </w:rPr>
        <w:t>pseudotime</w:t>
      </w:r>
      <w:proofErr w:type="spellEnd"/>
      <w:r w:rsidRPr="009C4A04">
        <w:rPr>
          <w:rFonts w:ascii="Calibri" w:hAnsi="Calibri" w:cs="Calibri"/>
          <w:color w:val="000000" w:themeColor="text1"/>
          <w:sz w:val="22"/>
          <w:szCs w:val="22"/>
        </w:rPr>
        <w:t xml:space="preserve"> (Fig. 5L).</w:t>
      </w:r>
    </w:p>
    <w:p w14:paraId="6D99D678" w14:textId="77777777" w:rsidR="008515C4" w:rsidRPr="009C4A04" w:rsidRDefault="008515C4" w:rsidP="008515C4">
      <w:pPr>
        <w:pStyle w:val="NormalWeb"/>
        <w:spacing w:before="0" w:beforeAutospacing="0" w:after="0" w:afterAutospacing="0" w:line="276" w:lineRule="auto"/>
        <w:jc w:val="both"/>
        <w:rPr>
          <w:rFonts w:ascii="Calibri" w:hAnsi="Calibri" w:cs="Calibri"/>
          <w:color w:val="000000" w:themeColor="text1"/>
          <w:sz w:val="22"/>
          <w:szCs w:val="22"/>
        </w:rPr>
      </w:pPr>
    </w:p>
    <w:p w14:paraId="41C5AD95" w14:textId="77777777" w:rsidR="008515C4" w:rsidRPr="0094705D" w:rsidRDefault="008515C4" w:rsidP="008515C4">
      <w:pPr>
        <w:pStyle w:val="NormalWeb"/>
        <w:spacing w:before="0" w:beforeAutospacing="0" w:after="0" w:afterAutospacing="0" w:line="276" w:lineRule="auto"/>
        <w:jc w:val="both"/>
        <w:rPr>
          <w:rFonts w:ascii="Calibri" w:hAnsi="Calibri" w:cs="Calibri"/>
          <w:color w:val="000000" w:themeColor="text1"/>
          <w:sz w:val="22"/>
          <w:szCs w:val="22"/>
        </w:rPr>
      </w:pPr>
      <w:r w:rsidRPr="009C4A04">
        <w:rPr>
          <w:rFonts w:ascii="Calibri" w:hAnsi="Calibri" w:cs="Calibri"/>
          <w:color w:val="000000" w:themeColor="text1"/>
          <w:sz w:val="22"/>
          <w:szCs w:val="22"/>
        </w:rPr>
        <w:t xml:space="preserve">These results establish </w:t>
      </w:r>
      <w:proofErr w:type="spellStart"/>
      <w:r>
        <w:rPr>
          <w:rFonts w:ascii="Calibri" w:hAnsi="Calibri" w:cs="Calibri"/>
          <w:color w:val="000000" w:themeColor="text1"/>
          <w:sz w:val="22"/>
          <w:szCs w:val="22"/>
        </w:rPr>
        <w:t>FIREFate</w:t>
      </w:r>
      <w:proofErr w:type="spellEnd"/>
      <w:r w:rsidRPr="009C4A04">
        <w:rPr>
          <w:rFonts w:ascii="Calibri" w:hAnsi="Calibri" w:cs="Calibri"/>
          <w:color w:val="000000" w:themeColor="text1"/>
          <w:sz w:val="22"/>
          <w:szCs w:val="22"/>
        </w:rPr>
        <w:t xml:space="preserve"> as a predictive framework for </w:t>
      </w:r>
      <w:r>
        <w:rPr>
          <w:rFonts w:ascii="Calibri" w:hAnsi="Calibri" w:cs="Calibri"/>
          <w:color w:val="000000" w:themeColor="text1"/>
          <w:sz w:val="22"/>
          <w:szCs w:val="22"/>
        </w:rPr>
        <w:t>determining TF dynamic activity</w:t>
      </w:r>
      <w:r w:rsidRPr="009C4A04">
        <w:rPr>
          <w:rFonts w:ascii="Calibri" w:hAnsi="Calibri" w:cs="Calibri"/>
          <w:color w:val="000000" w:themeColor="text1"/>
          <w:sz w:val="22"/>
          <w:szCs w:val="22"/>
        </w:rPr>
        <w:t xml:space="preserve">, revealing lineage bias encoded within transcriptional programs. By integrating perturbation-resolved cellular programs with static and dynamic GRNs, </w:t>
      </w:r>
      <w:r>
        <w:rPr>
          <w:rFonts w:ascii="Calibri" w:hAnsi="Calibri" w:cs="Calibri"/>
          <w:color w:val="000000" w:themeColor="text1"/>
          <w:sz w:val="22"/>
          <w:szCs w:val="22"/>
        </w:rPr>
        <w:t>it</w:t>
      </w:r>
      <w:r w:rsidRPr="009C4A04">
        <w:rPr>
          <w:rFonts w:ascii="Calibri" w:hAnsi="Calibri" w:cs="Calibri"/>
          <w:color w:val="000000" w:themeColor="text1"/>
          <w:sz w:val="22"/>
          <w:szCs w:val="22"/>
        </w:rPr>
        <w:t xml:space="preserve"> exposes the precise regulatory architecture—including transient, episodically active transcription factors—that governs early fate decisions. Critically, </w:t>
      </w:r>
      <w:proofErr w:type="spellStart"/>
      <w:r>
        <w:rPr>
          <w:rFonts w:ascii="Calibri" w:hAnsi="Calibri" w:cs="Calibri"/>
          <w:color w:val="000000" w:themeColor="text1"/>
          <w:sz w:val="22"/>
          <w:szCs w:val="22"/>
        </w:rPr>
        <w:t>FIREFate</w:t>
      </w:r>
      <w:proofErr w:type="spellEnd"/>
      <w:r w:rsidRPr="009C4A04">
        <w:rPr>
          <w:rFonts w:ascii="Calibri" w:hAnsi="Calibri" w:cs="Calibri"/>
          <w:color w:val="000000" w:themeColor="text1"/>
          <w:sz w:val="22"/>
          <w:szCs w:val="22"/>
        </w:rPr>
        <w:t xml:space="preserve"> succeeds where conventional gene-centric methods fail</w:t>
      </w:r>
      <w:r>
        <w:rPr>
          <w:rFonts w:ascii="Calibri" w:hAnsi="Calibri" w:cs="Calibri"/>
          <w:color w:val="000000" w:themeColor="text1"/>
          <w:sz w:val="22"/>
          <w:szCs w:val="22"/>
        </w:rPr>
        <w:t>.</w:t>
      </w:r>
      <w:r w:rsidRPr="009C4A04">
        <w:rPr>
          <w:rFonts w:ascii="Calibri" w:hAnsi="Calibri" w:cs="Calibri"/>
          <w:color w:val="000000" w:themeColor="text1"/>
          <w:sz w:val="22"/>
          <w:szCs w:val="22"/>
        </w:rPr>
        <w:t xml:space="preserve"> it resolves coordinated regulatory programs that bias cellular potential in heterogeneous, uncommitted populations, identifying both canonical regulators (NFATC2, PAX5, BACH2) and previously unappreciated drivers (IKZF2, RBPJ) whose influence is detectable only through dynamic regulatory modeling. This predictive</w:t>
      </w:r>
      <w:r>
        <w:rPr>
          <w:rFonts w:ascii="Calibri" w:hAnsi="Calibri" w:cs="Calibri"/>
          <w:color w:val="000000" w:themeColor="text1"/>
          <w:sz w:val="22"/>
          <w:szCs w:val="22"/>
        </w:rPr>
        <w:t xml:space="preserve"> </w:t>
      </w:r>
      <w:r w:rsidRPr="009C4A04">
        <w:rPr>
          <w:rFonts w:ascii="Calibri" w:hAnsi="Calibri" w:cs="Calibri"/>
          <w:color w:val="000000" w:themeColor="text1"/>
          <w:sz w:val="22"/>
          <w:szCs w:val="22"/>
        </w:rPr>
        <w:t xml:space="preserve">view of fate commitment demonstrates that lineage decisions are encoded by short-lived regulatory signals operating well before </w:t>
      </w:r>
      <w:r>
        <w:rPr>
          <w:rFonts w:ascii="Calibri" w:hAnsi="Calibri" w:cs="Calibri"/>
          <w:color w:val="000000" w:themeColor="text1"/>
          <w:sz w:val="22"/>
          <w:szCs w:val="22"/>
        </w:rPr>
        <w:t>the bifurcation</w:t>
      </w:r>
      <w:r w:rsidRPr="009C4A04">
        <w:rPr>
          <w:rFonts w:ascii="Calibri" w:hAnsi="Calibri" w:cs="Calibri"/>
          <w:color w:val="000000" w:themeColor="text1"/>
          <w:sz w:val="22"/>
          <w:szCs w:val="22"/>
        </w:rPr>
        <w:t>, fundamentally redefining how early fate specification can be computationally resolved from single-cell data.</w:t>
      </w:r>
    </w:p>
    <w:p w14:paraId="57A10DDC" w14:textId="77777777" w:rsidR="008515C4" w:rsidRPr="0094705D" w:rsidRDefault="008515C4" w:rsidP="008515C4">
      <w:pPr>
        <w:pStyle w:val="Heading3"/>
        <w:rPr>
          <w:rFonts w:asciiTheme="majorHAnsi" w:hAnsiTheme="majorHAnsi" w:cstheme="majorHAnsi"/>
          <w:b/>
          <w:bCs/>
          <w:color w:val="000000" w:themeColor="text1"/>
          <w:sz w:val="24"/>
          <w:szCs w:val="24"/>
          <w:lang w:val="en-US"/>
        </w:rPr>
      </w:pPr>
      <w:proofErr w:type="spellStart"/>
      <w:r>
        <w:rPr>
          <w:rFonts w:ascii="Calibri" w:hAnsi="Calibri" w:cs="Calibri"/>
          <w:b/>
          <w:bCs/>
          <w:color w:val="000000" w:themeColor="text1"/>
          <w:sz w:val="24"/>
          <w:szCs w:val="24"/>
          <w:lang w:val="en-US"/>
        </w:rPr>
        <w:t>FIREFate</w:t>
      </w:r>
      <w:proofErr w:type="spellEnd"/>
      <w:r>
        <w:rPr>
          <w:rFonts w:ascii="Calibri" w:hAnsi="Calibri" w:cs="Calibri"/>
          <w:b/>
          <w:bCs/>
          <w:color w:val="000000" w:themeColor="text1"/>
          <w:sz w:val="24"/>
          <w:szCs w:val="24"/>
          <w:lang w:val="en-US"/>
        </w:rPr>
        <w:t xml:space="preserve"> </w:t>
      </w:r>
      <w:r w:rsidRPr="0094705D">
        <w:rPr>
          <w:rFonts w:asciiTheme="majorHAnsi" w:hAnsiTheme="majorHAnsi" w:cstheme="majorHAnsi"/>
          <w:b/>
          <w:bCs/>
          <w:color w:val="000000" w:themeColor="text1"/>
          <w:sz w:val="24"/>
          <w:szCs w:val="24"/>
          <w:lang w:val="en-US"/>
        </w:rPr>
        <w:t>Predicts T Cell Exhaustion Fate Before Phenotypic Commitment</w:t>
      </w:r>
    </w:p>
    <w:p w14:paraId="589D9DDE" w14:textId="469F6424" w:rsidR="008515C4" w:rsidRPr="0094705D" w:rsidRDefault="008515C4" w:rsidP="008515C4">
      <w:pPr>
        <w:jc w:val="both"/>
        <w:rPr>
          <w:rFonts w:ascii="Calibri" w:eastAsia="Times New Roman" w:hAnsi="Calibri" w:cs="Calibri"/>
          <w:color w:val="000000" w:themeColor="text1"/>
          <w:lang w:val="en-US"/>
        </w:rPr>
      </w:pPr>
      <w:r w:rsidRPr="00A472D1">
        <w:rPr>
          <w:rFonts w:ascii="Calibri" w:eastAsia="Times New Roman" w:hAnsi="Calibri" w:cs="Calibri"/>
          <w:color w:val="000000" w:themeColor="text1"/>
          <w:lang w:val="en-US"/>
        </w:rPr>
        <w:t xml:space="preserve">Then, we tested </w:t>
      </w:r>
      <w:proofErr w:type="spellStart"/>
      <w:r w:rsidRPr="00A472D1">
        <w:rPr>
          <w:rFonts w:ascii="Calibri" w:eastAsia="Times New Roman" w:hAnsi="Calibri" w:cs="Calibri"/>
          <w:color w:val="000000" w:themeColor="text1"/>
          <w:lang w:val="en-US"/>
        </w:rPr>
        <w:t>FIREFate</w:t>
      </w:r>
      <w:proofErr w:type="spellEnd"/>
      <w:r w:rsidRPr="00A472D1">
        <w:rPr>
          <w:rFonts w:ascii="Calibri" w:eastAsia="Times New Roman" w:hAnsi="Calibri" w:cs="Calibri"/>
          <w:color w:val="000000" w:themeColor="text1"/>
          <w:lang w:val="en-US"/>
        </w:rPr>
        <w:t xml:space="preserve"> </w:t>
      </w:r>
      <w:r w:rsidRPr="005D505E">
        <w:rPr>
          <w:rFonts w:ascii="Calibri" w:hAnsi="Calibri" w:cs="Calibri"/>
        </w:rPr>
        <w:t>on the T-cell exhaustion system—a fundamentally distinct and clinically consequential setting that represents an even more complex regulatory progression.</w:t>
      </w:r>
      <w:r w:rsidRPr="00A472D1">
        <w:rPr>
          <w:rFonts w:ascii="Calibri" w:eastAsia="Times New Roman" w:hAnsi="Calibri" w:cs="Calibri"/>
          <w:color w:val="000000" w:themeColor="text1"/>
          <w:lang w:val="en-US"/>
        </w:rPr>
        <w:t xml:space="preserve"> Unlike the discrete PB-GC bifurcation, </w:t>
      </w:r>
      <w:r>
        <w:rPr>
          <w:rFonts w:ascii="Calibri" w:eastAsia="Times New Roman" w:hAnsi="Calibri" w:cs="Calibri"/>
          <w:color w:val="000000" w:themeColor="text1"/>
          <w:lang w:val="en-US"/>
        </w:rPr>
        <w:t xml:space="preserve">T cell </w:t>
      </w:r>
      <w:r w:rsidRPr="00A472D1">
        <w:rPr>
          <w:rFonts w:ascii="Calibri" w:eastAsia="Times New Roman" w:hAnsi="Calibri" w:cs="Calibri"/>
          <w:color w:val="000000" w:themeColor="text1"/>
          <w:lang w:val="en-US"/>
        </w:rPr>
        <w:t xml:space="preserve">exhaustion </w:t>
      </w:r>
      <w:r w:rsidRPr="0058732E">
        <w:rPr>
          <w:rFonts w:ascii="Calibri" w:hAnsi="Calibri" w:cs="Calibri"/>
        </w:rPr>
        <w:t>involves</w:t>
      </w:r>
      <w:r>
        <w:rPr>
          <w:rFonts w:ascii="Calibri" w:hAnsi="Calibri" w:cs="Calibri"/>
        </w:rPr>
        <w:t xml:space="preserve"> </w:t>
      </w:r>
      <w:r w:rsidRPr="00A472D1">
        <w:rPr>
          <w:rFonts w:ascii="Calibri" w:eastAsia="Times New Roman" w:hAnsi="Calibri" w:cs="Calibri"/>
          <w:color w:val="000000" w:themeColor="text1"/>
          <w:lang w:val="en-US"/>
        </w:rPr>
        <w:t xml:space="preserve">a continuous </w:t>
      </w:r>
      <w:r w:rsidRPr="0058732E">
        <w:rPr>
          <w:rFonts w:ascii="Calibri" w:hAnsi="Calibri" w:cs="Calibri"/>
        </w:rPr>
        <w:t>transition</w:t>
      </w:r>
      <w:r w:rsidRPr="00A472D1">
        <w:rPr>
          <w:rFonts w:ascii="Calibri" w:eastAsia="Times New Roman" w:hAnsi="Calibri" w:cs="Calibri"/>
          <w:color w:val="000000" w:themeColor="text1"/>
          <w:lang w:val="en-US"/>
        </w:rPr>
        <w:t>from precursor exhausted (</w:t>
      </w:r>
      <w:proofErr w:type="spellStart"/>
      <w:r w:rsidRPr="00A472D1">
        <w:rPr>
          <w:rFonts w:ascii="Calibri" w:eastAsia="Times New Roman" w:hAnsi="Calibri" w:cs="Calibri"/>
          <w:color w:val="000000" w:themeColor="text1"/>
          <w:lang w:val="en-US"/>
        </w:rPr>
        <w:t>Tpex</w:t>
      </w:r>
      <w:proofErr w:type="spellEnd"/>
      <w:r w:rsidRPr="00A472D1">
        <w:rPr>
          <w:rFonts w:ascii="Calibri" w:eastAsia="Times New Roman" w:hAnsi="Calibri" w:cs="Calibri"/>
          <w:color w:val="000000" w:themeColor="text1"/>
          <w:lang w:val="en-US"/>
        </w:rPr>
        <w:t>) to terminally exhausted (Tex) states</w:t>
      </w:r>
      <w:r w:rsidRPr="005D505E">
        <w:rPr>
          <w:rFonts w:ascii="Calibri" w:hAnsi="Calibri" w:cs="Calibri"/>
        </w:rPr>
        <w:t>, without clear-cut switching points or sharply differentiated endpoints</w:t>
      </w:r>
      <w:r>
        <w:rPr>
          <w:rFonts w:ascii="Calibri" w:hAnsi="Calibri" w:cs="Calibri"/>
        </w:rPr>
        <w:fldChar w:fldCharType="begin"/>
      </w:r>
      <w:r w:rsidR="00BD6670">
        <w:rPr>
          <w:rFonts w:ascii="Calibri" w:hAnsi="Calibri" w:cs="Calibri"/>
        </w:rPr>
        <w:instrText xml:space="preserve"> ADDIN ZOTERO_ITEM CSL_CITATION {"citationID":"QiFkJGsc","properties":{"formattedCitation":"\\super 59\\nosupersub{}","plainCitation":"59","noteIndex":0},"citationItems":[{"id":2749,"uris":["http://zotero.org/groups/6337619/items/ZQ2QC4XL"],"itemData":{"id":2749,"type":"article-journal","abstract":"Abstract\n            \n              CD8\n              +\n              cytotoxic T cells (CTLs) orchestrate antitumour immunity and exhibit inherent heterogeneity\n              1,2\n              , with precursor exhausted T (T\n              pex\n              ) cells but not terminally exhausted T (T\n              ex\n              ) cells capable of responding to existing immunotherapies\n              3–7\n              . The gene regulatory network that underlies CTL differentiation and whether T\n              ex\n              cell responses can be functionally reinvigorated are incompletely understood. Here we systematically mapped causal gene regulatory networks using single-cell CRISPR screens in vivo and discovered checkpoints for CTL differentiation. First, the exit from quiescence of T\n              pex\n              cells initiated successive differentiation into intermediate T\n              ex\n              cells. This process is differentially regulated by IKAROS and ETS1, the deficiencies of which dampened and increased mTORC1-associated metabolic activities, respectively. IKAROS-deficient cells accumulated as a metabolically quiescent T\n              pex\n              cell population with limited differentiation potential following immune checkpoint blockade (ICB). Conversely, targeting ETS1 improved antitumour immunity and ICB efficacy by boosting differentiation of T\n              pex\n              to intermediate T\n              ex\n              cells and metabolic rewiring. Mechanistically, TCF-1 and BATF are the targets for IKAROS and ETS1, respectively. Second, the RBPJ–IRF1 axis promoted differentiation of intermediate T\n              ex\n              to terminal T\n              ex\n              cells. Accordingly, targeting RBPJ enhanced functional and epigenetic reprogramming of T\n              ex\n              cells towards the proliferative state and improved therapeutic effects and ICB efficacy. Collectively, our study reveals that promoting the exit from quiescence of T\n              pex\n              cells and enriching the proliferative T\n              ex\n              cell state act as key modalities for antitumour effects and provides a systemic framework to integrate cell fate regulomes and reprogrammable functional determinants for cancer immunity.","container-title":"Nature","DOI":"10.1038/s41586-023-06733-x","ISSN":"0028-0836, 1476-4687","issue":"7990","journalAbbreviation":"Nature","language":"en","page":"154-163","source":"DOI.org (Crossref)","title":"Single-cell CRISPR screens in vivo map T cell fate regulomes in cancer","volume":"624","author":[{"family":"Zhou","given":"Peipei"},{"family":"Shi","given":"Hao"},{"family":"Huang","given":"Hongling"},{"family":"Sun","given":"Xiang"},{"family":"Yuan","given":"Sujing"},{"family":"Chapman","given":"Nicole M."},{"family":"Connelly","given":"Jon P."},{"family":"Lim","given":"Seon Ah"},{"family":"Saravia","given":"Jordy"},{"family":"Kc","given":"Anil"},{"family":"Pruett-Miller","given":"Shondra M."},{"family":"Chi","given":"Hongbo"}],"issued":{"date-parts":[["2023",12,7]]}}}],"schema":"https://github.com/citation-style-language/schema/raw/master/csl-citation.json"} </w:instrText>
      </w:r>
      <w:r>
        <w:rPr>
          <w:rFonts w:ascii="Calibri" w:hAnsi="Calibri" w:cs="Calibri"/>
        </w:rPr>
        <w:fldChar w:fldCharType="separate"/>
      </w:r>
      <w:r w:rsidR="00BD6670" w:rsidRPr="00BD6670">
        <w:rPr>
          <w:rFonts w:ascii="Calibri" w:eastAsiaTheme="minorHAnsi" w:hAnsi="Calibri" w:cs="Calibri"/>
          <w:szCs w:val="24"/>
          <w:vertAlign w:val="superscript"/>
          <w:lang w:val="en-US"/>
          <w14:ligatures w14:val="standardContextual"/>
        </w:rPr>
        <w:t>59</w:t>
      </w:r>
      <w:r>
        <w:rPr>
          <w:rFonts w:ascii="Calibri" w:hAnsi="Calibri" w:cs="Calibri"/>
        </w:rPr>
        <w:fldChar w:fldCharType="end"/>
      </w:r>
      <w:r>
        <w:rPr>
          <w:rFonts w:ascii="Calibri" w:hAnsi="Calibri" w:cs="Calibri"/>
          <w:vertAlign w:val="superscript"/>
        </w:rPr>
        <w:t>,</w:t>
      </w:r>
      <w:r>
        <w:rPr>
          <w:rFonts w:ascii="Calibri" w:hAnsi="Calibri" w:cs="Calibri"/>
          <w:vertAlign w:val="superscript"/>
        </w:rPr>
        <w:fldChar w:fldCharType="begin"/>
      </w:r>
      <w:r w:rsidR="00BD6670">
        <w:rPr>
          <w:rFonts w:ascii="Calibri" w:hAnsi="Calibri" w:cs="Calibri"/>
          <w:vertAlign w:val="superscript"/>
        </w:rPr>
        <w:instrText xml:space="preserve"> ADDIN ZOTERO_ITEM CSL_CITATION {"citationID":"SVzCvEhr","properties":{"formattedCitation":"\\super 60\\nosupersub{}","plainCitation":"60","noteIndex":0},"citationItems":[{"id":2750,"uris":["http://zotero.org/groups/6337619/items/SDTYNBE5"],"itemData":{"id":2750,"type":"article-journal","container-title":"Nature Reviews Immunology","DOI":"10.1038/s41577-019-0223-7","ISSN":"1474-1733, 1474-1741","issue":"2","journalAbbreviation":"Nat Rev Immunol","language":"en","page":"128-136","source":"DOI.org (Crossref)","title":"Precursor exhausted T cells: key to successful immunotherapy?","title-short":"Precursor exhausted T cells","volume":"20","author":[{"family":"Kallies","given":"Axel"},{"family":"Zehn","given":"Dietmar"},{"family":"Utzschneider","given":"Daniel T."}],"issued":{"date-parts":[["2020",2]]}}}],"schema":"https://github.com/citation-style-language/schema/raw/master/csl-citation.json"} </w:instrText>
      </w:r>
      <w:r>
        <w:rPr>
          <w:rFonts w:ascii="Calibri" w:hAnsi="Calibri" w:cs="Calibri"/>
          <w:vertAlign w:val="superscript"/>
        </w:rPr>
        <w:fldChar w:fldCharType="separate"/>
      </w:r>
      <w:r w:rsidR="00BD6670" w:rsidRPr="00BD6670">
        <w:rPr>
          <w:rFonts w:ascii="Calibri" w:eastAsiaTheme="minorHAnsi" w:hAnsi="Calibri" w:cs="Calibri"/>
          <w:szCs w:val="24"/>
          <w:vertAlign w:val="superscript"/>
          <w:lang w:val="en-US"/>
          <w14:ligatures w14:val="standardContextual"/>
        </w:rPr>
        <w:t>60</w:t>
      </w:r>
      <w:r>
        <w:rPr>
          <w:rFonts w:ascii="Calibri" w:hAnsi="Calibri" w:cs="Calibri"/>
          <w:vertAlign w:val="superscript"/>
        </w:rPr>
        <w:fldChar w:fldCharType="end"/>
      </w:r>
      <w:r w:rsidRPr="00A472D1">
        <w:rPr>
          <w:rFonts w:ascii="Calibri" w:eastAsia="Times New Roman" w:hAnsi="Calibri" w:cs="Calibri"/>
          <w:color w:val="000000" w:themeColor="text1"/>
          <w:lang w:val="en-US"/>
        </w:rPr>
        <w:t xml:space="preserve">. This </w:t>
      </w:r>
      <w:r w:rsidRPr="00292662">
        <w:rPr>
          <w:rFonts w:ascii="Calibri" w:hAnsi="Calibri" w:cs="Calibri"/>
        </w:rPr>
        <w:t>gradual progression</w:t>
      </w:r>
      <w:r w:rsidRPr="00A472D1">
        <w:rPr>
          <w:rFonts w:ascii="Calibri" w:eastAsia="Times New Roman" w:hAnsi="Calibri" w:cs="Calibri"/>
          <w:color w:val="000000" w:themeColor="text1"/>
          <w:lang w:val="en-US"/>
        </w:rPr>
        <w:t xml:space="preserve"> determines whether immune responses remain durable or become irreversibly dysfunctional, with direct implications for chronic infection, tumor progression, and immunotherapy efficacy.</w:t>
      </w:r>
      <w:r w:rsidRPr="0094705D">
        <w:rPr>
          <w:rFonts w:ascii="Calibri" w:eastAsia="Times New Roman" w:hAnsi="Calibri" w:cs="Calibri"/>
          <w:color w:val="000000" w:themeColor="text1"/>
          <w:lang w:val="en-US"/>
        </w:rPr>
        <w:t xml:space="preserve"> We leveraged single-cell TF-perturb-seq datasets targeting Ikzf1 and Ets1, where Ets1 knockout accelerates Tex progression while Ikzf1 deletion expands </w:t>
      </w:r>
      <w:proofErr w:type="spellStart"/>
      <w:r w:rsidRPr="0094705D">
        <w:rPr>
          <w:rFonts w:ascii="Calibri" w:eastAsia="Times New Roman" w:hAnsi="Calibri" w:cs="Calibri"/>
          <w:color w:val="000000" w:themeColor="text1"/>
          <w:lang w:val="en-US"/>
        </w:rPr>
        <w:t>Tpex</w:t>
      </w:r>
      <w:proofErr w:type="spellEnd"/>
      <w:r w:rsidRPr="0094705D">
        <w:rPr>
          <w:rFonts w:ascii="Calibri" w:eastAsia="Times New Roman" w:hAnsi="Calibri" w:cs="Calibri"/>
          <w:color w:val="000000" w:themeColor="text1"/>
          <w:lang w:val="en-US"/>
        </w:rPr>
        <w:t xml:space="preserve"> populations</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{"citationID":"dpWGxfOF","properties":{"formattedCitation":"\\super 60\\nosupersub{}","plainCitation":"60","noteIndex":0},"citationItems":[{"id":2750,"uris":["http://zotero.org/groups/6337619/items/SDTYNBE5"],"itemData":{"id":2750,"type":"article-journal","container-title":"Nature Reviews Immunology","DOI":"10.1038/s41577-019-0223-7","ISSN":"1474-1733, 1474-1741","issue":"2","journalAbbreviation":"Nat Rev Immunol","language":"en","page":"128-136","source":"DOI.org (Crossref)","title":"Precursor exhausted T cells: key to successful immunotherapy?","title-short":"Precursor exhausted T cells","volume":"20","author":[{"family":"Kallies","given":"Axel"},{"family":"Zehn","given":"Dietmar"},{"family":"Utzschneider","given":"Daniel T."}],"issued":{"date-parts":[["2020",2]]}}}],"schema":"https://github.com/citation-style-language/schema/raw/master/csl-citation.json"}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60</w:t>
      </w:r>
      <w:r>
        <w:rPr>
          <w:rFonts w:ascii="Calibri" w:eastAsia="Times New Roman" w:hAnsi="Calibri" w:cs="Calibri"/>
          <w:color w:val="000000" w:themeColor="text1"/>
          <w:lang w:val="en-US"/>
        </w:rPr>
        <w:fldChar w:fldCharType="end"/>
      </w:r>
      <w:r>
        <w:rPr>
          <w:rFonts w:ascii="Calibri" w:eastAsia="Times New Roman" w:hAnsi="Calibri" w:cs="Calibri"/>
          <w:color w:val="000000" w:themeColor="text1"/>
          <w:lang w:val="en-US"/>
        </w:rPr>
        <w:t xml:space="preserve"> </w:t>
      </w:r>
      <w:r w:rsidRPr="0094705D">
        <w:rPr>
          <w:rFonts w:ascii="Calibri" w:eastAsia="Times New Roman" w:hAnsi="Calibri" w:cs="Calibri"/>
          <w:color w:val="000000" w:themeColor="text1"/>
          <w:lang w:val="en-US"/>
        </w:rPr>
        <w:t xml:space="preserve">to test whether </w:t>
      </w:r>
      <w:proofErr w:type="spellStart"/>
      <w:r>
        <w:rPr>
          <w:rFonts w:ascii="Calibri" w:eastAsia="Times New Roman" w:hAnsi="Calibri" w:cs="Calibri"/>
          <w:color w:val="000000" w:themeColor="text1"/>
          <w:lang w:val="en-US"/>
        </w:rPr>
        <w:t>FIREFate</w:t>
      </w:r>
      <w:proofErr w:type="spellEnd"/>
      <w:r w:rsidRPr="0094705D">
        <w:rPr>
          <w:rFonts w:ascii="Calibri" w:eastAsia="Times New Roman" w:hAnsi="Calibri" w:cs="Calibri"/>
          <w:color w:val="000000" w:themeColor="text1"/>
          <w:lang w:val="en-US"/>
        </w:rPr>
        <w:t xml:space="preserve"> resolves </w:t>
      </w:r>
      <w:r>
        <w:rPr>
          <w:rFonts w:ascii="Calibri" w:eastAsia="Times New Roman" w:hAnsi="Calibri" w:cs="Calibri"/>
          <w:color w:val="000000" w:themeColor="text1"/>
          <w:lang w:val="en-US"/>
        </w:rPr>
        <w:t xml:space="preserve">the dynamic regulatory and </w:t>
      </w:r>
      <w:r w:rsidRPr="0094705D">
        <w:rPr>
          <w:rFonts w:ascii="Calibri" w:eastAsia="Times New Roman" w:hAnsi="Calibri" w:cs="Calibri"/>
          <w:color w:val="000000" w:themeColor="text1"/>
          <w:lang w:val="en-US"/>
        </w:rPr>
        <w:t>fate-predisposing programs in this non-branching context (Fig. 6A).</w:t>
      </w:r>
    </w:p>
    <w:p w14:paraId="31BE2B89" w14:textId="77777777" w:rsidR="008515C4" w:rsidRPr="0094705D" w:rsidRDefault="008515C4" w:rsidP="008515C4">
      <w:pPr>
        <w:jc w:val="both"/>
        <w:rPr>
          <w:rFonts w:ascii="Calibri" w:eastAsia="Times New Roman" w:hAnsi="Calibri" w:cs="Calibri"/>
          <w:color w:val="000000" w:themeColor="text1"/>
          <w:lang w:val="en-US"/>
        </w:rPr>
      </w:pPr>
    </w:p>
    <w:p w14:paraId="6798F119" w14:textId="77777777" w:rsidR="008515C4" w:rsidRPr="0094705D" w:rsidRDefault="008515C4" w:rsidP="008515C4">
      <w:pPr>
        <w:jc w:val="both"/>
        <w:rPr>
          <w:rFonts w:ascii="Calibri" w:eastAsia="Times New Roman" w:hAnsi="Calibri" w:cs="Calibri"/>
          <w:color w:val="000000" w:themeColor="text1"/>
          <w:lang w:val="en-US"/>
        </w:rPr>
      </w:pPr>
      <w:r>
        <w:rPr>
          <w:rFonts w:ascii="Calibri" w:eastAsia="Times New Roman" w:hAnsi="Calibri" w:cs="Calibri"/>
          <w:color w:val="000000" w:themeColor="text1"/>
          <w:lang w:val="en-US"/>
        </w:rPr>
        <w:t xml:space="preserve">We first trained </w:t>
      </w:r>
      <w:r w:rsidRPr="0094705D">
        <w:rPr>
          <w:rFonts w:ascii="Calibri" w:eastAsia="Times New Roman" w:hAnsi="Calibri" w:cs="Calibri"/>
          <w:color w:val="000000" w:themeColor="text1"/>
          <w:lang w:val="en-US"/>
        </w:rPr>
        <w:t xml:space="preserve">conventional Lasso- and DEG-based </w:t>
      </w:r>
      <w:r>
        <w:rPr>
          <w:rFonts w:ascii="Calibri" w:eastAsia="Times New Roman" w:hAnsi="Calibri" w:cs="Calibri"/>
          <w:color w:val="000000" w:themeColor="text1"/>
          <w:lang w:val="en-US"/>
        </w:rPr>
        <w:t xml:space="preserve">models on </w:t>
      </w:r>
      <w:r w:rsidRPr="0094705D">
        <w:rPr>
          <w:rFonts w:ascii="Calibri" w:eastAsia="Times New Roman" w:hAnsi="Calibri" w:cs="Calibri"/>
          <w:color w:val="000000" w:themeColor="text1"/>
          <w:lang w:val="en-US"/>
        </w:rPr>
        <w:t xml:space="preserve">perturbed cells </w:t>
      </w:r>
      <w:r>
        <w:rPr>
          <w:rFonts w:ascii="Calibri" w:eastAsia="Times New Roman" w:hAnsi="Calibri" w:cs="Calibri"/>
          <w:color w:val="000000" w:themeColor="text1"/>
          <w:lang w:val="en-US"/>
        </w:rPr>
        <w:t xml:space="preserve">vs. unperturbed control cells </w:t>
      </w:r>
      <w:r w:rsidRPr="0094705D">
        <w:rPr>
          <w:rFonts w:ascii="Calibri" w:eastAsia="Times New Roman" w:hAnsi="Calibri" w:cs="Calibri"/>
          <w:color w:val="000000" w:themeColor="text1"/>
          <w:lang w:val="en-US"/>
        </w:rPr>
        <w:t>(I</w:t>
      </w:r>
      <w:r>
        <w:rPr>
          <w:rFonts w:ascii="Calibri" w:eastAsia="Times New Roman" w:hAnsi="Calibri" w:cs="Calibri"/>
          <w:color w:val="000000" w:themeColor="text1"/>
          <w:lang w:val="en-US"/>
        </w:rPr>
        <w:t>kzf1</w:t>
      </w:r>
      <w:r w:rsidRPr="0094705D">
        <w:rPr>
          <w:rFonts w:ascii="Calibri" w:eastAsia="Times New Roman" w:hAnsi="Calibri" w:cs="Calibri"/>
          <w:color w:val="000000" w:themeColor="text1"/>
          <w:lang w:val="en-US"/>
        </w:rPr>
        <w:t>-KO; Fig. 6A, left)</w:t>
      </w:r>
      <w:r>
        <w:rPr>
          <w:rFonts w:ascii="Calibri" w:eastAsia="Times New Roman" w:hAnsi="Calibri" w:cs="Calibri"/>
          <w:color w:val="000000" w:themeColor="text1"/>
          <w:lang w:val="en-US"/>
        </w:rPr>
        <w:t>. Then the mo</w:t>
      </w:r>
      <w:r w:rsidRPr="0094705D">
        <w:rPr>
          <w:rFonts w:ascii="Calibri" w:eastAsia="Times New Roman" w:hAnsi="Calibri" w:cs="Calibri"/>
          <w:color w:val="000000" w:themeColor="text1"/>
          <w:lang w:val="en-US"/>
        </w:rPr>
        <w:t>dels are</w:t>
      </w:r>
      <w:r>
        <w:rPr>
          <w:rFonts w:ascii="Calibri" w:eastAsia="Times New Roman" w:hAnsi="Calibri" w:cs="Calibri"/>
          <w:color w:val="000000" w:themeColor="text1"/>
          <w:lang w:val="en-US"/>
        </w:rPr>
        <w:t xml:space="preserve"> transferr</w:t>
      </w:r>
      <w:r w:rsidRPr="0094705D">
        <w:rPr>
          <w:rFonts w:ascii="Calibri" w:eastAsia="Times New Roman" w:hAnsi="Calibri" w:cs="Calibri"/>
          <w:color w:val="000000" w:themeColor="text1"/>
          <w:lang w:val="en-US"/>
        </w:rPr>
        <w:t xml:space="preserve">ed </w:t>
      </w:r>
      <w:r>
        <w:rPr>
          <w:rFonts w:ascii="Calibri" w:eastAsia="Times New Roman" w:hAnsi="Calibri" w:cs="Calibri"/>
          <w:color w:val="000000" w:themeColor="text1"/>
          <w:lang w:val="en-US"/>
        </w:rPr>
        <w:t>in</w:t>
      </w:r>
      <w:r w:rsidRPr="0094705D">
        <w:rPr>
          <w:rFonts w:ascii="Calibri" w:eastAsia="Times New Roman" w:hAnsi="Calibri" w:cs="Calibri"/>
          <w:color w:val="000000" w:themeColor="text1"/>
          <w:lang w:val="en-US"/>
        </w:rPr>
        <w:t xml:space="preserve">to </w:t>
      </w:r>
      <w:r>
        <w:rPr>
          <w:rFonts w:ascii="Calibri" w:eastAsia="Times New Roman" w:hAnsi="Calibri" w:cs="Calibri"/>
          <w:color w:val="000000" w:themeColor="text1"/>
          <w:lang w:val="en-US"/>
        </w:rPr>
        <w:t xml:space="preserve">unseen </w:t>
      </w:r>
      <w:r w:rsidRPr="0094705D">
        <w:rPr>
          <w:rFonts w:ascii="Calibri" w:eastAsia="Times New Roman" w:hAnsi="Calibri" w:cs="Calibri"/>
          <w:color w:val="000000" w:themeColor="text1"/>
          <w:lang w:val="en-US"/>
        </w:rPr>
        <w:t xml:space="preserve">unperturbed wild-type cells to predict latent </w:t>
      </w:r>
      <w:proofErr w:type="spellStart"/>
      <w:r w:rsidRPr="0094705D">
        <w:rPr>
          <w:rFonts w:ascii="Calibri" w:eastAsia="Times New Roman" w:hAnsi="Calibri" w:cs="Calibri"/>
          <w:color w:val="000000" w:themeColor="text1"/>
          <w:lang w:val="en-US"/>
        </w:rPr>
        <w:t>Tpex</w:t>
      </w:r>
      <w:proofErr w:type="spellEnd"/>
      <w:r w:rsidRPr="0094705D">
        <w:rPr>
          <w:rFonts w:ascii="Calibri" w:eastAsia="Times New Roman" w:hAnsi="Calibri" w:cs="Calibri"/>
          <w:color w:val="000000" w:themeColor="text1"/>
          <w:lang w:val="en-US"/>
        </w:rPr>
        <w:t>- or Tex-biased states</w:t>
      </w:r>
      <w:r>
        <w:rPr>
          <w:rFonts w:ascii="Calibri" w:eastAsia="Times New Roman" w:hAnsi="Calibri" w:cs="Calibri"/>
          <w:color w:val="000000" w:themeColor="text1"/>
          <w:lang w:val="en-US"/>
        </w:rPr>
        <w:t xml:space="preserve"> </w:t>
      </w:r>
      <w:r w:rsidRPr="0094705D">
        <w:rPr>
          <w:rFonts w:ascii="Calibri" w:eastAsia="Times New Roman" w:hAnsi="Calibri" w:cs="Calibri"/>
          <w:color w:val="000000" w:themeColor="text1"/>
          <w:lang w:val="en-US"/>
        </w:rPr>
        <w:t xml:space="preserve">(Fig. 6A, middle). Predictions are validated using </w:t>
      </w:r>
      <w:r>
        <w:rPr>
          <w:rFonts w:ascii="Calibri" w:eastAsia="Times New Roman" w:hAnsi="Calibri" w:cs="Calibri"/>
          <w:color w:val="000000" w:themeColor="text1"/>
          <w:lang w:val="en-US"/>
        </w:rPr>
        <w:t>Cliff’s delta (</w:t>
      </w:r>
      <w:r w:rsidRPr="0094705D">
        <w:rPr>
          <w:rFonts w:ascii="Calibri" w:eastAsia="Times New Roman" w:hAnsi="Calibri" w:cs="Calibri"/>
          <w:color w:val="000000" w:themeColor="text1"/>
          <w:lang w:val="en-US"/>
        </w:rPr>
        <w:t>CD</w:t>
      </w:r>
      <w:r>
        <w:rPr>
          <w:rFonts w:ascii="Calibri" w:eastAsia="Times New Roman" w:hAnsi="Calibri" w:cs="Calibri"/>
          <w:color w:val="000000" w:themeColor="text1"/>
          <w:lang w:val="en-US"/>
        </w:rPr>
        <w:t>)</w:t>
      </w:r>
      <w:r w:rsidRPr="0094705D">
        <w:rPr>
          <w:rFonts w:ascii="Calibri" w:eastAsia="Times New Roman" w:hAnsi="Calibri" w:cs="Calibri"/>
          <w:color w:val="000000" w:themeColor="text1"/>
          <w:lang w:val="en-US"/>
        </w:rPr>
        <w:t xml:space="preserve">, defined as the single-cell difference between </w:t>
      </w:r>
      <w:proofErr w:type="spellStart"/>
      <w:r w:rsidRPr="0094705D">
        <w:rPr>
          <w:rFonts w:ascii="Calibri" w:eastAsia="Times New Roman" w:hAnsi="Calibri" w:cs="Calibri"/>
          <w:color w:val="000000" w:themeColor="text1"/>
          <w:lang w:val="en-US"/>
        </w:rPr>
        <w:t>Tpex</w:t>
      </w:r>
      <w:proofErr w:type="spellEnd"/>
      <w:r w:rsidRPr="0094705D">
        <w:rPr>
          <w:rFonts w:ascii="Calibri" w:eastAsia="Times New Roman" w:hAnsi="Calibri" w:cs="Calibri"/>
          <w:color w:val="000000" w:themeColor="text1"/>
          <w:lang w:val="en-US"/>
        </w:rPr>
        <w:t xml:space="preserve"> and Tex gene set enrichment scores (Fig. 6A, right). Cells predicted as </w:t>
      </w:r>
      <w:proofErr w:type="spellStart"/>
      <w:r w:rsidRPr="0094705D">
        <w:rPr>
          <w:rFonts w:ascii="Calibri" w:eastAsia="Times New Roman" w:hAnsi="Calibri" w:cs="Calibri"/>
          <w:color w:val="000000" w:themeColor="text1"/>
          <w:lang w:val="en-US"/>
        </w:rPr>
        <w:t>Tpex</w:t>
      </w:r>
      <w:proofErr w:type="spellEnd"/>
      <w:r w:rsidRPr="0094705D">
        <w:rPr>
          <w:rFonts w:ascii="Calibri" w:eastAsia="Times New Roman" w:hAnsi="Calibri" w:cs="Calibri"/>
          <w:color w:val="000000" w:themeColor="text1"/>
          <w:lang w:val="en-US"/>
        </w:rPr>
        <w:t xml:space="preserve">-predisposed should exhibit significantly positive CD values, reflecting </w:t>
      </w:r>
      <w:proofErr w:type="spellStart"/>
      <w:r w:rsidRPr="0094705D">
        <w:rPr>
          <w:rFonts w:ascii="Calibri" w:eastAsia="Times New Roman" w:hAnsi="Calibri" w:cs="Calibri"/>
          <w:color w:val="000000" w:themeColor="text1"/>
          <w:lang w:val="en-US"/>
        </w:rPr>
        <w:t>Tpex</w:t>
      </w:r>
      <w:proofErr w:type="spellEnd"/>
      <w:r w:rsidRPr="0094705D">
        <w:rPr>
          <w:rFonts w:ascii="Calibri" w:eastAsia="Times New Roman" w:hAnsi="Calibri" w:cs="Calibri"/>
          <w:color w:val="000000" w:themeColor="text1"/>
          <w:lang w:val="en-US"/>
        </w:rPr>
        <w:t xml:space="preserve"> program enrichment, whereas E</w:t>
      </w:r>
      <w:r>
        <w:rPr>
          <w:rFonts w:ascii="Calibri" w:eastAsia="Times New Roman" w:hAnsi="Calibri" w:cs="Calibri"/>
          <w:color w:val="000000" w:themeColor="text1"/>
          <w:lang w:val="en-US"/>
        </w:rPr>
        <w:t>ts</w:t>
      </w:r>
      <w:r w:rsidRPr="0094705D">
        <w:rPr>
          <w:rFonts w:ascii="Calibri" w:eastAsia="Times New Roman" w:hAnsi="Calibri" w:cs="Calibri"/>
          <w:color w:val="000000" w:themeColor="text1"/>
          <w:lang w:val="en-US"/>
        </w:rPr>
        <w:t>1-KO-derived predictions should yield strongly negative CD values consistent with terminal exhaustion</w:t>
      </w:r>
      <w:r>
        <w:rPr>
          <w:rFonts w:ascii="Calibri" w:eastAsia="Times New Roman" w:hAnsi="Calibri" w:cs="Calibri"/>
          <w:color w:val="000000" w:themeColor="text1"/>
          <w:lang w:val="en-US"/>
        </w:rPr>
        <w:t xml:space="preserve">. </w:t>
      </w:r>
      <w:r w:rsidRPr="0094705D">
        <w:rPr>
          <w:rFonts w:ascii="Calibri" w:eastAsia="Times New Roman" w:hAnsi="Calibri" w:cs="Calibri"/>
          <w:color w:val="000000" w:themeColor="text1"/>
          <w:lang w:val="en-US"/>
        </w:rPr>
        <w:t xml:space="preserve">Cells classified as non-predisposed should show intermediate yet directionally consistent CD values, reflecting incomplete commitment. By anchoring predictions to an independent, quantitative </w:t>
      </w:r>
      <w:r w:rsidRPr="0094705D">
        <w:rPr>
          <w:rFonts w:ascii="Calibri" w:eastAsia="Times New Roman" w:hAnsi="Calibri" w:cs="Calibri"/>
          <w:color w:val="000000" w:themeColor="text1"/>
          <w:lang w:val="en-US"/>
        </w:rPr>
        <w:lastRenderedPageBreak/>
        <w:t>readout of lineage bias, CD enables direct comparison of how effectively each method exposes latent fate potential before phenotypic fixation.</w:t>
      </w:r>
    </w:p>
    <w:p w14:paraId="71662D1D" w14:textId="77777777" w:rsidR="008515C4" w:rsidRPr="0094705D" w:rsidRDefault="008515C4" w:rsidP="008515C4">
      <w:pPr>
        <w:jc w:val="both"/>
        <w:rPr>
          <w:rFonts w:ascii="Calibri" w:eastAsia="Times New Roman" w:hAnsi="Calibri" w:cs="Calibri"/>
          <w:color w:val="000000" w:themeColor="text1"/>
          <w:lang w:val="en-US"/>
        </w:rPr>
      </w:pPr>
    </w:p>
    <w:p w14:paraId="77DD93FD" w14:textId="1486BE59" w:rsidR="008515C4" w:rsidRPr="0094705D" w:rsidRDefault="008515C4" w:rsidP="008515C4">
      <w:pPr>
        <w:jc w:val="both"/>
        <w:rPr>
          <w:rFonts w:ascii="Calibri" w:eastAsia="Times New Roman" w:hAnsi="Calibri" w:cs="Calibri"/>
          <w:color w:val="000000" w:themeColor="text1"/>
          <w:lang w:val="en-US"/>
        </w:rPr>
      </w:pPr>
      <w:r w:rsidRPr="0094705D">
        <w:rPr>
          <w:rFonts w:ascii="Calibri" w:eastAsia="Times New Roman" w:hAnsi="Calibri" w:cs="Calibri"/>
          <w:color w:val="000000" w:themeColor="text1"/>
          <w:lang w:val="en-US"/>
        </w:rPr>
        <w:t xml:space="preserve">Baseline gene-centric methods failed to resolve latent fate predisposition despite strong performance on perturbation classification. Lasso logistic regression models trained on either all features or DEGs robustly discriminated knockout from control cells (AUC ≈ 0.93 and 0.85–0.88, respectively). However, when projected onto unseen unperturbed wild-type cells, predicted "knockout-like" subsets showed only </w:t>
      </w:r>
      <w:r>
        <w:rPr>
          <w:rFonts w:ascii="Calibri" w:eastAsia="Times New Roman" w:hAnsi="Calibri" w:cs="Calibri"/>
          <w:color w:val="000000" w:themeColor="text1"/>
          <w:lang w:val="en-US"/>
        </w:rPr>
        <w:t>limited</w:t>
      </w:r>
      <w:r w:rsidRPr="0094705D">
        <w:rPr>
          <w:rFonts w:ascii="Calibri" w:eastAsia="Times New Roman" w:hAnsi="Calibri" w:cs="Calibri"/>
          <w:color w:val="000000" w:themeColor="text1"/>
          <w:lang w:val="en-US"/>
        </w:rPr>
        <w:t xml:space="preserve"> enrichment for canonical </w:t>
      </w:r>
      <w:proofErr w:type="spellStart"/>
      <w:r w:rsidRPr="0094705D">
        <w:rPr>
          <w:rFonts w:ascii="Calibri" w:eastAsia="Times New Roman" w:hAnsi="Calibri" w:cs="Calibri"/>
          <w:color w:val="000000" w:themeColor="text1"/>
          <w:lang w:val="en-US"/>
        </w:rPr>
        <w:t>Tpex</w:t>
      </w:r>
      <w:proofErr w:type="spellEnd"/>
      <w:r w:rsidRPr="0094705D">
        <w:rPr>
          <w:rFonts w:ascii="Calibri" w:eastAsia="Times New Roman" w:hAnsi="Calibri" w:cs="Calibri"/>
          <w:color w:val="000000" w:themeColor="text1"/>
          <w:lang w:val="en-US"/>
        </w:rPr>
        <w:t xml:space="preserve"> (Tcf7, Slamf6, </w:t>
      </w:r>
      <w:proofErr w:type="spellStart"/>
      <w:r w:rsidRPr="0094705D">
        <w:rPr>
          <w:rFonts w:ascii="Calibri" w:eastAsia="Times New Roman" w:hAnsi="Calibri" w:cs="Calibri"/>
          <w:color w:val="000000" w:themeColor="text1"/>
          <w:lang w:val="en-US"/>
        </w:rPr>
        <w:t>Myb</w:t>
      </w:r>
      <w:proofErr w:type="spellEnd"/>
      <w:r w:rsidRPr="0094705D">
        <w:rPr>
          <w:rFonts w:ascii="Calibri" w:eastAsia="Times New Roman" w:hAnsi="Calibri" w:cs="Calibri"/>
          <w:color w:val="000000" w:themeColor="text1"/>
          <w:lang w:val="en-US"/>
        </w:rPr>
        <w:t xml:space="preserve">, Sell, Bach2) or Tex (Havcr2, Pdcd1, Entpd1, Cd38, Cd244a, Cxcr6, </w:t>
      </w:r>
      <w:proofErr w:type="spellStart"/>
      <w:r w:rsidRPr="0094705D">
        <w:rPr>
          <w:rFonts w:ascii="Calibri" w:eastAsia="Times New Roman" w:hAnsi="Calibri" w:cs="Calibri"/>
          <w:color w:val="000000" w:themeColor="text1"/>
          <w:lang w:val="en-US"/>
        </w:rPr>
        <w:t>Ifng</w:t>
      </w:r>
      <w:proofErr w:type="spellEnd"/>
      <w:r w:rsidRPr="0094705D">
        <w:rPr>
          <w:rFonts w:ascii="Calibri" w:eastAsia="Times New Roman" w:hAnsi="Calibri" w:cs="Calibri"/>
          <w:color w:val="000000" w:themeColor="text1"/>
          <w:lang w:val="en-US"/>
        </w:rPr>
        <w:t>)</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{"citationID":"70VlH5pl","properties":{"formattedCitation":"\\super 59\\nosupersub{}","plainCitation":"59","noteIndex":0},"citationItems":[{"id":2749,"uris":["http://zotero.org/groups/6337619/items/ZQ2QC4XL"],"itemData":{"id":2749,"type":"article-journal","abstract":"Abstract\n            \n              CD8\n              +\n              cytotoxic T cells (CTLs) orchestrate antitumour immunity and exhibit inherent heterogeneity\n              1,2\n              , with precursor exhausted T (T\n              pex\n              ) cells but not terminally exhausted T (T\n              ex\n              ) cells capable of responding to existing immunotherapies\n              3–7\n              . The gene regulatory network that underlies CTL differentiation and whether T\n              ex\n              cell responses can be functionally reinvigorated are incompletely understood. Here we systematically mapped causal gene regulatory networks using single-cell CRISPR screens in vivo and discovered checkpoints for CTL differentiation. First, the exit from quiescence of T\n              pex\n              cells initiated successive differentiation into intermediate T\n              ex\n              cells. This process is differentially regulated by IKAROS and ETS1, the deficiencies of which dampened and increased mTORC1-associated metabolic activities, respectively. IKAROS-deficient cells accumulated as a metabolically quiescent T\n              pex\n              cell population with limited differentiation potential following immune checkpoint blockade (ICB). Conversely, targeting ETS1 improved antitumour immunity and ICB efficacy by boosting differentiation of T\n              pex\n              to intermediate T\n              ex\n              cells and metabolic rewiring. Mechanistically, TCF-1 and BATF are the targets for IKAROS and ETS1, respectively. Second, the RBPJ–IRF1 axis promoted differentiation of intermediate T\n              ex\n              to terminal T\n              ex\n              cells. Accordingly, targeting RBPJ enhanced functional and epigenetic reprogramming of T\n              ex\n              cells towards the proliferative state and improved therapeutic effects and ICB efficacy. Collectively, our study reveals that promoting the exit from quiescence of T\n              pex\n              cells and enriching the proliferative T\n              ex\n              cell state act as key modalities for antitumour effects and provides a systemic framework to integrate cell fate regulomes and reprogrammable functional determinants for cancer immunity.","container-title":"Nature","DOI":"10.1038/s41586-023-06733-x","ISSN":"0028-0836, 1476-4687","issue":"7990","journalAbbreviation":"Nature","language":"en","page":"154-163","source":"DOI.org (Crossref)","title":"Single-cell CRISPR screens in vivo map T cell fate regulomes in cancer","volume":"624","author":[{"family":"Zhou","given":"Peipei"},{"family":"Shi","given":"Hao"},{"family":"Huang","given":"Hongling"},{"family":"Sun","given":"Xiang"},{"family":"Yuan","given":"Sujing"},{"family":"Chapman","given":"Nicole M."},{"family":"Connelly","given":"Jon P."},{"family":"Lim","given":"Seon Ah"},{"family":"Saravia","given":"Jordy"},{"family":"Kc","given":"Anil"},{"family":"Pruett-Miller","given":"Shondra M."},{"family":"Chi","given":"Hongbo"}],"issued":{"date-parts":[["2023",12,7]]}}}],"schema":"https://github.com/citation-style-language/schema/raw/master/csl-citation.json"}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59</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xml:space="preserve"> programs relative to undefined cells (Fig. 6B–C, Extended Fig. 5A–B). This failure was most pronounced for Ets1-KO, where Lasso- and DEG-based approaches systematically misclassified Tex-biased cells as </w:t>
      </w:r>
      <w:proofErr w:type="spellStart"/>
      <w:r w:rsidRPr="0094705D">
        <w:rPr>
          <w:rFonts w:ascii="Calibri" w:eastAsia="Times New Roman" w:hAnsi="Calibri" w:cs="Calibri"/>
          <w:color w:val="000000" w:themeColor="text1"/>
          <w:lang w:val="en-US"/>
        </w:rPr>
        <w:t>Tpex</w:t>
      </w:r>
      <w:proofErr w:type="spellEnd"/>
      <w:r w:rsidRPr="0094705D">
        <w:rPr>
          <w:rFonts w:ascii="Calibri" w:eastAsia="Times New Roman" w:hAnsi="Calibri" w:cs="Calibri"/>
          <w:color w:val="000000" w:themeColor="text1"/>
          <w:lang w:val="en-US"/>
        </w:rPr>
        <w:t xml:space="preserve">-biased, despite ETS1 loss being known to accelerate terminal exhaustion. In contrast, </w:t>
      </w:r>
      <w:proofErr w:type="spellStart"/>
      <w:r>
        <w:rPr>
          <w:rFonts w:ascii="Calibri" w:eastAsia="Times New Roman" w:hAnsi="Calibri" w:cs="Calibri"/>
          <w:color w:val="000000" w:themeColor="text1"/>
          <w:lang w:val="en-US"/>
        </w:rPr>
        <w:t>FIREFate</w:t>
      </w:r>
      <w:proofErr w:type="spellEnd"/>
      <w:r w:rsidRPr="0094705D">
        <w:rPr>
          <w:rFonts w:ascii="Calibri" w:eastAsia="Times New Roman" w:hAnsi="Calibri" w:cs="Calibri"/>
          <w:color w:val="000000" w:themeColor="text1"/>
          <w:lang w:val="en-US"/>
        </w:rPr>
        <w:t xml:space="preserve"> avoided such biologically inconsistent mis</w:t>
      </w:r>
      <w:r>
        <w:rPr>
          <w:rFonts w:ascii="Calibri" w:eastAsia="Times New Roman" w:hAnsi="Calibri" w:cs="Calibri"/>
          <w:color w:val="000000" w:themeColor="text1"/>
          <w:lang w:val="en-US"/>
        </w:rPr>
        <w:t>-</w:t>
      </w:r>
      <w:r w:rsidRPr="0094705D">
        <w:rPr>
          <w:rFonts w:ascii="Calibri" w:eastAsia="Times New Roman" w:hAnsi="Calibri" w:cs="Calibri"/>
          <w:color w:val="000000" w:themeColor="text1"/>
          <w:lang w:val="en-US"/>
        </w:rPr>
        <w:t>annotation: even when predictions were ambiguous, regulatory programs did not invert lineage directionality, underscoring that expression-level signals alone are insufficient to capture early exhaustion bias, whereas regulatory dynamics retain discriminative information even under limited training data.</w:t>
      </w:r>
    </w:p>
    <w:p w14:paraId="0A8344D4" w14:textId="77777777" w:rsidR="008515C4" w:rsidRPr="0094705D" w:rsidRDefault="008515C4" w:rsidP="008515C4">
      <w:pPr>
        <w:jc w:val="both"/>
        <w:rPr>
          <w:rFonts w:ascii="Calibri" w:eastAsia="Times New Roman" w:hAnsi="Calibri" w:cs="Calibri"/>
          <w:color w:val="000000" w:themeColor="text1"/>
          <w:lang w:val="en-US"/>
        </w:rPr>
      </w:pPr>
    </w:p>
    <w:p w14:paraId="68F42C7D" w14:textId="33569973" w:rsidR="008515C4" w:rsidRPr="0094705D" w:rsidRDefault="008515C4" w:rsidP="008515C4">
      <w:pPr>
        <w:jc w:val="both"/>
        <w:rPr>
          <w:rFonts w:ascii="Calibri" w:eastAsia="Times New Roman" w:hAnsi="Calibri" w:cs="Calibri"/>
          <w:color w:val="000000" w:themeColor="text1"/>
          <w:lang w:val="en-US"/>
        </w:rPr>
      </w:pPr>
      <w:r>
        <w:rPr>
          <w:rFonts w:ascii="Calibri" w:eastAsia="Times New Roman" w:hAnsi="Calibri" w:cs="Calibri"/>
          <w:color w:val="000000" w:themeColor="text1"/>
          <w:lang w:val="en-US"/>
        </w:rPr>
        <w:t>We first</w:t>
      </w:r>
      <w:r w:rsidRPr="0094705D">
        <w:rPr>
          <w:rFonts w:ascii="Calibri" w:eastAsia="Times New Roman" w:hAnsi="Calibri" w:cs="Calibri"/>
          <w:color w:val="000000" w:themeColor="text1"/>
          <w:lang w:val="en-US"/>
        </w:rPr>
        <w:t xml:space="preserve"> extracted coherent, fate-informative regulatory modules that significantly distinguished knockout from control cells (AUC = 0.82 for Ikzf1-KO and 0.74 for Ets1-KO; Extended Fig. 5C). These modules mapped to biologically interpretable programs, including T-cell activation, cytotoxic regulation, and survival control in Ikzf1-KO, and metabolic regulation coupled with immune checkpoint signaling in Ets1-KO (Fig. 6D, Extended Fig. 5D). The inferred programs encompassed coordinated sets of NK receptor family genes (Klrc2, Klrc1, Klrk1, Klre1, Klrd1)</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{"citationID":"IV8x0pMK","properties":{"formattedCitation":"\\super 61\\nosupersub{}","plainCitation":"61","noteIndex":0},"citationItems":[{"id":2754,"uris":["http://zotero.org/groups/6337619/items/SI2QVK7X"],"itemData":{"id":2754,"type":"article-journal","abstract":"Abstract\n            Natural killer (NK) cell inhibitory receptors play important roles in the regulation of target susceptibility to natural killing. Here, we report the molecular cloning and functional characterization of a novel NK cell receptor, KLRL1, from human and mouse dendritic cells. KLRL1 is a type II transmembrane protein with an immunoreceptor tyrosine-based inhibitory motif and a C-type lectinlike domain. The KLRL1 gene is located in the central region of the NK gene complex in both humans and mice, on human chromosome 12p13 and mouse chromosome 6F3, adjacent to the other KLR genes. KLRL1 is preferentially expressed in lymphoid tissues and immune cells, including NK cells, T cells, dendritic cells, and monocytes or macrophages. Western blot and fluorescence confocal microscopy analyses indicated that KLRL1 is a membrane-associated glycoprotein, which forms a heterodimer with an as yet unidentified partner. Human and mouse KLRL1 are both predicted to contain putative immunoreceptor tyrosine-based inhibitory motifs (ITIMs), and immunoprecipitation experiments demonstrated that KLRL1 associates with the tyrosine phosphatases SHP-1 (SH2-domain-containing protein tyrosine phosphatase 1) and SHP-2. Consistent with its potential inhibitory function, pretreatment of target cells with human KLRL1-Fc fusion protein enhances NK-mediated cytotoxicity. Taken together, our results demonstrate that KLRL1 belongs to the KLR family and is a novel inhibitory NK cell receptor.","container-title":"Blood","DOI":"10.1182/blood-2004-03-0878","ISSN":"0006-4971, 1528-0020","issue":"9","language":"en","page":"2858-2866","source":"DOI.org (Crossref)","title":"KLRL1, a novel killer cell lectinlike receptor, inhibits natural killer cell cytotoxicity","volume":"104","author":[{"family":"Han","given":"Yanmei"},{"family":"Zhang","given":"Minghui"},{"family":"Li","given":"Nan"},{"family":"Chen","given":"Taoyong"},{"family":"Zhang","given":"Yi"},{"family":"Wan","given":"Tao"},{"family":"Cao","given":"Xuetao"}],"issued":{"date-parts":[["2004",11,1]]}}}],"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61</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transcriptional regulators of effector and exhaustion fate (Bhlhe40</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{"citationID":"ZQDnwV7G","properties":{"formattedCitation":"\\super 62\\nosupersub{}","plainCitation":"62","noteIndex":0},"citationItems":[{"id":2751,"uris":["http://zotero.org/groups/6337619/items/XC6LCMZN"],"itemData":{"id":2751,"type":"article-journal","abstract":"Abstract\n            \n              \n              Immune checkpoint therapy (ICT) using antibody blockade of programmed cell death protein 1 (PD-1) or cytotoxic T-lymphocyte-associated protein 4 (CTLA-4) can provoke T cell–dependent antitumor activity that generates durable clinical responses in some patients. The epigenetic and transcriptional features that T cells require for efficacious ICT remain to be fully elucidated. Herein, we report that anti–PD-1 and anti–CTLA-4 ICT induce upregulation of the transcription factor BHLHE40 in tumor antigen–specific CD8+ and CD4+ T cells and that T cells require BHLHE40 for effective ICT in mice bearing immune-edited tumors. Single-cell RNA sequencing of intratumoral immune cells in BHLHE40-deficient mice revealed differential ICT-induced immune cell remodeling. The BHLHE40-dependent gene expression changes indicated dysregulated metabolism, NF-κB signaling, and IFNγ response within certain subpopulations of CD4+ and CD8+ T cells. Intratumoral CD4+ and CD8+ T cells from BHLHE40-deficient mice exhibited higher expression of the inhibitory receptor gene Tigit and displayed alterations in expression of genes encoding chemokines/chemokine receptors and granzyme family members. Mice lacking BHLHE40 had reduced ICT-driven IFNγ production by CD4+ and CD8+ T cells and defects in ICT-induced remodeling of macrophages from a CX3CR1+CD206+ subpopulation to an iNOS+ subpopulation that is typically observed during effective ICT. Although both anti–PD-1 and anti–CTLA-4 ICT in BHLHE40-deficient mice led to the same outcome—tumor outgrowth—several BHLHE40-dependent alterations were specific to the ICT that was used. Our results reveal a crucial role for BHLHE40 in effective ICT and suggest that BHLHE40 may be a predictive or prognostic biomarker for ICT efficacy and a potential therapeutic target.","container-title":"Cancer Immunology Research","DOI":"10.1158/2326-6066.CIR-21-0129","ISSN":"2326-6066, 2326-6074","issue":"5","language":"en","page":"597-611","source":"DOI.org (Crossref)","title":"BHLHE40 Regulates the T-Cell Effector Function Required for Tumor Microenvironment Remodeling and Immune Checkpoint Therapy Efficacy","volume":"10","author":[{"family":"Salmon","given":"Avery J."},{"family":"Shavkunov","given":"Alexander S."},{"family":"Miao","given":"Qi"},{"family":"Jarjour","given":"Nicholas N."},{"family":"Keshari","given":"Sunita"},{"family":"Esaulova","given":"Ekaterina"},{"family":"Williams","given":"Charmelle D."},{"family":"Ward","given":"Jeffrey P."},{"family":"Highsmith","given":"Anna M."},{"family":"Pineda","given":"Josué E."},{"family":"Taneja","given":"Reshma"},{"family":"Chen","given":"Ken"},{"family":"Edelson","given":"Brian T."},{"family":"Gubin","given":"Matthew M."}],"issued":{"date-parts":[["2022",5,3]]}}}],"schema":"https://github.com/citation-style-language/schema/raw/master/csl-citation.json"}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62</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Nfil3</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{"citationID":"TrsGiHiz","properties":{"formattedCitation":"\\super 63\\nosupersub{}","plainCitation":"63","noteIndex":0},"citationItems":[{"id":2752,"uris":["http://zotero.org/groups/6337619/items/SDG7HFSY"],"itemData":{"id":2752,"type":"article-journal","abstract":"Cytotoxic T lymphocytes (CTLs) are key effectors of the adaptive immune system that recognize and eliminate virally infected and cancerous cells. In naive CD8\n              +\n              T cells, T-cell receptor (TCR) engagement drives a number of transcriptional, translational and proliferation changes over the course of hours and days leading to differentiation into CTLs. To gain a better insight into this mechanism, we compared the transcriptional profiles of naive CD8\n              +\n              T cells to those of activated CTLs. To find new regulators of CTL function, we performed a selective clustered regularly interspaced short palindromic repeats (CRISPR) screen on upregulated genes and identified nuclear factor IL-3 (NFIL3) as a potential regulator of cytotoxicity. Although NFIL3 has established roles in several immune cells including natural killer, Treg, dendritic and CD4\n              +\n              T cells, its function in CD8\n              +\n              CTLs is less well understood. Using CRISPR/Cas9 editing, we found that removing NFIL3 in CTLs resulted in a marked decrease in cytotoxicity. We found that in CTLs lacking NFIL3 TCR-induced extracellular signal-regulated kinase phosphorylation, immune synapse formation and granule release were all intact while cytotoxicity was functionally impaired\n              in vitro\n              . Strikingly, NFIL3 controls the production of cytolytic proteins as well as effector cytokines. Thus, NFIL3 plays a cell intrinsic role in modulating cytolytic mechanisms in CTLs.","container-title":"Open Biology","DOI":"10.1098/rsob.230456","ISSN":"2046-2441","issue":"2","journalAbbreviation":"Open Biol.","language":"en","page":"230456","source":"DOI.org (Crossref)","title":"NFIL3 contributes to cytotoxic T lymphocyte-mediated killing","volume":"14","author":[{"family":"Douanne","given":"Tiphaine"},{"family":"Strege","given":"Katharina"},{"family":"Del Castillo Velasco-Herrera","given":"Martin"},{"family":"Rochussen","given":"Adam M."},{"family":"Adams","given":"David J."},{"family":"Griffiths","given":"Gillian M."}],"issued":{"date-parts":[["2024",2]]}}}],"schema":"https://github.com/citation-style-language/schema/raw/master/csl-citation.json"}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63</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Ikzf2</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{"citationID":"hBQpfnkj","properties":{"formattedCitation":"\\super 64\\nosupersub{}","plainCitation":"64","noteIndex":0},"citationItems":[{"id":2753,"uris":["http://zotero.org/groups/6337619/items/V9JVHGVE"],"itemData":{"id":2753,"type":"article-journal","abstract":"Abstract\n            CD8+ T cells are indispensable for pathogen and tumour clearance, although can induce immunopathology if left unrestricted. T cell exhaustion, progressively programmed in the context of persistent antigen exposure, ensures partial control while mitigating immunopathological risk. However, exhaustion is characterised by curtailed proliferative capacity, cytokine production and cytotoxic functions, which tumours and chronic pathogens exploit to persist. As such, transiently disrupting exhaustion has emerged as a therapeutic strategy for treating cancer. Exhausted cells transition through multiple differentiation states, from stem-like progenitors that mediate response to checkpoint blockade, to terminal effector or exhausted cells. Unfortunately, only a fraction of patients respond to checkpoint blockade long-term, in part due to loss of the therapy responsive progenitor population. Therefore, understanding the molecular pathways moderating the exhausted states, hindering the effector populations, and promoting terminal exhaustion is essential for augmenting cancer immunotherapy. We identify IKZF transcription factors, Ikaros (IKZF1), Helios (IKZF2) and Aiolos (IKZF3), as key mediators of T cell exhaustion using gene knock-out mice and a CRISPR-mediated genetic knock-out system in both chronic infection and tumour models. We elucidate the molecular pathways involved in regulation of T cell exhaustion by IKZF transcription factor using an array of RNA sequencing, ATAC sequencing and flow cytometric validation technologies. IKZF1 and IKZF3 are critical regulators of exhausted subset expansion, retention, phenotype and cytokine function. Strikingly, dual IKZF1 and IKZF3 ablation boosts the response of anti-tumour and anti-viral exhausted T cells, potentially via the formation of atypical, exhausted T cell populations and the enrichment of functional exhausted subsets. Excitingly, dual ablation vastly improves survival and tumour control in a solid tumour, HER2-specific CAR T cell model. Cumulatively, our data highlight a novel role for IKZF transcription factors in biasing exhausted T cell differentiation and provides potentially important clinical implications, directing future cancer immunotherapies targeting T cell exhaustion.\n            Citation Format: Sinead M. Reading, Isabelle Munoz, Maria N. de Menezes, Nicole Y. L. Saw, Krutika Ambani, Antonio Ahn, Simone Nussing, Sara Roth, Shienny Sampurno, Kelly M. Ramsbottom, Joseph A. Trapani, Kim L. Good-Jacobson, Ricky W. Johnstone, Shom Goel, Paul A. Beavis, Ian A. Parish. Regulation of Exhausted CD8+ T cell Differentiation by IKZF Transcription Factors [abstract]. In: Proceedings of Frontiers in Cancer Science; 2023 Nov 6-8; Singapore. Philadelphia (PA): AACR; Cancer Res 2024;84(8_Suppl):Abstract nr LT02.","container-title":"Cancer Research","DOI":"10.1158/1538-7445.FCS2023-LT02","ISSN":"1538-7445","issue":"8_Supplement","language":"en","page":"LT02-LT02","source":"DOI.org (Crossref)","title":"Abstract LT02: Regulation of Exhausted CD8+ T cell Differentiation by IKZF Transcription Factors","title-short":"Abstract LT02","volume":"84","author":[{"family":"Reading","given":"Sinead M."},{"family":"Munoz","given":"Isabelle"},{"family":"De Menezes","given":"Maria N."},{"family":"Saw","given":"Nicole Y. L."},{"family":"Ambani","given":"Krutika"},{"family":"Ahn","given":"Antonio"},{"family":"Nussing","given":"Simone"},{"family":"Roth","given":"Sara"},{"family":"Sampurno","given":"Shienny"},{"family":"Ramsbottom","given":"Kelly M."},{"family":"Trapani","given":"Joseph A."},{"family":"Good-Jacobson","given":"Kim L."},{"family":"Johnstone","given":"Ricky W."},{"family":"Goel","given":"Shom"},{"family":"Beavis","given":"Paul A."},{"family":"Parish","given":"Ian A."}],"issued":{"date-parts":[["2024",4,15]]}}}],"schema":"https://github.com/citation-style-language/schema/raw/master/csl-citation.json"}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64</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and immune checkpoint components (Pdcd1</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{"citationID":"MqOAv0tE","properties":{"formattedCitation":"\\super 65\\nosupersub{}","plainCitation":"65","noteIndex":0},"citationItems":[{"id":2755,"uris":["http://zotero.org/groups/6337619/items/2T9Z3HNV"],"itemData":{"id":2755,"type":"article-journal","abstract":"PD-1 (programmed cell death-1) is the central inhibitory receptor regulating CD8 T cell exhaustion during chronic viral infection and cancer. Interestingly, PD-1 is also expressed transiently by activated CD8 T cells during acute viral infection, but the role of PD-1 in modulating T cell effector differentiation and function is not well defined. To address this question, we examined the expression kinetics and role of PD-1 during acute lymphocytic choriomeningitis virus (LCMV) infection of mice. PD-1 was rapidly up-regulated in vivo upon activation of naive virus-specific CD8 T cells within 24 h after LCMV infection and in less than 4 h after peptide injection, well before any cell division had occurred. This rapid PD-1 expression by CD8 T cells was driven predominantly by antigen receptor signaling since infection with a LCMV strain with a mutation in the CD8 T cell epitope did not result in the increase of PD-1 on antigen-specific CD8 T cells. Blockade of the PD-1 pathway using anti-PD-L1 or anti-PD-1 antibodies during the early phase of acute LCMV infection increased mTOR signaling and granzyme B expression in virus-specific CD8 T cells and resulted in faster clearance of the infection. These results show that PD-1 plays an inhibitory role during the naive-to-effector CD8 T cell transition and that the PD-1 pathway can also be modulated at this stage of T cell differentiation. These findings have implications for developing therapeutic vaccination strategies in combination with PD-1 blockade.","container-title":"Proceedings of the National Academy of Sciences of the United States of America","DOI":"10.1073/pnas.1718217115","ISSN":"1091-6490","issue":"18","journalAbbreviation":"Proc Natl Acad Sci U S A","language":"eng","page":"4749-4754","PMID":"29654146","PMCID":"PMC5939075","source":"PubMed","title":"Role of PD-1 during effector CD8 T cell differentiation","volume":"115","author":[{"family":"Ahn","given":"Eunseon"},{"family":"Araki","given":"Koichi"},{"family":"Hashimoto","given":"Masao"},{"family":"Li","given":"Weiyan"},{"family":"Riley","given":"James L."},{"family":"Cheung","given":"Jeanne"},{"family":"Sharpe","given":"Arlene H."},{"family":"Freeman","given":"Gordon J."},{"family":"Irving","given":"Bryan A."},{"family":"Ahmed","given":"Rafi"}],"issued":{"date-parts":[["2018",5,1]]}}}],"schema":"https://github.com/citation-style-language/schema/raw/master/csl-citation.json"}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65</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Havcr2</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{"citationID":"lVxO909r","properties":{"formattedCitation":"\\super 66\\nosupersub{}","plainCitation":"66","noteIndex":0},"citationItems":[{"id":2757,"uris":["http://zotero.org/groups/6337619/items/DZFYM7NI"],"itemData":{"id":2757,"type":"article-journal","abstract":"T-cell immunoglobulin mucin 3 (TIM-3) has emerged as a promising immune checkpoint target in cancer therapy. However, the profile of the hepatitis A virus cellular receptor 2 (\n              HAVCR2\n              ) gene, encoding TIM-3 expression, is still obscure, along with its role in cancer immunity and prognosis. This study comprehensively analyzed\n              HAVCR2\n              expression patterns in pan-cancer and underlined its potential value for immune checkpoint inhibitor-based immunotherapy. Our results displayed that\n              HAVCR2\n              was differentially expressed and closely corresponded to survival status in pan-cancer. More importantly, the\n              HAVCR2\n              expression level was also significantly related to cancer immune infiltration, immune checkpoint genes, and immune marker genes. Enrichment analyses implicated\n              HAVCR2\n              -associated terms in cancer, including immunity, metabolism, and inflammation. Our study demonstrated that\n              HAVCR2\n              could participate in differing degrees of immune infiltration in tumorigenesis. The highlights of the\n              HAVCR2\n              pathway revealed that TIM-3 could function as both a biomarker and clinical target to improve the therapeutic efficacy of immunotherapy.","container-title":"Frontiers in Genetics","DOI":"10.3389/fgene.2022.972664","ISSN":"1664-8021","journalAbbreviation":"Front. Genet.","page":"972664","source":"DOI.org (Crossref)","title":"Differential expression of HAVCR2 gene in pan-cancer: A potential biomarker for survival and immunotherapy","title-short":"Differential expression of HAVCR2 gene in pan-cancer","volume":"13","author":[{"family":"Li","given":"Hetong"},{"family":"Yang","given":"Dinglong"},{"family":"Hao","given":"Min"},{"family":"Liu","given":"Hongqi"}],"issued":{"date-parts":[["2022",8,23]]}}}],"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66</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capturing structured, modular regulatory logic underlying T-cell exhaustion that is systematically missed by DEG- and classifier-based approaches.</w:t>
      </w:r>
    </w:p>
    <w:p w14:paraId="7A5BAF71" w14:textId="77777777" w:rsidR="008515C4" w:rsidRPr="0094705D" w:rsidRDefault="008515C4" w:rsidP="008515C4">
      <w:pPr>
        <w:jc w:val="both"/>
        <w:rPr>
          <w:rFonts w:ascii="Calibri" w:eastAsia="Times New Roman" w:hAnsi="Calibri" w:cs="Calibri"/>
          <w:color w:val="000000" w:themeColor="text1"/>
          <w:lang w:val="en-US"/>
        </w:rPr>
      </w:pPr>
    </w:p>
    <w:p w14:paraId="2A6681CE" w14:textId="77777777" w:rsidR="008515C4" w:rsidRPr="0094705D" w:rsidRDefault="008515C4" w:rsidP="008515C4">
      <w:pPr>
        <w:jc w:val="both"/>
        <w:rPr>
          <w:rFonts w:ascii="Calibri" w:eastAsia="Times New Roman" w:hAnsi="Calibri" w:cs="Calibri"/>
          <w:color w:val="000000" w:themeColor="text1"/>
          <w:lang w:val="en-US"/>
        </w:rPr>
      </w:pPr>
      <w:r w:rsidRPr="0094705D">
        <w:rPr>
          <w:rFonts w:ascii="Calibri" w:eastAsia="Times New Roman" w:hAnsi="Calibri" w:cs="Calibri"/>
          <w:color w:val="000000" w:themeColor="text1"/>
          <w:lang w:val="en-US"/>
        </w:rPr>
        <w:t xml:space="preserve">Projecting derived regulatory programs onto unseen unperturbed cells identified distinct subsets whose transcriptional states closely resembled perturbed cells, revealing latent lineage predisposition (Fig. 6E, top; Extended Fig. 5E, top). In the Ikzf1-KO context, predisposed cells displayed robust enrichment of </w:t>
      </w:r>
      <w:proofErr w:type="spellStart"/>
      <w:r w:rsidRPr="0094705D">
        <w:rPr>
          <w:rFonts w:ascii="Calibri" w:eastAsia="Times New Roman" w:hAnsi="Calibri" w:cs="Calibri"/>
          <w:color w:val="000000" w:themeColor="text1"/>
          <w:lang w:val="en-US"/>
        </w:rPr>
        <w:t>Tpex</w:t>
      </w:r>
      <w:proofErr w:type="spellEnd"/>
      <w:r w:rsidRPr="0094705D">
        <w:rPr>
          <w:rFonts w:ascii="Calibri" w:eastAsia="Times New Roman" w:hAnsi="Calibri" w:cs="Calibri"/>
          <w:color w:val="000000" w:themeColor="text1"/>
          <w:lang w:val="en-US"/>
        </w:rPr>
        <w:t xml:space="preserve">-associated markers relative to undefined cells (Fig. 6F, left; CD = 0.99). The more modest shift in the Ets1-KO setting was consistent with limited Tex abundance in unperturbed controls (Extended Fig. 5F, left; CD = 0.05). Despite population imbalance, </w:t>
      </w:r>
      <w:proofErr w:type="spellStart"/>
      <w:r>
        <w:rPr>
          <w:rFonts w:ascii="Calibri" w:eastAsia="Times New Roman" w:hAnsi="Calibri" w:cs="Calibri"/>
          <w:color w:val="000000" w:themeColor="text1"/>
          <w:lang w:val="en-US"/>
        </w:rPr>
        <w:t>FIREFate</w:t>
      </w:r>
      <w:proofErr w:type="spellEnd"/>
      <w:r w:rsidRPr="0094705D">
        <w:rPr>
          <w:rFonts w:ascii="Calibri" w:eastAsia="Times New Roman" w:hAnsi="Calibri" w:cs="Calibri"/>
          <w:color w:val="000000" w:themeColor="text1"/>
          <w:lang w:val="en-US"/>
        </w:rPr>
        <w:t xml:space="preserve"> consistently uncovered cryptic transcriptional biases toward either </w:t>
      </w:r>
      <w:proofErr w:type="spellStart"/>
      <w:r w:rsidRPr="0094705D">
        <w:rPr>
          <w:rFonts w:ascii="Calibri" w:eastAsia="Times New Roman" w:hAnsi="Calibri" w:cs="Calibri"/>
          <w:color w:val="000000" w:themeColor="text1"/>
          <w:lang w:val="en-US"/>
        </w:rPr>
        <w:t>Tpex</w:t>
      </w:r>
      <w:proofErr w:type="spellEnd"/>
      <w:r w:rsidRPr="0094705D">
        <w:rPr>
          <w:rFonts w:ascii="Calibri" w:eastAsia="Times New Roman" w:hAnsi="Calibri" w:cs="Calibri"/>
          <w:color w:val="000000" w:themeColor="text1"/>
          <w:lang w:val="en-US"/>
        </w:rPr>
        <w:t xml:space="preserve"> or Tex lineages, yielding substantial overall Cliff's Delta values (Fig. 6F overall CD = 0.31; Extended Fig. 5G overall CD = 0.97). </w:t>
      </w:r>
      <w:proofErr w:type="spellStart"/>
      <w:r>
        <w:rPr>
          <w:rFonts w:ascii="Calibri" w:eastAsia="Times New Roman" w:hAnsi="Calibri" w:cs="Calibri"/>
          <w:color w:val="000000" w:themeColor="text1"/>
          <w:lang w:val="en-US"/>
        </w:rPr>
        <w:t>FIREFate</w:t>
      </w:r>
      <w:proofErr w:type="spellEnd"/>
      <w:r w:rsidRPr="0094705D">
        <w:rPr>
          <w:rFonts w:ascii="Calibri" w:eastAsia="Times New Roman" w:hAnsi="Calibri" w:cs="Calibri"/>
          <w:color w:val="000000" w:themeColor="text1"/>
          <w:lang w:val="en-US"/>
        </w:rPr>
        <w:t xml:space="preserve"> outperformed both Lasso- and DEG-based approaches by </w:t>
      </w:r>
      <w:r>
        <w:rPr>
          <w:rFonts w:ascii="Calibri" w:eastAsia="Times New Roman" w:hAnsi="Calibri" w:cs="Calibri"/>
          <w:color w:val="000000" w:themeColor="text1"/>
          <w:lang w:val="en-US"/>
        </w:rPr>
        <w:t>CD</w:t>
      </w:r>
      <w:r w:rsidRPr="0094705D">
        <w:rPr>
          <w:rFonts w:ascii="Calibri" w:eastAsia="Times New Roman" w:hAnsi="Calibri" w:cs="Calibri"/>
          <w:color w:val="000000" w:themeColor="text1"/>
          <w:lang w:val="en-US"/>
        </w:rPr>
        <w:t xml:space="preserve"> across both Ikzf1-KO and Ets1-KO datasets, establishing superior sensitivity for detecting early exhaustion bias.</w:t>
      </w:r>
    </w:p>
    <w:p w14:paraId="398E8A23" w14:textId="77777777" w:rsidR="008515C4" w:rsidRPr="0094705D" w:rsidRDefault="008515C4" w:rsidP="008515C4">
      <w:pPr>
        <w:jc w:val="both"/>
        <w:rPr>
          <w:rFonts w:ascii="Calibri" w:eastAsia="Times New Roman" w:hAnsi="Calibri" w:cs="Calibri"/>
          <w:color w:val="000000" w:themeColor="text1"/>
          <w:lang w:val="en-US"/>
        </w:rPr>
      </w:pPr>
    </w:p>
    <w:p w14:paraId="2C563370" w14:textId="123FE30C" w:rsidR="008515C4" w:rsidRPr="0094705D" w:rsidRDefault="008515C4" w:rsidP="008515C4">
      <w:pPr>
        <w:jc w:val="both"/>
        <w:rPr>
          <w:rFonts w:ascii="Calibri" w:eastAsia="Times New Roman" w:hAnsi="Calibri" w:cs="Calibri"/>
          <w:color w:val="000000" w:themeColor="text1"/>
          <w:lang w:val="en-US"/>
        </w:rPr>
      </w:pPr>
      <w:r w:rsidRPr="0094705D">
        <w:rPr>
          <w:rFonts w:ascii="Calibri" w:eastAsia="Times New Roman" w:hAnsi="Calibri" w:cs="Calibri"/>
          <w:color w:val="000000" w:themeColor="text1"/>
          <w:lang w:val="en-US"/>
        </w:rPr>
        <w:t xml:space="preserve">Embedding these state-switching programs within static and dynamic </w:t>
      </w:r>
      <w:proofErr w:type="spellStart"/>
      <w:r w:rsidRPr="0094705D">
        <w:rPr>
          <w:rFonts w:ascii="Calibri" w:eastAsia="Times New Roman" w:hAnsi="Calibri" w:cs="Calibri"/>
          <w:color w:val="000000" w:themeColor="text1"/>
          <w:lang w:val="en-US"/>
        </w:rPr>
        <w:t>Tpex</w:t>
      </w:r>
      <w:proofErr w:type="spellEnd"/>
      <w:r w:rsidRPr="0094705D">
        <w:rPr>
          <w:rFonts w:ascii="Calibri" w:eastAsia="Times New Roman" w:hAnsi="Calibri" w:cs="Calibri"/>
          <w:color w:val="000000" w:themeColor="text1"/>
          <w:lang w:val="en-US"/>
        </w:rPr>
        <w:t>–Tex GRNs clarified how early regulatory activity constrains downstream cell-state potential. This analysis recovered well-established static regulators, including Irf2</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{"citationID":"OyqcU3CC","properties":{"formattedCitation":"\\super 67\\nosupersub{}","plainCitation":"67","noteIndex":0},"citationItems":[{"id":2758,"uris":["http://zotero.org/groups/6337619/items/JTL8UPSL"],"itemData":{"id":2758,"type":"article-journal","container-title":"Immunity","DOI":"10.1016/j.immuni.2022.11.010","ISSN":"10747613","issue":"12","journalAbbreviation":"Immunity","language":"en","page":"2225-2227","source":"DOI.org (Crossref)","title":"IRF2 integrates inflammatory signals to balance T cell exhaustion","volume":"55","author":[{"family":"Sheikh","given":"Amania A."},{"family":"Utzschneider","given":"Daniel T."}],"issued":{"date-parts":[["2022",12]]}}}],"schema":"https://github.com/citation-style-language/schema/raw/master/csl-citation.json"}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67</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Nfkb1</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{"citationID":"AGR6brs2","properties":{"formattedCitation":"\\super 68\\nosupersub{}","plainCitation":"68","noteIndex":0},"citationItems":[{"id":2759,"uris":["http://zotero.org/groups/6337619/items/66QKEG6U"],"itemData":{"id":2759,"type":"article-journal","abstract":"Abstract\n            \n              CD8\n              +\n              T cell tissue resident memory (T\n              RM\n              ) cells are especially suited to control pathogen spread at mucosal sites. However, their maintenance in lung is short-lived. TCR-dependent NFkB signaling is crucial for T cell memory but how and when NFkB signaling modulates tissue resident and circulating T cell memory during the immune response is unknown. Here, we find that enhancing NFkB signaling in T cells once memory to influenza is established, increases pro-survival Bcl-2 and CD122 levels thus boosting lung CD8\n              +\n              T\n              RM\n              maintenance. By contrast, enhancing NFkB signals during the contraction phase of the response leads to a defect in CD8\n              +\n              T\n              RM\n              differentiation without impairing recirculating memory subsets. Specifically, inducible activation of NFkB via constitutive active IKK2 or TNF interferes with TGFβ signaling, resulting in defects of lung CD8\n              +\n              T\n              RM\n              imprinting molecules CD69, CD103, Runx3 and Eomes. Conversely, inhibiting NFkB signals not only recovers but improves the transcriptional signature and generation of lung CD8\n              +\n              T\n              RM\n              . Thus, NFkB signaling is a critical regulator of tissue resident memory, whose levels can be tuned at specific times during infection to boost lung CD8\n              +\n              T\n              RM\n              .","container-title":"Nature Communications","DOI":"10.1038/s41467-023-40107-1","ISSN":"2041-1723","issue":"1","journalAbbreviation":"Nat Commun","language":"en","page":"4331","source":"DOI.org (Crossref)","title":"IKK2/NFkB signaling controls lung resident CD8+ T cell memory during influenza infection","volume":"14","author":[{"family":"Pritzl","given":"Curtis J."},{"family":"Luera","given":"Dezzarae"},{"family":"Knudson","given":"Karin M."},{"family":"Quaney","given":"Michael J."},{"family":"Calcutt","given":"Michael J."},{"family":"Daniels","given":"Mark A."},{"family":"Teixeiro","given":"Emma"}],"issued":{"date-parts":[["2023",7,19]]}}}],"schema":"https://github.com/citation-style-language/schema/raw/master/csl-citation.json"}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68</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Mxi1</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{"citationID":"89brSRi5","properties":{"formattedCitation":"\\super 69\\nosupersub{}","plainCitation":"69","noteIndex":0},"citationItems":[{"id":2760,"uris":["http://zotero.org/groups/6337619/items/TTH5EGL6"],"itemData":{"id":2760,"type":"article-journal","abstract":"Background\n              As an important component in preventing the progression of endometrial cancer, CD8 T cells play a crucial role in this process and are important targets for immunotherapy. However, the status of CD8+ T cells in endometrial cancer and the key genes influencing their activation still remain to be elucidated.\n            \n            \n              Methods\n              Genes associated with the activation of CD8+ T cells were identified through differential analysis and weighted gene co-expression network analysis (WGCNA). A risk score model was constructed using the least absolute shrinkage and selection operator (LASSO) and multivariate Cox regression. The clinical characteristics and differences between the high-risk group and the low-risk group were explored, and the applicability of the model to chemotherapy, poly (ADP-ribose) polymerase (PARP) inhibitors, and immune checkpoint inhibitors was evaluated. The characteristics of the model at the single-cell level were studied, and the tumor-suppressive effect of ASB2 was verified through experiments on endometrial cancer cells.\n            \n            \n              Results\n              A risk model based on genes related to the activation of CD8+ T cells was constructed, and the prognostic differences were verified using the Kaplan-Meier curve. A nomogram was designed to predict the survival probability. Pathway analysis showed that it was related to metabolism and DNA repair. There were significant differences between the high-risk and low-risk groups in terms of tumor mutational burden (TMB), checkpoint molecules, and major histocompatibility complex (MHC) class I molecules, and they had different sensitivities to different therapies. The tumor-suppressive effect of ASB2 was confirmed in experiments on cell proliferation, invasion, and migration.\n            \n            \n              Conclusion\n              This study provides a predictive tool for endometrial cancer. The classification based on the status of CD8+ T cells can distinguish the prognosis and treatment response, highlighting the potential of this model in personalized treatment.","container-title":"Frontiers in Immunology","DOI":"10.3389/fimmu.2025.1542669","ISSN":"1664-3224","journalAbbreviation":"Front. Immunol.","page":"1542669","source":"DOI.org (Crossref)","title":"CD8+ T cell activation in endometrial cancer: prognostic implications and potential for personalized therapy","title-short":"CD8+ T cell activation in endometrial cancer","volume":"16","author":[{"family":"Guan","given":"HaoTong"},{"family":"Xiong","given":"QiuShuang"},{"family":"Xiong","given":"JiaQiang"},{"family":"Liu","given":"Yanyan"},{"family":"Zhang","given":"Wei"}],"issued":{"date-parts":[["2025",4,28]]}}}],"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69</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Klf2</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{"citationID":"as1ouiSc","properties":{"formattedCitation":"\\super 70\\nosupersub{}","plainCitation":"70","noteIndex":0},"citationItems":[{"id":2761,"uris":["http://zotero.org/groups/6337619/items/8DCG9HCW"],"itemData":{"id":2761,"type":"article-journal","abstract":"Naïve CD8 T cells have the potential to differentiate into a spectrum of functional states during an immune response. How these developmental decisions are made and what mechanisms exist to suppress differentiation toward alternative fates remains unclear. We employed in vivo CRISPR-Cas9–based perturbation sequencing to assess the role of ~40 transcription factors (TFs) and epigenetic modulators in T cell fate decisions. Unexpectedly, we found that knockout of the TF\n              Klf2\n              resulted in aberrant differentiation to exhausted-like CD8 T cells during acute infection. KLF2 was required to suppress the exhaustion-promoting TF TOX and to enable the TF TBET to drive effector differentiation. KLF2 was also necessary to maintain a polyfunctional tumor-specific progenitor state. Thus, KLF2 provides effector CD8 T cell lineage fidelity and suppresses the exhaustion program.\n            \n          , \n            Editor’s summary\n            \n              CD8 T cells within a population responding to signs of disease can form several discrete states with distinct functional properties. Fagerberg\n              et al\n              . combined CRISPR/Cas9-gene editing with single-cell RNA sequencing to examine how the deletion of genes in mouse T cells affected the formation of these different states during immune responses. The transcription factor KLF2 was required to maintain the availability of cells with the potential to form functional effectors and suppressed cells from acquiring an exhausted phenotype after infection with acute lymphocytic choriomeningitis virus. In the context of tumors, KLF2 expression was linked to maintaining stem-like T cells and limiting terminal dysfunction. — Sarah H. Ross\n            \n          , \n            \n              INTRODUCTION\n              Naïve CD8 T cells have the potential to differentiate into a variety of effector and memory CD8 T cell states during an immune response. These states reflect the cells’ functional potential to fight infection, respond to immunotherapies, or cause immunopathology. Acute T cell responses are associated with highly functional effector and memory states. Conversely, chronic antigen environments, as seen in tumors and chronic infection, drive dysfunctional T cell fate decisions, termed generally as T cell exhaustion.\n            \n            \n              RATIONALE\n              Despite recent insights into how these divergent T cell differentiation states determine physiological outcomes, it remains uncertain how fate decisions are made and what mechanisms exist to suppress differentiation towards alternative fates and maintain lineage fidelity. High-dimensional single-cell studies have enabled deep inquiry into the spectrum of T cell differentiation states across different immune challenges, and, from this, efforts have been made to infer differentiation trajectories and their underlying transcriptional regulation. Yet, testing these predictions has traditionally been accomplished through lower-throughput knock-out and/or lineage-tracing experiments. PerturbSEQ is a technique that couples CRISPR perturbations of target genes with single-cell RNA sequencing (scRNA-seq) and enables mechanistic dissection of differentiation processes. In this study, we used perturbSEQ with the goal of understanding factors that regulate fate decisions and preserve T cell lineage fidelity.\n            \n            \n              RESULTS\n              \n                We generated a differentiation space map (DSM) of the spectrum of CD8 T cell states in acute and chronic lymphocytic choriomeningitis virus (LCMV) infection across time points using scRNA-seq. Analyses across four time points revealed a linear differentiation trajectory in acute infection, whereas a bifurcation between effector and exhausted trajectories was observed in chronic infection. We then performed in vivo perturbSEQ in LCMV-specific CD8 T cells for a library of ~40 genes [largely transcription factors (TFs) and epigenetic modulators] in the context of acute LCMV infection. This experiment identified proteins that could regulate the extent to which cells differentiated along an expected memory to effector trajectory, thereby highlighting their role as a suppressor or promoter of specific T cell functions. Moreover, it elucidated KLF2 as a transcription factor that maintains effector lineage fidelity. KLF2 knockout (KO) T cells aberrantly acquired distinct features of exhaustion during acute LCMV infection. This included impaired effector and memory differentiation and function during both primary and secondary viral challenge. Epigenetic changes, both at sites of KLF2 binding and globally throughout the genome, overlapped with loci accessibility changes seen in chronic infection. Mechanistic studies showed that KLF2 was downregulated upon T cell receptor stimulation and was intrinsically required for suppression of the exhaustion-defining TF, TOX. Epistasis experiments revealed that KLF2 was also critical for enabling the function of the effector-defining TF, TBET. Investigation in tumor models pointed to a role for KLF2 in the early bifurcation of effector and exhausted differentiation trajectories as KLF2 was required to maintain a polyfunctional TCF1\n                +\n                CD62L\n                +\n                precursor state. KO cells less potently controlled tumors and exhibited enhanced differentiation with features of exhaustion and residence. Overexpression of KLF2 was sufficient to rescue this precursor state in tumor-draining lymph nodes as well as suppress features of exhaustion and induce effector differentiation in acute and chronic viral infection.\n              \n            \n            \n              CONCLUSION\n              Our study highlighted the role of many TFs in regulating the extent to which CD8 T cells differentiate along a defined linear trajectory and revealed KLF2’s distinct role in enabling cells to remain on this effector lineage. This adds to our mechanistic understanding of T cell fate decisions and demonstrates that differentiation toward the exhaustion lineage is suppressed in acute infection. It additionally opens new questions regarding maintenance of lineage fidelity across immune contexts, where little is still known. Further, modulation of KLF2 proved useful in driving or suppressing distinct T cell functional states with potential implications for immunotherapy.\n              \n                \n                  KLF2 prevents aberrant CD8 T cell differentiation in acute LCMV infection.\n                  \n                    Naïve CD8 T cells undergo functional effector differentiation in acute LCMV infection. This effector differentiation involves KLF2-dependent TBET activity. KLF2 KO in this setting results in aberrant CD8 T cell differentiation to a TOX\n                    +\n                    exhausted-like state. This is characterized by an epigenetic and transcriptional signature resembling hallmark features of CD8 T cells in chronic infection and results in reduced cytolytic potential and memory recall capacity. [Figure created with BioRender.com]","container-title":"Science","DOI":"10.1126/science.adn2337","ISSN":"0036-8075, 1095-9203","issue":"6735","journalAbbreviation":"Science","language":"en","page":"eadn2337","source":"DOI.org (Crossref)","title":"KLF2 maintains lineage fidelity and suppresses CD8 T cell exhaustion during acute LCMV infection","volume":"387","author":[{"family":"Fagerberg","given":"Eric"},{"family":"Attanasio","given":"John"},{"family":"Dien","given":"Christine"},{"family":"Singh","given":"Jaiveer"},{"family":"Kessler","given":"Emily A."},{"family":"Abdullah","given":"Leena"},{"family":"Shen","given":"Jian"},{"family":"Hunt","given":"Brian G."},{"family":"Connolly","given":"Kelli A."},{"family":"De Brouwer","given":"Edward"},{"family":"He","given":"Jiaming"},{"family":"Iyer","given":"Nivedita R."},{"family":"Buck","given":"Jessica"},{"family":"Borr","given":"Emily R."},{"family":"Damo","given":"Martina"},{"family":"Foster","given":"Gena G."},{"family":"Giles","given":"Josephine R."},{"family":"Huang","given":"Yina H."},{"family":"Tsang","given":"John S."},{"family":"Krishnaswamy","given":"Smita"},{"family":"Cui","given":"Weiguo"},{"family":"Joshi","given":"Nikhil S."}],"issued":{"date-parts":[["2025",2,14]]}}}],"schema":"https://github.com/citation-style-language/schema/raw/master/csl-citation.json"}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70</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Prdm1</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{"citationID":"CDGaA0e5","properties":{"formattedCitation":"\\super 71\\nosupersub{}","plainCitation":"71","noteIndex":0},"citationItems":[{"id":2762,"uris":["http://zotero.org/groups/6337619/items/6T6G9UXT"],"itemData":{"id":2762,"type":"article-journal","container-title":"Immunity","DOI":"10.1016/j.immuni.2009.05.014","ISSN":"10747613","issue":"2","journalAbbreviation":"Immunity","language":"en","license":"https://www.elsevier.com/tdm/userlicense/1.0/","page":"296-308","source":"DOI.org (Crossref)","title":"Transcriptional Repressor Blimp-1 Promotes CD8+ T Cell Terminal Differentiation and Represses the Acquisition of Central Memory T Cell Properties","volume":"31","author":[{"family":"Rutishauser","given":"Rachel L."},{"family":"Martins","given":"Gislâine A."},{"family":"Kalachikov","given":"Sergey"},{"family":"Chandele","given":"Anmol"},{"family":"Parish","given":"Ian A."},{"family":"Meffre","given":"Eric"},{"family":"Jacob","given":"Joshy"},{"family":"Calame","given":"Kathryn"},{"family":"Kaech","given":"Susan M."}],"issued":{"date-parts":[["2009",8]]}}}],"schema":"https://github.com/citation-style-language/schema/raw/master/csl-citation.json"}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71</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and Cebpb</w:t>
      </w:r>
      <w:r>
        <w:rPr>
          <w:rFonts w:ascii="Calibri" w:eastAsia="Times New Roman" w:hAnsi="Calibri" w:cs="Calibri"/>
          <w:color w:val="000000" w:themeColor="text1"/>
          <w:lang w:val="en-US"/>
        </w:rPr>
        <w:fldChar w:fldCharType="begin"/>
      </w:r>
      <w:r w:rsidR="00BD6670">
        <w:rPr>
          <w:rFonts w:ascii="Calibri" w:eastAsia="Times New Roman" w:hAnsi="Calibri" w:cs="Calibri"/>
          <w:color w:val="000000" w:themeColor="text1"/>
          <w:lang w:val="en-US"/>
        </w:rPr>
        <w:instrText xml:space="preserve"> ADDIN ZOTERO_ITEM CSL_CITATION {"citationID":"9jf0osPE","properties":{"formattedCitation":"\\super 72\\nosupersub{}","plainCitation":"72","noteIndex":0},"citationItems":[{"id":2763,"uris":["http://zotero.org/groups/6337619/items/NJB2NPSE"],"itemData":{"id":2763,"type":"article-journal","abstract":"Background/Aims: The identification of factors that lead to CD8+ T cell dysfunction within the tumor microenvironment (TME) holds great promise for the development of innovative immunotherapies. However, the mechanisms underlying the exhausted phenotype of CD8+ T cells infiltrating early-stage hepatocellular carcinoma (HCC) tumors remain unclear.Methods: Single-cell RNA sequencing was performed using a murine HCC model. Flow cytometry and additional experimental approaches were employed to investigate the mechanisms of CD8+ T cell exhaustion.Results: CD8+ T cells infiltrating early-stage HCC exhibited a functionally exhausted phenotype, which escalated with HCC progression. At early stages of HCC, the TME was characterized by significant iron accumulation. Moreover, tumor-infiltrating CD8+ T cells in murine HCC exhibited higher levels of intracellular ferrous iron compared to splenic CD8+ T. This excessive iron led to increased lipid peroxide levels and impaired the effector function of CD8+ T cells. Mechanistically, CD36 upregulated the iron uptake protein transferrin receptor 1 (TfR1) by mediating the activation of oxidized low-density lipoprotein (oxLDL)-p38-CEBPB axis. Depletion of CD36 in CD8+ T cells inhibited the upregulation of TfR1 and the increase of iron levels. Furthermore, constitutively activated nuclear factor erythroid 2-related factor 2 (NRF2) effectively suppressed lipid peroxidation, thereby preserving the effector functions of intratumoral CD8+ T cells and ultimately inhibiting tumor growth.Conclusions: Our findings reveal a previously unidentified mechanism mediated by CD36 that regulates the progressive dysfunction of CD8+ T cells in early HCC TME and provide a potential novel therapeutic approach to restore T cell function.","container-title":"Clinical and Molecular Hepatology","DOI":"10.3350/cmh.2024.0948","ISSN":"2287-2728, 2287-285X","issue":"3","journalAbbreviation":"CMH","language":"en","page":"960-980","source":"DOI.org (Crossref)","title":"CD36 promotes iron accumulation and dysfunction in CD8+ T cells via the p38-CEBPB-TfR1 axis in early-stage hepatocellular carcinoma","volume":"31","author":[{"family":"Qin","given":"Yifei"},{"family":"Huo","given":"Fei"},{"family":"Feng","given":"Zhuan"},{"family":"Hou","given":"Jialu"},{"family":"Ding","given":"Yaxin"},{"family":"Wang","given":"Quancheng"},{"family":"Gui","given":"Yu"},{"family":"Yang","given":"Ziwei"},{"family":"Yang","given":"Jiali"},{"family":"Zhou","given":"Gang"},{"family":"Li","given":"Ling"},{"family":"Jiang","given":"Jianli"},{"family":"Kong","given":"Lingmin"},{"family":"Wang","given":"Shijie"},{"family":"Nan","given":"Gang"},{"family":"Xu","given":"Dingqiao"},{"family":"Xie","given":"Xiaohang"},{"family":"Wang","given":"Lijuan"},{"family":"He","given":"Qian"},{"family":"Yang","given":"Ruibin"},{"family":"Lin","given":"Peng"},{"family":"Bian","given":"Huijie"},{"family":"Chen","given":"Zhi-Nan"},{"family":"Wu","given":"Jiao"}],"issued":{"date-parts":[["2025",7,1]]}}}],"schema":"https://github.com/citation-style-language/schema/raw/master/csl-citation.json"} </w:instrText>
      </w:r>
      <w:r>
        <w:rPr>
          <w:rFonts w:ascii="Calibri" w:eastAsia="Times New Roman" w:hAnsi="Calibri" w:cs="Calibri"/>
          <w:color w:val="000000" w:themeColor="text1"/>
          <w:lang w:val="en-US"/>
        </w:rPr>
        <w:fldChar w:fldCharType="separate"/>
      </w:r>
      <w:r w:rsidR="00BD6670" w:rsidRPr="00BD6670">
        <w:rPr>
          <w:rFonts w:ascii="Calibri" w:eastAsiaTheme="minorHAnsi" w:hAnsi="Calibri" w:cs="Calibri"/>
          <w:color w:val="000000"/>
          <w:szCs w:val="24"/>
          <w:vertAlign w:val="superscript"/>
          <w:lang w:val="en-US"/>
          <w14:ligatures w14:val="standardContextual"/>
        </w:rPr>
        <w:t>72</w:t>
      </w:r>
      <w:r>
        <w:rPr>
          <w:rFonts w:ascii="Calibri" w:eastAsia="Times New Roman" w:hAnsi="Calibri" w:cs="Calibri"/>
          <w:color w:val="000000" w:themeColor="text1"/>
          <w:lang w:val="en-US"/>
        </w:rPr>
        <w:fldChar w:fldCharType="end"/>
      </w:r>
      <w:r w:rsidRPr="0094705D">
        <w:rPr>
          <w:rFonts w:ascii="Calibri" w:eastAsia="Times New Roman" w:hAnsi="Calibri" w:cs="Calibri"/>
          <w:color w:val="000000" w:themeColor="text1"/>
          <w:lang w:val="en-US"/>
        </w:rPr>
        <w:t xml:space="preserve"> (Fig. 6H; Extended Fig. 5H), while exposing transient TFs demarcating early fate divergence. Cells were ordered along </w:t>
      </w:r>
      <w:proofErr w:type="spellStart"/>
      <w:r w:rsidRPr="0094705D">
        <w:rPr>
          <w:rFonts w:ascii="Calibri" w:eastAsia="Times New Roman" w:hAnsi="Calibri" w:cs="Calibri"/>
          <w:color w:val="000000" w:themeColor="text1"/>
          <w:lang w:val="en-US"/>
        </w:rPr>
        <w:t>pseudotime</w:t>
      </w:r>
      <w:proofErr w:type="spellEnd"/>
      <w:r w:rsidRPr="0094705D">
        <w:rPr>
          <w:rFonts w:ascii="Calibri" w:eastAsia="Times New Roman" w:hAnsi="Calibri" w:cs="Calibri"/>
          <w:color w:val="000000" w:themeColor="text1"/>
          <w:lang w:val="en-US"/>
        </w:rPr>
        <w:t xml:space="preserve"> in reduced-dimensional space, with </w:t>
      </w:r>
      <w:proofErr w:type="spellStart"/>
      <w:r w:rsidRPr="0094705D">
        <w:rPr>
          <w:rFonts w:ascii="Calibri" w:eastAsia="Times New Roman" w:hAnsi="Calibri" w:cs="Calibri"/>
          <w:color w:val="000000" w:themeColor="text1"/>
          <w:lang w:val="en-US"/>
        </w:rPr>
        <w:t>Tpex</w:t>
      </w:r>
      <w:proofErr w:type="spellEnd"/>
      <w:r w:rsidRPr="0094705D">
        <w:rPr>
          <w:rFonts w:ascii="Calibri" w:eastAsia="Times New Roman" w:hAnsi="Calibri" w:cs="Calibri"/>
          <w:color w:val="000000" w:themeColor="text1"/>
          <w:lang w:val="en-US"/>
        </w:rPr>
        <w:t xml:space="preserve"> states preceding Tex states serving as internal control (Extended Fig. 5I, J). TFs enriched early along the </w:t>
      </w:r>
      <w:proofErr w:type="spellStart"/>
      <w:r w:rsidRPr="0094705D">
        <w:rPr>
          <w:rFonts w:ascii="Calibri" w:eastAsia="Times New Roman" w:hAnsi="Calibri" w:cs="Calibri"/>
          <w:color w:val="000000" w:themeColor="text1"/>
          <w:lang w:val="en-US"/>
        </w:rPr>
        <w:t>Tpex</w:t>
      </w:r>
      <w:proofErr w:type="spellEnd"/>
      <w:r w:rsidRPr="0094705D">
        <w:rPr>
          <w:rFonts w:ascii="Calibri" w:eastAsia="Times New Roman" w:hAnsi="Calibri" w:cs="Calibri"/>
          <w:color w:val="000000" w:themeColor="text1"/>
          <w:lang w:val="en-US"/>
        </w:rPr>
        <w:t xml:space="preserve"> trajectory in Ikzf1-KO included Ikzf1, Ep300, E2f2, Klf6, Nr4a2, and Bhlhe40, whereas TFs preferentially active late along the Tex trajectory in Ets1-KO included Ets1, Elf1, </w:t>
      </w:r>
      <w:proofErr w:type="spellStart"/>
      <w:r w:rsidRPr="0094705D">
        <w:rPr>
          <w:rFonts w:ascii="Calibri" w:eastAsia="Times New Roman" w:hAnsi="Calibri" w:cs="Calibri"/>
          <w:color w:val="000000" w:themeColor="text1"/>
          <w:lang w:val="en-US"/>
        </w:rPr>
        <w:t>Srf</w:t>
      </w:r>
      <w:proofErr w:type="spellEnd"/>
      <w:r w:rsidRPr="0094705D">
        <w:rPr>
          <w:rFonts w:ascii="Calibri" w:eastAsia="Times New Roman" w:hAnsi="Calibri" w:cs="Calibri"/>
          <w:color w:val="000000" w:themeColor="text1"/>
          <w:lang w:val="en-US"/>
        </w:rPr>
        <w:t xml:space="preserve">, and E2f2 (Fig. 6I; Extended Fig. 5K). By resolving transient, directional regulatory control, </w:t>
      </w:r>
      <w:proofErr w:type="spellStart"/>
      <w:r>
        <w:rPr>
          <w:rFonts w:ascii="Calibri" w:eastAsia="Times New Roman" w:hAnsi="Calibri" w:cs="Calibri"/>
          <w:color w:val="000000" w:themeColor="text1"/>
          <w:lang w:val="en-US"/>
        </w:rPr>
        <w:t>FIREFate</w:t>
      </w:r>
      <w:proofErr w:type="spellEnd"/>
      <w:r w:rsidRPr="0094705D">
        <w:rPr>
          <w:rFonts w:ascii="Calibri" w:eastAsia="Times New Roman" w:hAnsi="Calibri" w:cs="Calibri"/>
          <w:color w:val="000000" w:themeColor="text1"/>
          <w:lang w:val="en-US"/>
        </w:rPr>
        <w:t xml:space="preserve"> mechanistically links early transcriptional states to eventual exhaustion outcomes, exposing determinants of T-cell fate specification that remain inaccessible to expression- and chromatin-centric frameworks.</w:t>
      </w:r>
    </w:p>
    <w:p w14:paraId="0200178C" w14:textId="77777777" w:rsidR="008515C4" w:rsidRPr="0094705D" w:rsidRDefault="008515C4" w:rsidP="008515C4">
      <w:pPr>
        <w:jc w:val="both"/>
        <w:rPr>
          <w:rFonts w:ascii="Calibri" w:eastAsia="Times New Roman" w:hAnsi="Calibri" w:cs="Calibri"/>
          <w:color w:val="000000" w:themeColor="text1"/>
          <w:lang w:val="en-US"/>
        </w:rPr>
      </w:pPr>
    </w:p>
    <w:p w14:paraId="589410C0" w14:textId="77777777" w:rsidR="008515C4" w:rsidRDefault="008515C4" w:rsidP="008515C4">
      <w:pPr>
        <w:jc w:val="both"/>
        <w:rPr>
          <w:rFonts w:ascii="Calibri" w:eastAsia="Times New Roman" w:hAnsi="Calibri" w:cs="Calibri"/>
          <w:color w:val="000000" w:themeColor="text1"/>
          <w:lang w:val="en-US"/>
        </w:rPr>
      </w:pPr>
      <w:r w:rsidRPr="0094705D">
        <w:rPr>
          <w:rFonts w:ascii="Calibri" w:eastAsia="Times New Roman" w:hAnsi="Calibri" w:cs="Calibri"/>
          <w:color w:val="000000" w:themeColor="text1"/>
          <w:lang w:val="en-US"/>
        </w:rPr>
        <w:t xml:space="preserve">By successfully predicting T-cell exhaustion fate from perturbation data in a non-branching, progressive differentiation system, </w:t>
      </w:r>
      <w:r>
        <w:rPr>
          <w:rFonts w:ascii="Calibri" w:eastAsia="Times New Roman" w:hAnsi="Calibri" w:cs="Calibri"/>
          <w:color w:val="000000" w:themeColor="text1"/>
          <w:lang w:val="en-US"/>
        </w:rPr>
        <w:t>our framework</w:t>
      </w:r>
      <w:r w:rsidRPr="0094705D">
        <w:rPr>
          <w:rFonts w:ascii="Calibri" w:eastAsia="Times New Roman" w:hAnsi="Calibri" w:cs="Calibri"/>
          <w:color w:val="000000" w:themeColor="text1"/>
          <w:lang w:val="en-US"/>
        </w:rPr>
        <w:t xml:space="preserve"> demonstrates fundamental generalizability across immune contexts. Where gene-centric methods systematically fail—even inverting biological directionality—</w:t>
      </w:r>
      <w:proofErr w:type="spellStart"/>
      <w:r>
        <w:rPr>
          <w:rFonts w:ascii="Calibri" w:eastAsia="Times New Roman" w:hAnsi="Calibri" w:cs="Calibri"/>
          <w:color w:val="000000" w:themeColor="text1"/>
          <w:lang w:val="en-US"/>
        </w:rPr>
        <w:t>FIREFate</w:t>
      </w:r>
      <w:proofErr w:type="spellEnd"/>
      <w:r w:rsidRPr="0094705D">
        <w:rPr>
          <w:rFonts w:ascii="Calibri" w:eastAsia="Times New Roman" w:hAnsi="Calibri" w:cs="Calibri"/>
          <w:color w:val="000000" w:themeColor="text1"/>
          <w:lang w:val="en-US"/>
        </w:rPr>
        <w:t xml:space="preserve"> extracts coherent regulatory programs that reveal </w:t>
      </w:r>
      <w:r>
        <w:rPr>
          <w:rFonts w:ascii="Calibri" w:eastAsia="Times New Roman" w:hAnsi="Calibri" w:cs="Calibri"/>
          <w:color w:val="000000" w:themeColor="text1"/>
          <w:lang w:val="en-US"/>
        </w:rPr>
        <w:lastRenderedPageBreak/>
        <w:t xml:space="preserve">TF dynamic activity and </w:t>
      </w:r>
      <w:r w:rsidRPr="0094705D">
        <w:rPr>
          <w:rFonts w:ascii="Calibri" w:eastAsia="Times New Roman" w:hAnsi="Calibri" w:cs="Calibri"/>
          <w:color w:val="000000" w:themeColor="text1"/>
          <w:lang w:val="en-US"/>
        </w:rPr>
        <w:t xml:space="preserve">latent fate bias before phenotypic commitment. Integration with dynamic GRNs exposes both static and transiently active transcription factors governing exhaustion trajectories, establishing </w:t>
      </w:r>
      <w:proofErr w:type="spellStart"/>
      <w:r>
        <w:rPr>
          <w:rFonts w:ascii="Calibri" w:eastAsia="Times New Roman" w:hAnsi="Calibri" w:cs="Calibri"/>
          <w:color w:val="000000" w:themeColor="text1"/>
          <w:lang w:val="en-US"/>
        </w:rPr>
        <w:t>FIREFate</w:t>
      </w:r>
      <w:proofErr w:type="spellEnd"/>
      <w:r w:rsidRPr="0094705D">
        <w:rPr>
          <w:rFonts w:ascii="Calibri" w:eastAsia="Times New Roman" w:hAnsi="Calibri" w:cs="Calibri"/>
          <w:color w:val="000000" w:themeColor="text1"/>
          <w:lang w:val="en-US"/>
        </w:rPr>
        <w:t xml:space="preserve"> as a mechanistically grounded, predictive framework for dissecting immune cell fate decisions across diverse differentiation architectures.</w:t>
      </w:r>
    </w:p>
    <w:p w14:paraId="43538D1D" w14:textId="77777777" w:rsidR="008515C4" w:rsidRDefault="008515C4" w:rsidP="008515C4">
      <w:pPr>
        <w:pStyle w:val="Heading2"/>
        <w:pBdr>
          <w:bottom w:val="single" w:sz="4" w:space="1" w:color="auto"/>
        </w:pBdr>
        <w:spacing w:before="0" w:after="0"/>
        <w:jc w:val="both"/>
        <w:rPr>
          <w:rFonts w:ascii="Calibri" w:hAnsi="Calibri" w:cs="Calibri"/>
          <w:b/>
          <w:bCs/>
          <w:color w:val="000000" w:themeColor="text1"/>
          <w:sz w:val="28"/>
          <w:szCs w:val="28"/>
          <w:lang w:val="en-US"/>
        </w:rPr>
      </w:pPr>
    </w:p>
    <w:p w14:paraId="77596993" w14:textId="77777777" w:rsidR="008515C4" w:rsidRPr="009658C3" w:rsidRDefault="008515C4" w:rsidP="008515C4">
      <w:pPr>
        <w:pStyle w:val="Heading2"/>
        <w:pBdr>
          <w:bottom w:val="single" w:sz="4" w:space="1" w:color="auto"/>
        </w:pBdr>
        <w:spacing w:before="0" w:after="0"/>
        <w:jc w:val="both"/>
        <w:rPr>
          <w:rFonts w:ascii="Calibri" w:hAnsi="Calibri" w:cs="Calibri"/>
          <w:b/>
          <w:bCs/>
          <w:color w:val="000000" w:themeColor="text1"/>
          <w:sz w:val="28"/>
          <w:szCs w:val="28"/>
          <w:lang w:val="en-US"/>
        </w:rPr>
      </w:pPr>
      <w:r w:rsidRPr="009658C3">
        <w:rPr>
          <w:rFonts w:ascii="Calibri" w:hAnsi="Calibri" w:cs="Calibri"/>
          <w:b/>
          <w:bCs/>
          <w:color w:val="000000" w:themeColor="text1"/>
          <w:sz w:val="28"/>
          <w:szCs w:val="28"/>
          <w:lang w:val="en-US"/>
        </w:rPr>
        <w:t>DISCUSSION</w:t>
      </w:r>
    </w:p>
    <w:p w14:paraId="3C3416A7" w14:textId="77777777" w:rsidR="008515C4" w:rsidRDefault="008515C4" w:rsidP="008515C4">
      <w:pPr>
        <w:pStyle w:val="Heading2"/>
        <w:spacing w:before="0" w:after="0"/>
        <w:jc w:val="both"/>
        <w:rPr>
          <w:rFonts w:ascii="Calibri" w:hAnsi="Calibri" w:cs="Calibri"/>
          <w:color w:val="000000" w:themeColor="text1"/>
          <w:sz w:val="22"/>
          <w:szCs w:val="22"/>
          <w:lang w:val="en-US"/>
        </w:rPr>
      </w:pPr>
    </w:p>
    <w:p w14:paraId="3555CE06" w14:textId="77777777" w:rsidR="008515C4" w:rsidRDefault="008515C4" w:rsidP="008515C4">
      <w:pPr>
        <w:pStyle w:val="Heading2"/>
        <w:spacing w:before="0" w:after="0"/>
        <w:jc w:val="both"/>
        <w:rPr>
          <w:rFonts w:ascii="Calibri" w:hAnsi="Calibri" w:cs="Calibri"/>
          <w:color w:val="000000" w:themeColor="text1"/>
          <w:sz w:val="22"/>
          <w:szCs w:val="22"/>
          <w:lang w:val="en-US"/>
        </w:rPr>
      </w:pP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establishes a </w:t>
      </w:r>
      <w:r>
        <w:rPr>
          <w:rFonts w:ascii="Calibri" w:hAnsi="Calibri" w:cs="Calibri"/>
          <w:color w:val="000000" w:themeColor="text1"/>
          <w:sz w:val="22"/>
          <w:szCs w:val="22"/>
          <w:lang w:val="en-US"/>
        </w:rPr>
        <w:t>conceptual</w:t>
      </w:r>
      <w:r w:rsidRPr="6C4092E4">
        <w:rPr>
          <w:rFonts w:ascii="Calibri" w:hAnsi="Calibri" w:cs="Calibri"/>
          <w:color w:val="000000" w:themeColor="text1"/>
          <w:sz w:val="22"/>
          <w:szCs w:val="22"/>
          <w:lang w:val="en-US"/>
        </w:rPr>
        <w:t xml:space="preserve"> paradigm for dissecting cell fate decisions by resolving commitment as integrated regulatory programs rather than isolated genes or interactions. By coupling interpretable machine learning with </w:t>
      </w:r>
      <w:r>
        <w:rPr>
          <w:rFonts w:ascii="Calibri" w:hAnsi="Calibri" w:cs="Calibri"/>
          <w:color w:val="000000" w:themeColor="text1"/>
          <w:sz w:val="22"/>
          <w:szCs w:val="22"/>
          <w:lang w:val="en-US"/>
        </w:rPr>
        <w:t>mechanistic</w:t>
      </w:r>
      <w:r w:rsidRPr="6C4092E4">
        <w:rPr>
          <w:rFonts w:ascii="Calibri" w:hAnsi="Calibri" w:cs="Calibri"/>
          <w:color w:val="000000" w:themeColor="text1"/>
          <w:sz w:val="22"/>
          <w:szCs w:val="22"/>
          <w:lang w:val="en-US"/>
        </w:rPr>
        <w:t xml:space="preserve"> regulatory networks,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systematically uncovers minimal yet </w:t>
      </w:r>
      <w:r>
        <w:rPr>
          <w:rFonts w:ascii="Calibri" w:hAnsi="Calibri" w:cs="Calibri"/>
          <w:color w:val="000000" w:themeColor="text1"/>
          <w:sz w:val="22"/>
          <w:szCs w:val="22"/>
          <w:lang w:val="en-US"/>
        </w:rPr>
        <w:t>highly causal</w:t>
      </w:r>
      <w:r w:rsidRPr="6C4092E4">
        <w:rPr>
          <w:rFonts w:ascii="Calibri" w:hAnsi="Calibri" w:cs="Calibri"/>
          <w:color w:val="000000" w:themeColor="text1"/>
          <w:sz w:val="22"/>
          <w:szCs w:val="22"/>
          <w:lang w:val="en-US"/>
        </w:rPr>
        <w:t xml:space="preserve"> transcriptional programs governing lineage bifurcation</w:t>
      </w:r>
      <w:r>
        <w:rPr>
          <w:rFonts w:ascii="Calibri" w:hAnsi="Calibri" w:cs="Calibri"/>
          <w:color w:val="000000" w:themeColor="text1"/>
          <w:sz w:val="22"/>
          <w:szCs w:val="22"/>
          <w:lang w:val="en-US"/>
        </w:rPr>
        <w:t>.</w:t>
      </w:r>
      <w:r w:rsidRPr="6C4092E4">
        <w:rPr>
          <w:rFonts w:ascii="Calibri" w:hAnsi="Calibri" w:cs="Calibri"/>
          <w:color w:val="000000" w:themeColor="text1"/>
          <w:sz w:val="22"/>
          <w:szCs w:val="22"/>
          <w:lang w:val="en-US"/>
        </w:rPr>
        <w:t xml:space="preserve"> </w:t>
      </w:r>
      <w:r>
        <w:rPr>
          <w:rFonts w:ascii="Calibri" w:hAnsi="Calibri" w:cs="Calibri"/>
          <w:color w:val="000000" w:themeColor="text1"/>
          <w:sz w:val="22"/>
          <w:szCs w:val="22"/>
          <w:lang w:val="en-US"/>
        </w:rPr>
        <w:t xml:space="preserve">It also </w:t>
      </w:r>
      <w:r w:rsidRPr="6C4092E4">
        <w:rPr>
          <w:rFonts w:ascii="Calibri" w:hAnsi="Calibri" w:cs="Calibri"/>
          <w:color w:val="000000" w:themeColor="text1"/>
          <w:sz w:val="22"/>
          <w:szCs w:val="22"/>
          <w:lang w:val="en-US"/>
        </w:rPr>
        <w:t xml:space="preserve">reveals temporal </w:t>
      </w:r>
      <w:r>
        <w:rPr>
          <w:rFonts w:ascii="Calibri" w:hAnsi="Calibri" w:cs="Calibri"/>
          <w:color w:val="000000" w:themeColor="text1"/>
          <w:sz w:val="22"/>
          <w:szCs w:val="22"/>
          <w:lang w:val="en-US"/>
        </w:rPr>
        <w:t>activities</w:t>
      </w:r>
      <w:r w:rsidRPr="6C4092E4">
        <w:rPr>
          <w:rFonts w:ascii="Calibri" w:hAnsi="Calibri" w:cs="Calibri"/>
          <w:color w:val="000000" w:themeColor="text1"/>
          <w:sz w:val="22"/>
          <w:szCs w:val="22"/>
          <w:lang w:val="en-US"/>
        </w:rPr>
        <w:t xml:space="preserve"> of regulatory control</w:t>
      </w:r>
      <w:r>
        <w:rPr>
          <w:rFonts w:ascii="Calibri" w:hAnsi="Calibri" w:cs="Calibri"/>
          <w:color w:val="000000" w:themeColor="text1"/>
          <w:sz w:val="22"/>
          <w:szCs w:val="22"/>
          <w:lang w:val="en-US"/>
        </w:rPr>
        <w:t>s</w:t>
      </w:r>
      <w:r w:rsidRPr="6C4092E4">
        <w:rPr>
          <w:rFonts w:ascii="Calibri" w:hAnsi="Calibri" w:cs="Calibri"/>
          <w:color w:val="000000" w:themeColor="text1"/>
          <w:sz w:val="22"/>
          <w:szCs w:val="22"/>
          <w:lang w:val="en-US"/>
        </w:rPr>
        <w:t xml:space="preserve"> and predicts fate bias before phenotypic commitment. Across B-cell and T-cell systems,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identifies both canonical and previously unappreciated regulators, outperforms existing methods, and demonstrates fundamental generalizability across diverse immune contexts.</w:t>
      </w:r>
    </w:p>
    <w:p w14:paraId="37CD8F5A" w14:textId="77777777" w:rsidR="008515C4" w:rsidRDefault="008515C4" w:rsidP="008515C4">
      <w:pPr>
        <w:pStyle w:val="Heading2"/>
        <w:spacing w:before="0" w:after="0"/>
        <w:jc w:val="both"/>
        <w:rPr>
          <w:rFonts w:ascii="Calibri" w:hAnsi="Calibri" w:cs="Calibri"/>
          <w:color w:val="000000" w:themeColor="text1"/>
          <w:sz w:val="22"/>
          <w:szCs w:val="22"/>
        </w:rPr>
      </w:pPr>
    </w:p>
    <w:p w14:paraId="64013AFF" w14:textId="77777777" w:rsidR="008515C4" w:rsidRDefault="008515C4" w:rsidP="008515C4">
      <w:pPr>
        <w:pStyle w:val="Heading2"/>
        <w:spacing w:before="0" w:after="0"/>
        <w:jc w:val="both"/>
        <w:rPr>
          <w:rFonts w:ascii="Calibri" w:hAnsi="Calibri" w:cs="Calibri"/>
          <w:color w:val="000000" w:themeColor="text1"/>
          <w:sz w:val="22"/>
          <w:szCs w:val="22"/>
          <w:lang w:val="en-US"/>
        </w:rPr>
      </w:pPr>
      <w:r w:rsidRPr="6C4092E4">
        <w:rPr>
          <w:rFonts w:ascii="Calibri" w:hAnsi="Calibri" w:cs="Calibri"/>
          <w:color w:val="000000" w:themeColor="text1"/>
          <w:sz w:val="22"/>
          <w:szCs w:val="22"/>
          <w:lang w:val="en-US"/>
        </w:rPr>
        <w:t xml:space="preserve">A central innovation </w:t>
      </w:r>
      <w:r>
        <w:rPr>
          <w:rFonts w:ascii="Calibri" w:hAnsi="Calibri" w:cs="Calibri"/>
          <w:color w:val="000000" w:themeColor="text1"/>
          <w:sz w:val="22"/>
          <w:szCs w:val="22"/>
          <w:lang w:val="en-US"/>
        </w:rPr>
        <w:t xml:space="preserve">of </w:t>
      </w:r>
      <w:proofErr w:type="spellStart"/>
      <w:r w:rsidRPr="6C4092E4">
        <w:rPr>
          <w:rFonts w:ascii="Calibri" w:hAnsi="Calibri" w:cs="Calibri"/>
          <w:color w:val="000000" w:themeColor="text1"/>
          <w:sz w:val="22"/>
          <w:szCs w:val="22"/>
          <w:lang w:val="en-US"/>
        </w:rPr>
        <w:t>FIREFate</w:t>
      </w:r>
      <w:proofErr w:type="spellEnd"/>
      <w:r>
        <w:rPr>
          <w:rFonts w:ascii="Calibri" w:hAnsi="Calibri" w:cs="Calibri"/>
          <w:color w:val="000000" w:themeColor="text1"/>
          <w:sz w:val="22"/>
          <w:szCs w:val="22"/>
          <w:lang w:val="en-US"/>
        </w:rPr>
        <w:t xml:space="preserve"> is its</w:t>
      </w:r>
      <w:r w:rsidRPr="6C4092E4">
        <w:rPr>
          <w:rFonts w:ascii="Calibri" w:hAnsi="Calibri" w:cs="Calibri"/>
          <w:color w:val="000000" w:themeColor="text1"/>
          <w:sz w:val="22"/>
          <w:szCs w:val="22"/>
          <w:lang w:val="en-US"/>
        </w:rPr>
        <w:t xml:space="preserve"> program-centric approach</w:t>
      </w:r>
      <w:r w:rsidRPr="005940CA">
        <w:rPr>
          <w:rFonts w:ascii="Calibri" w:hAnsi="Calibri" w:cs="Calibri"/>
          <w:color w:val="000000" w:themeColor="text1"/>
          <w:sz w:val="22"/>
          <w:szCs w:val="22"/>
          <w:lang w:val="en-US"/>
        </w:rPr>
        <w:t xml:space="preserve">. </w:t>
      </w:r>
      <w:r w:rsidRPr="00C9053C">
        <w:rPr>
          <w:rFonts w:ascii="Calibri" w:hAnsi="Calibri" w:cs="Calibri"/>
          <w:sz w:val="22"/>
          <w:szCs w:val="22"/>
        </w:rPr>
        <w:t>In contrast to</w:t>
      </w:r>
      <w:r>
        <w:t xml:space="preserve"> </w:t>
      </w:r>
      <w:r w:rsidRPr="6C4092E4">
        <w:rPr>
          <w:rFonts w:ascii="Calibri" w:hAnsi="Calibri" w:cs="Calibri"/>
          <w:color w:val="000000" w:themeColor="text1"/>
          <w:sz w:val="22"/>
          <w:szCs w:val="22"/>
          <w:lang w:val="en-US"/>
        </w:rPr>
        <w:t xml:space="preserve">differential expression analyses </w:t>
      </w:r>
      <w:r>
        <w:rPr>
          <w:rFonts w:ascii="Calibri" w:hAnsi="Calibri" w:cs="Calibri"/>
          <w:color w:val="000000" w:themeColor="text1"/>
          <w:sz w:val="22"/>
          <w:szCs w:val="22"/>
          <w:lang w:val="en-US"/>
        </w:rPr>
        <w:t xml:space="preserve">which </w:t>
      </w:r>
      <w:r w:rsidRPr="6C4092E4">
        <w:rPr>
          <w:rFonts w:ascii="Calibri" w:hAnsi="Calibri" w:cs="Calibri"/>
          <w:color w:val="000000" w:themeColor="text1"/>
          <w:sz w:val="22"/>
          <w:szCs w:val="22"/>
          <w:lang w:val="en-US"/>
        </w:rPr>
        <w:t>captur</w:t>
      </w:r>
      <w:r>
        <w:rPr>
          <w:rFonts w:ascii="Calibri" w:hAnsi="Calibri" w:cs="Calibri"/>
          <w:color w:val="000000" w:themeColor="text1"/>
          <w:sz w:val="22"/>
          <w:szCs w:val="22"/>
          <w:lang w:val="en-US"/>
        </w:rPr>
        <w:t>es</w:t>
      </w:r>
      <w:r w:rsidRPr="6C4092E4">
        <w:rPr>
          <w:rFonts w:ascii="Calibri" w:hAnsi="Calibri" w:cs="Calibri"/>
          <w:color w:val="000000" w:themeColor="text1"/>
          <w:sz w:val="22"/>
          <w:szCs w:val="22"/>
          <w:lang w:val="en-US"/>
        </w:rPr>
        <w:t xml:space="preserve"> </w:t>
      </w:r>
      <w:r>
        <w:rPr>
          <w:rFonts w:ascii="Calibri" w:hAnsi="Calibri" w:cs="Calibri"/>
          <w:color w:val="000000" w:themeColor="text1"/>
          <w:sz w:val="22"/>
          <w:szCs w:val="22"/>
          <w:lang w:val="en-US"/>
        </w:rPr>
        <w:t xml:space="preserve">only </w:t>
      </w:r>
      <w:r w:rsidRPr="6C4092E4">
        <w:rPr>
          <w:rFonts w:ascii="Calibri" w:hAnsi="Calibri" w:cs="Calibri"/>
          <w:color w:val="000000" w:themeColor="text1"/>
          <w:sz w:val="22"/>
          <w:szCs w:val="22"/>
          <w:lang w:val="en-US"/>
        </w:rPr>
        <w:t>the minimal effects</w:t>
      </w:r>
      <w:r>
        <w:rPr>
          <w:rFonts w:ascii="Calibri" w:hAnsi="Calibri" w:cs="Calibri"/>
          <w:color w:val="000000" w:themeColor="text1"/>
          <w:sz w:val="22"/>
          <w:szCs w:val="22"/>
          <w:lang w:val="en-US"/>
        </w:rPr>
        <w:t>,</w:t>
      </w:r>
      <w:r w:rsidRPr="6C4092E4">
        <w:rPr>
          <w:rFonts w:ascii="Calibri" w:hAnsi="Calibri" w:cs="Calibri"/>
          <w:color w:val="000000" w:themeColor="text1"/>
          <w:sz w:val="22"/>
          <w:szCs w:val="22"/>
          <w:lang w:val="en-US"/>
        </w:rPr>
        <w:t xml:space="preserve"> </w:t>
      </w:r>
      <w:r>
        <w:rPr>
          <w:rFonts w:ascii="Calibri" w:hAnsi="Calibri" w:cs="Calibri"/>
          <w:color w:val="000000" w:themeColor="text1"/>
          <w:sz w:val="22"/>
          <w:szCs w:val="22"/>
          <w:lang w:val="en-US"/>
        </w:rPr>
        <w:t>and</w:t>
      </w:r>
      <w:r w:rsidRPr="6C4092E4">
        <w:rPr>
          <w:rFonts w:ascii="Calibri" w:hAnsi="Calibri" w:cs="Calibri"/>
          <w:color w:val="000000" w:themeColor="text1"/>
          <w:sz w:val="22"/>
          <w:szCs w:val="22"/>
          <w:lang w:val="en-US"/>
        </w:rPr>
        <w:t xml:space="preserve"> decomposition</w:t>
      </w:r>
      <w:r>
        <w:rPr>
          <w:rFonts w:ascii="Calibri" w:hAnsi="Calibri" w:cs="Calibri"/>
          <w:color w:val="000000" w:themeColor="text1"/>
          <w:sz w:val="22"/>
          <w:szCs w:val="22"/>
          <w:lang w:val="en-US"/>
        </w:rPr>
        <w:t>-based</w:t>
      </w:r>
      <w:r w:rsidRPr="6C4092E4">
        <w:rPr>
          <w:rFonts w:ascii="Calibri" w:hAnsi="Calibri" w:cs="Calibri"/>
          <w:color w:val="000000" w:themeColor="text1"/>
          <w:sz w:val="22"/>
          <w:szCs w:val="22"/>
          <w:lang w:val="en-US"/>
        </w:rPr>
        <w:t xml:space="preserve"> methods </w:t>
      </w:r>
      <w:r>
        <w:rPr>
          <w:rFonts w:ascii="Calibri" w:hAnsi="Calibri" w:cs="Calibri"/>
          <w:color w:val="000000" w:themeColor="text1"/>
          <w:sz w:val="22"/>
          <w:szCs w:val="22"/>
          <w:lang w:val="en-US"/>
        </w:rPr>
        <w:t xml:space="preserve">that suffer </w:t>
      </w:r>
      <w:proofErr w:type="gramStart"/>
      <w:r>
        <w:rPr>
          <w:rFonts w:ascii="Calibri" w:hAnsi="Calibri" w:cs="Calibri"/>
          <w:color w:val="000000" w:themeColor="text1"/>
          <w:sz w:val="22"/>
          <w:szCs w:val="22"/>
          <w:lang w:val="en-US"/>
        </w:rPr>
        <w:t>from</w:t>
      </w:r>
      <w:r w:rsidRPr="6C4092E4">
        <w:rPr>
          <w:rFonts w:ascii="Calibri" w:hAnsi="Calibri" w:cs="Calibri"/>
          <w:color w:val="000000" w:themeColor="text1"/>
          <w:sz w:val="22"/>
          <w:szCs w:val="22"/>
          <w:lang w:val="en-US"/>
        </w:rPr>
        <w:t xml:space="preserve">  non</w:t>
      </w:r>
      <w:proofErr w:type="gramEnd"/>
      <w:r w:rsidRPr="6C4092E4">
        <w:rPr>
          <w:rFonts w:ascii="Calibri" w:hAnsi="Calibri" w:cs="Calibri"/>
          <w:color w:val="000000" w:themeColor="text1"/>
          <w:sz w:val="22"/>
          <w:szCs w:val="22"/>
          <w:lang w:val="en-US"/>
        </w:rPr>
        <w:t xml:space="preserve">-identifiability,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integrates</w:t>
      </w:r>
      <w:r>
        <w:rPr>
          <w:rFonts w:ascii="Calibri" w:hAnsi="Calibri" w:cs="Calibri"/>
          <w:color w:val="000000" w:themeColor="text1"/>
          <w:sz w:val="22"/>
          <w:szCs w:val="22"/>
          <w:lang w:val="en-US"/>
        </w:rPr>
        <w:t xml:space="preserve"> prioritized interpretable </w:t>
      </w:r>
      <w:r w:rsidRPr="6C4092E4">
        <w:rPr>
          <w:rFonts w:ascii="Calibri" w:hAnsi="Calibri" w:cs="Calibri"/>
          <w:color w:val="000000" w:themeColor="text1"/>
          <w:sz w:val="22"/>
          <w:szCs w:val="22"/>
          <w:lang w:val="en-US"/>
        </w:rPr>
        <w:t>coherent cellular</w:t>
      </w:r>
      <w:r>
        <w:rPr>
          <w:rFonts w:ascii="Calibri" w:hAnsi="Calibri" w:cs="Calibri"/>
          <w:color w:val="000000" w:themeColor="text1"/>
          <w:sz w:val="22"/>
          <w:szCs w:val="22"/>
          <w:lang w:val="en-US"/>
        </w:rPr>
        <w:t xml:space="preserve"> programs</w:t>
      </w:r>
      <w:r w:rsidRPr="6C4092E4">
        <w:rPr>
          <w:rFonts w:ascii="Calibri" w:hAnsi="Calibri" w:cs="Calibri"/>
          <w:color w:val="000000" w:themeColor="text1"/>
          <w:sz w:val="22"/>
          <w:szCs w:val="22"/>
          <w:lang w:val="en-US"/>
        </w:rPr>
        <w:t xml:space="preserve"> </w:t>
      </w:r>
      <w:r>
        <w:rPr>
          <w:rFonts w:ascii="Calibri" w:hAnsi="Calibri" w:cs="Calibri"/>
          <w:color w:val="000000" w:themeColor="text1"/>
          <w:sz w:val="22"/>
          <w:szCs w:val="22"/>
          <w:lang w:val="en-US"/>
        </w:rPr>
        <w:t xml:space="preserve">with mechanistic frameworks (including static and dynamic GRNs), where it identifies causal TF-centric </w:t>
      </w:r>
      <w:r w:rsidRPr="6C4092E4">
        <w:rPr>
          <w:rFonts w:ascii="Calibri" w:hAnsi="Calibri" w:cs="Calibri"/>
          <w:color w:val="000000" w:themeColor="text1"/>
          <w:sz w:val="22"/>
          <w:szCs w:val="22"/>
          <w:lang w:val="en-US"/>
        </w:rPr>
        <w:t xml:space="preserve">programs jointly enriched for genes, transcription </w:t>
      </w:r>
      <w:r w:rsidRPr="009F5D57">
        <w:rPr>
          <w:rFonts w:ascii="Calibri" w:hAnsi="Calibri" w:cs="Calibri"/>
          <w:color w:val="000000" w:themeColor="text1"/>
          <w:sz w:val="22"/>
          <w:szCs w:val="22"/>
          <w:lang w:val="en-US"/>
        </w:rPr>
        <w:t xml:space="preserve">factors, and regulatory interactions. As a result, </w:t>
      </w:r>
      <w:proofErr w:type="spellStart"/>
      <w:r w:rsidRPr="009F5D57">
        <w:rPr>
          <w:rFonts w:ascii="Calibri" w:hAnsi="Calibri" w:cs="Calibri"/>
          <w:color w:val="000000" w:themeColor="text1"/>
          <w:sz w:val="22"/>
          <w:szCs w:val="22"/>
          <w:lang w:val="en-US"/>
        </w:rPr>
        <w:t>FIREFate</w:t>
      </w:r>
      <w:proofErr w:type="spellEnd"/>
      <w:r w:rsidRPr="009F5D57">
        <w:rPr>
          <w:rFonts w:ascii="Calibri" w:hAnsi="Calibri" w:cs="Calibri"/>
          <w:color w:val="000000" w:themeColor="text1"/>
          <w:sz w:val="22"/>
          <w:szCs w:val="22"/>
          <w:lang w:val="en-US"/>
        </w:rPr>
        <w:t xml:space="preserve"> provides mechanistic interpretations of regulatory programs and </w:t>
      </w:r>
      <w:r w:rsidRPr="007C626A">
        <w:rPr>
          <w:rFonts w:ascii="Calibri" w:hAnsi="Calibri" w:cs="Calibri"/>
          <w:sz w:val="22"/>
          <w:szCs w:val="22"/>
        </w:rPr>
        <w:t>uncovers regulatory dependencies that are invisible to topology-driven approaches</w:t>
      </w:r>
      <w:r>
        <w:rPr>
          <w:rFonts w:ascii="Calibri" w:hAnsi="Calibri" w:cs="Calibri"/>
          <w:sz w:val="22"/>
          <w:szCs w:val="22"/>
        </w:rPr>
        <w:t xml:space="preserve">. </w:t>
      </w:r>
      <w:r w:rsidRPr="6C4092E4">
        <w:rPr>
          <w:rFonts w:ascii="Calibri" w:hAnsi="Calibri" w:cs="Calibri"/>
          <w:color w:val="000000" w:themeColor="text1"/>
          <w:sz w:val="22"/>
          <w:szCs w:val="22"/>
          <w:lang w:val="en-US"/>
        </w:rPr>
        <w:t xml:space="preserve">Notably, </w:t>
      </w:r>
      <w:r>
        <w:rPr>
          <w:rFonts w:ascii="Calibri" w:hAnsi="Calibri" w:cs="Calibri"/>
          <w:color w:val="000000" w:themeColor="text1"/>
          <w:sz w:val="22"/>
          <w:szCs w:val="22"/>
          <w:lang w:val="en-US"/>
        </w:rPr>
        <w:t xml:space="preserve">using the integration with state-specific static GRNs </w:t>
      </w:r>
      <w:r w:rsidRPr="6C4092E4">
        <w:rPr>
          <w:rFonts w:ascii="Calibri" w:hAnsi="Calibri" w:cs="Calibri"/>
          <w:color w:val="000000" w:themeColor="text1"/>
          <w:sz w:val="22"/>
          <w:szCs w:val="22"/>
          <w:lang w:val="en-US"/>
        </w:rPr>
        <w:t>our framework recovers established master regulators—PRDM1, IRF4, PAX5 in B cells; Nr4a2, Ikzf1, Ets1 in T cells—without prior knowledge, validating its biological grounding</w:t>
      </w:r>
      <w:r>
        <w:rPr>
          <w:rFonts w:ascii="Calibri" w:hAnsi="Calibri" w:cs="Calibri"/>
          <w:color w:val="000000" w:themeColor="text1"/>
          <w:sz w:val="22"/>
          <w:szCs w:val="22"/>
          <w:lang w:val="en-US"/>
        </w:rPr>
        <w:t xml:space="preserve"> while it leveraged the state-specific static</w:t>
      </w:r>
      <w:r w:rsidRPr="6C4092E4">
        <w:rPr>
          <w:rFonts w:ascii="Calibri" w:hAnsi="Calibri" w:cs="Calibri"/>
          <w:color w:val="000000" w:themeColor="text1"/>
          <w:sz w:val="22"/>
          <w:szCs w:val="22"/>
          <w:lang w:val="en-US"/>
        </w:rPr>
        <w:t>.</w:t>
      </w:r>
      <w:r>
        <w:rPr>
          <w:rFonts w:ascii="Calibri" w:hAnsi="Calibri" w:cs="Calibri"/>
          <w:color w:val="000000" w:themeColor="text1"/>
          <w:sz w:val="22"/>
          <w:szCs w:val="22"/>
          <w:lang w:val="en-US"/>
        </w:rPr>
        <w:t xml:space="preserve"> </w:t>
      </w:r>
    </w:p>
    <w:p w14:paraId="1E413788" w14:textId="77777777" w:rsidR="008515C4" w:rsidRDefault="008515C4" w:rsidP="008515C4">
      <w:pPr>
        <w:pStyle w:val="Heading2"/>
        <w:spacing w:before="0" w:after="0"/>
        <w:jc w:val="both"/>
        <w:rPr>
          <w:rFonts w:ascii="Calibri" w:hAnsi="Calibri" w:cs="Calibri"/>
          <w:color w:val="000000" w:themeColor="text1"/>
          <w:sz w:val="22"/>
          <w:szCs w:val="22"/>
          <w:lang w:val="en-US"/>
        </w:rPr>
      </w:pPr>
    </w:p>
    <w:p w14:paraId="46FC2FA7" w14:textId="77777777" w:rsidR="008515C4" w:rsidRPr="007111EF" w:rsidRDefault="008515C4" w:rsidP="008515C4">
      <w:pPr>
        <w:pStyle w:val="Heading2"/>
        <w:spacing w:before="0" w:after="0"/>
        <w:jc w:val="both"/>
        <w:rPr>
          <w:rFonts w:ascii="Calibri" w:hAnsi="Calibri" w:cs="Calibri"/>
          <w:sz w:val="22"/>
          <w:szCs w:val="22"/>
        </w:rPr>
      </w:pPr>
      <w:r>
        <w:rPr>
          <w:rFonts w:ascii="Calibri" w:hAnsi="Calibri" w:cs="Calibri"/>
          <w:sz w:val="22"/>
          <w:szCs w:val="22"/>
        </w:rPr>
        <w:t xml:space="preserve">Moreover, integrating the interpretable cellular programs with </w:t>
      </w:r>
      <w:r w:rsidRPr="6C4092E4">
        <w:rPr>
          <w:rFonts w:ascii="Calibri" w:hAnsi="Calibri" w:cs="Calibri"/>
          <w:color w:val="000000" w:themeColor="text1"/>
          <w:sz w:val="22"/>
          <w:szCs w:val="22"/>
          <w:lang w:val="en-US"/>
        </w:rPr>
        <w:t>dynamic GRN</w:t>
      </w:r>
      <w:r>
        <w:rPr>
          <w:rFonts w:ascii="Calibri" w:hAnsi="Calibri" w:cs="Calibri"/>
          <w:sz w:val="22"/>
          <w:szCs w:val="22"/>
        </w:rPr>
        <w:t xml:space="preserve"> </w:t>
      </w:r>
      <w:r w:rsidRPr="6C4092E4">
        <w:rPr>
          <w:rFonts w:ascii="Calibri" w:hAnsi="Calibri" w:cs="Calibri"/>
          <w:color w:val="000000" w:themeColor="text1"/>
          <w:sz w:val="22"/>
          <w:szCs w:val="22"/>
          <w:lang w:val="en-US"/>
        </w:rPr>
        <w:t>reveals temporal regulatory logic that static analyses cannot resolve. In the PB trajectory</w:t>
      </w:r>
      <w:r>
        <w:rPr>
          <w:rFonts w:ascii="Calibri" w:hAnsi="Calibri" w:cs="Calibri"/>
          <w:color w:val="000000" w:themeColor="text1"/>
          <w:sz w:val="22"/>
          <w:szCs w:val="22"/>
          <w:lang w:val="en-US"/>
        </w:rPr>
        <w:t xml:space="preserve"> from the B cell system</w:t>
      </w:r>
      <w:r w:rsidRPr="6C4092E4">
        <w:rPr>
          <w:rFonts w:ascii="Calibri" w:hAnsi="Calibri" w:cs="Calibri"/>
          <w:color w:val="000000" w:themeColor="text1"/>
          <w:sz w:val="22"/>
          <w:szCs w:val="22"/>
          <w:lang w:val="en-US"/>
        </w:rPr>
        <w:t>,</w:t>
      </w:r>
      <w:r>
        <w:rPr>
          <w:rFonts w:ascii="Calibri" w:hAnsi="Calibri" w:cs="Calibri"/>
          <w:color w:val="000000" w:themeColor="text1"/>
          <w:sz w:val="22"/>
          <w:szCs w:val="22"/>
          <w:lang w:val="en-US"/>
        </w:rPr>
        <w:t xml:space="preserve"> </w:t>
      </w:r>
      <w:proofErr w:type="spellStart"/>
      <w:r>
        <w:rPr>
          <w:rFonts w:ascii="Calibri" w:hAnsi="Calibri" w:cs="Calibri"/>
          <w:color w:val="000000" w:themeColor="text1"/>
          <w:sz w:val="22"/>
          <w:szCs w:val="22"/>
          <w:lang w:val="en-US"/>
        </w:rPr>
        <w:t>FIREFate</w:t>
      </w:r>
      <w:proofErr w:type="spellEnd"/>
      <w:r>
        <w:rPr>
          <w:rFonts w:ascii="Calibri" w:hAnsi="Calibri" w:cs="Calibri"/>
          <w:color w:val="000000" w:themeColor="text1"/>
          <w:sz w:val="22"/>
          <w:szCs w:val="22"/>
          <w:lang w:val="en-US"/>
        </w:rPr>
        <w:t xml:space="preserve"> uncovered</w:t>
      </w:r>
      <w:r w:rsidRPr="6C4092E4">
        <w:rPr>
          <w:rFonts w:ascii="Calibri" w:hAnsi="Calibri" w:cs="Calibri"/>
          <w:color w:val="000000" w:themeColor="text1"/>
          <w:sz w:val="22"/>
          <w:szCs w:val="22"/>
          <w:lang w:val="en-US"/>
        </w:rPr>
        <w:t xml:space="preserve"> an early activation of RUNX2 by CREB3L2, which results in activation of PRDM1 by RUNX2 initiates differentiation, followed by reinforcing the mutually activation of IRF4 and PRDM1 and late XBP1-driven secretory activation. The GC trajectory advances through repression-dominated waves, with early inhibition of PAX5 by IRF4, and NFKB1 followed by regulatory handoff enabling PAX5 activation. These distinct dynamic architectures demonstrate that lineage commitment emerges from temporally ordered, often transient regulatory events. </w:t>
      </w:r>
    </w:p>
    <w:p w14:paraId="53BCEBF0" w14:textId="77777777" w:rsidR="008515C4" w:rsidRPr="00D740B0" w:rsidRDefault="008515C4" w:rsidP="008515C4">
      <w:pPr>
        <w:jc w:val="both"/>
        <w:rPr>
          <w:rFonts w:ascii="Calibri" w:hAnsi="Calibri" w:cs="Calibri"/>
        </w:rPr>
      </w:pPr>
      <w:proofErr w:type="spellStart"/>
      <w:r>
        <w:rPr>
          <w:rFonts w:ascii="Calibri" w:hAnsi="Calibri" w:cs="Calibri"/>
        </w:rPr>
        <w:t>FIREFate</w:t>
      </w:r>
      <w:proofErr w:type="spellEnd"/>
      <w:r>
        <w:rPr>
          <w:rFonts w:ascii="Calibri" w:hAnsi="Calibri" w:cs="Calibri"/>
        </w:rPr>
        <w:t xml:space="preserve"> also enables prediction of </w:t>
      </w:r>
      <w:r w:rsidRPr="6C4092E4">
        <w:rPr>
          <w:rFonts w:ascii="Calibri" w:hAnsi="Calibri" w:cs="Calibri"/>
          <w:color w:val="000000" w:themeColor="text1"/>
          <w:lang w:val="en-US"/>
        </w:rPr>
        <w:t>fate bias pre-encoded within late-stage regulatory programs</w:t>
      </w:r>
      <w:r>
        <w:rPr>
          <w:rFonts w:ascii="Calibri" w:hAnsi="Calibri" w:cs="Calibri"/>
        </w:rPr>
        <w:t xml:space="preserve"> by delving into dynamic TF activity across bifurcations. </w:t>
      </w:r>
      <w:r w:rsidRPr="6C4092E4">
        <w:rPr>
          <w:rFonts w:ascii="Calibri" w:hAnsi="Calibri" w:cs="Calibri"/>
          <w:color w:val="000000" w:themeColor="text1"/>
          <w:lang w:val="en-US"/>
        </w:rPr>
        <w:t xml:space="preserve">Transfer learning from transcription factor perturbation data identifies </w:t>
      </w:r>
      <w:r>
        <w:rPr>
          <w:rFonts w:ascii="Calibri" w:hAnsi="Calibri" w:cs="Calibri"/>
          <w:color w:val="000000" w:themeColor="text1"/>
          <w:lang w:val="en-US"/>
        </w:rPr>
        <w:t xml:space="preserve">interpretable </w:t>
      </w:r>
      <w:r w:rsidRPr="6C4092E4">
        <w:rPr>
          <w:rFonts w:ascii="Calibri" w:hAnsi="Calibri" w:cs="Calibri"/>
          <w:color w:val="000000" w:themeColor="text1"/>
          <w:lang w:val="en-US"/>
        </w:rPr>
        <w:t xml:space="preserve">regulatory programs in uncommitted cells that predispose them toward alternative fates long before phenotypic divergence. In B cells, programs derived from PRDM1 and IRF4 knockouts revealed latent GC bias in early activated cells. Integration with dynamic GRNs identified IKZF2 and RBPJ as episodically active regulators exhibiting low expression and no differential chromatin accessibility yet pronounced regulatory activity. In T cells, </w:t>
      </w:r>
      <w:proofErr w:type="spellStart"/>
      <w:r w:rsidRPr="6C4092E4">
        <w:rPr>
          <w:rFonts w:ascii="Calibri" w:hAnsi="Calibri" w:cs="Calibri"/>
          <w:color w:val="000000" w:themeColor="text1"/>
          <w:lang w:val="en-US"/>
        </w:rPr>
        <w:t>FIREFate</w:t>
      </w:r>
      <w:proofErr w:type="spellEnd"/>
      <w:r w:rsidRPr="6C4092E4">
        <w:rPr>
          <w:rFonts w:ascii="Calibri" w:hAnsi="Calibri" w:cs="Calibri"/>
          <w:color w:val="000000" w:themeColor="text1"/>
          <w:lang w:val="en-US"/>
        </w:rPr>
        <w:t xml:space="preserve"> predicted </w:t>
      </w:r>
      <w:proofErr w:type="spellStart"/>
      <w:r w:rsidRPr="6C4092E4">
        <w:rPr>
          <w:rFonts w:ascii="Calibri" w:hAnsi="Calibri" w:cs="Calibri"/>
          <w:color w:val="000000" w:themeColor="text1"/>
          <w:lang w:val="en-US"/>
        </w:rPr>
        <w:t>Tpex</w:t>
      </w:r>
      <w:proofErr w:type="spellEnd"/>
      <w:r w:rsidRPr="6C4092E4">
        <w:rPr>
          <w:rFonts w:ascii="Calibri" w:hAnsi="Calibri" w:cs="Calibri"/>
          <w:color w:val="000000" w:themeColor="text1"/>
          <w:lang w:val="en-US"/>
        </w:rPr>
        <w:t xml:space="preserve"> versus Tex predisposition in a non-branching system, outperforming gene-centric methods that systematically failed. This enables identification of intervention points for rational immune cell reprogramming.</w:t>
      </w:r>
    </w:p>
    <w:p w14:paraId="11B440F7" w14:textId="77777777" w:rsidR="008515C4" w:rsidRPr="00C12A99" w:rsidRDefault="008515C4" w:rsidP="008515C4"/>
    <w:p w14:paraId="4B2CF0FD" w14:textId="77777777" w:rsidR="008515C4" w:rsidRDefault="008515C4" w:rsidP="008515C4">
      <w:pPr>
        <w:pStyle w:val="Heading2"/>
        <w:spacing w:before="0" w:after="0"/>
        <w:jc w:val="both"/>
        <w:rPr>
          <w:rFonts w:ascii="Calibri" w:hAnsi="Calibri" w:cs="Calibri"/>
          <w:color w:val="000000" w:themeColor="text1"/>
          <w:sz w:val="22"/>
          <w:szCs w:val="22"/>
          <w:lang w:val="en-US"/>
        </w:rPr>
      </w:pPr>
      <w:r w:rsidRPr="6C4092E4">
        <w:rPr>
          <w:rFonts w:ascii="Calibri" w:hAnsi="Calibri" w:cs="Calibri"/>
          <w:color w:val="000000" w:themeColor="text1"/>
          <w:sz w:val="22"/>
          <w:szCs w:val="22"/>
          <w:lang w:val="en-US"/>
        </w:rPr>
        <w:lastRenderedPageBreak/>
        <w:t xml:space="preserve">Benchmarking establishes </w:t>
      </w:r>
      <w:proofErr w:type="spellStart"/>
      <w:r w:rsidRPr="6C4092E4">
        <w:rPr>
          <w:rFonts w:ascii="Calibri" w:hAnsi="Calibri" w:cs="Calibri"/>
          <w:color w:val="000000" w:themeColor="text1"/>
          <w:sz w:val="22"/>
          <w:szCs w:val="22"/>
          <w:lang w:val="en-US"/>
        </w:rPr>
        <w:t>FIREFate's</w:t>
      </w:r>
      <w:proofErr w:type="spellEnd"/>
      <w:r w:rsidRPr="6C4092E4">
        <w:rPr>
          <w:rFonts w:ascii="Calibri" w:hAnsi="Calibri" w:cs="Calibri"/>
          <w:color w:val="000000" w:themeColor="text1"/>
          <w:sz w:val="22"/>
          <w:szCs w:val="22"/>
          <w:lang w:val="en-US"/>
        </w:rPr>
        <w:t xml:space="preserve"> superiority. SCENIC+ produced broad, inflated regulons with limited specificity, whereas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identified compact regulons enriched for genes with stronger state-defining transcriptional shifts. Conventional classifiers collapsed when transferred to uncommitted cells, mislabeling over 92% of cells.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avoided such failures by operating at the regulatory program level.</w:t>
      </w:r>
    </w:p>
    <w:p w14:paraId="1625E8AA" w14:textId="77777777" w:rsidR="008515C4" w:rsidRDefault="008515C4" w:rsidP="008515C4">
      <w:pPr>
        <w:pStyle w:val="Heading2"/>
        <w:spacing w:before="0" w:after="0"/>
        <w:jc w:val="both"/>
        <w:rPr>
          <w:rFonts w:ascii="Calibri" w:hAnsi="Calibri" w:cs="Calibri"/>
          <w:color w:val="000000" w:themeColor="text1"/>
          <w:sz w:val="22"/>
          <w:szCs w:val="22"/>
        </w:rPr>
      </w:pPr>
    </w:p>
    <w:p w14:paraId="475B7190" w14:textId="77777777" w:rsidR="008515C4" w:rsidRPr="009658C3" w:rsidRDefault="008515C4" w:rsidP="008515C4">
      <w:pPr>
        <w:pStyle w:val="Heading2"/>
        <w:spacing w:before="0" w:after="0"/>
        <w:jc w:val="both"/>
        <w:rPr>
          <w:rFonts w:ascii="Calibri" w:hAnsi="Calibri" w:cs="Calibri"/>
          <w:color w:val="000000" w:themeColor="text1"/>
          <w:sz w:val="22"/>
          <w:szCs w:val="22"/>
          <w:lang w:val="en-US"/>
        </w:rPr>
      </w:pPr>
      <w:r w:rsidRPr="6C4092E4">
        <w:rPr>
          <w:rFonts w:ascii="Calibri" w:hAnsi="Calibri" w:cs="Calibri"/>
          <w:color w:val="000000" w:themeColor="text1"/>
          <w:sz w:val="22"/>
          <w:szCs w:val="22"/>
          <w:lang w:val="en-US"/>
        </w:rPr>
        <w:t xml:space="preserve">Despite these strengths,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has limitations. </w:t>
      </w:r>
      <w:proofErr w:type="gramStart"/>
      <w:r w:rsidRPr="6C4092E4">
        <w:rPr>
          <w:rFonts w:ascii="Calibri" w:hAnsi="Calibri" w:cs="Calibri"/>
          <w:color w:val="000000" w:themeColor="text1"/>
          <w:sz w:val="22"/>
          <w:szCs w:val="22"/>
          <w:lang w:val="en-US"/>
        </w:rPr>
        <w:t>A</w:t>
      </w:r>
      <w:proofErr w:type="gramEnd"/>
      <w:r w:rsidRPr="6C4092E4">
        <w:rPr>
          <w:rFonts w:ascii="Calibri" w:hAnsi="Calibri" w:cs="Calibri"/>
          <w:color w:val="000000" w:themeColor="text1"/>
          <w:sz w:val="22"/>
          <w:szCs w:val="22"/>
          <w:lang w:val="en-US"/>
        </w:rPr>
        <w:t xml:space="preserve"> </w:t>
      </w:r>
      <w:r>
        <w:rPr>
          <w:rFonts w:ascii="Calibri" w:hAnsi="Calibri" w:cs="Calibri"/>
          <w:color w:val="000000" w:themeColor="text1"/>
          <w:sz w:val="22"/>
          <w:szCs w:val="22"/>
          <w:lang w:val="en-US"/>
        </w:rPr>
        <w:t>inherent</w:t>
      </w:r>
      <w:r w:rsidRPr="6C4092E4">
        <w:rPr>
          <w:rFonts w:ascii="Calibri" w:hAnsi="Calibri" w:cs="Calibri"/>
          <w:color w:val="000000" w:themeColor="text1"/>
          <w:sz w:val="22"/>
          <w:szCs w:val="22"/>
          <w:lang w:val="en-US"/>
        </w:rPr>
        <w:t xml:space="preserve"> constraint is its reliance on binary, categorical state comparisons. The underlying SLIDE framework is designed to distinguish two discrete states, limiting application to multi-lineage decisions or continuous trajectories. Extensions to multi-class frameworks could address this, though may sacrifice interpretability. Additionally, dynamic GRN inference relies on </w:t>
      </w:r>
      <w:proofErr w:type="spellStart"/>
      <w:r w:rsidRPr="6C4092E4">
        <w:rPr>
          <w:rFonts w:ascii="Calibri" w:hAnsi="Calibri" w:cs="Calibri"/>
          <w:color w:val="000000" w:themeColor="text1"/>
          <w:sz w:val="22"/>
          <w:szCs w:val="22"/>
          <w:lang w:val="en-US"/>
        </w:rPr>
        <w:t>pseudotime</w:t>
      </w:r>
      <w:proofErr w:type="spellEnd"/>
      <w:r w:rsidRPr="6C4092E4">
        <w:rPr>
          <w:rFonts w:ascii="Calibri" w:hAnsi="Calibri" w:cs="Calibri"/>
          <w:color w:val="000000" w:themeColor="text1"/>
          <w:sz w:val="22"/>
          <w:szCs w:val="22"/>
          <w:lang w:val="en-US"/>
        </w:rPr>
        <w:t xml:space="preserve"> ordering, which can be sensitive to trajectory inference methods. Experimental validation through targeted perturbations remains essential to establish causality. Overall,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provides a</w:t>
      </w:r>
      <w:r>
        <w:rPr>
          <w:rFonts w:ascii="Calibri" w:hAnsi="Calibri" w:cs="Calibri"/>
          <w:color w:val="000000" w:themeColor="text1"/>
          <w:sz w:val="22"/>
          <w:szCs w:val="22"/>
          <w:lang w:val="en-US"/>
        </w:rPr>
        <w:t xml:space="preserve"> mechanistically grounded</w:t>
      </w:r>
      <w:r w:rsidRPr="6C4092E4">
        <w:rPr>
          <w:rFonts w:ascii="Calibri" w:hAnsi="Calibri" w:cs="Calibri"/>
          <w:color w:val="000000" w:themeColor="text1"/>
          <w:sz w:val="22"/>
          <w:szCs w:val="22"/>
          <w:lang w:val="en-US"/>
        </w:rPr>
        <w:t xml:space="preserve"> blueprint for understanding, predicting, and </w:t>
      </w:r>
      <w:r>
        <w:rPr>
          <w:rFonts w:ascii="Calibri" w:hAnsi="Calibri" w:cs="Calibri"/>
          <w:color w:val="000000" w:themeColor="text1"/>
          <w:sz w:val="22"/>
          <w:szCs w:val="22"/>
          <w:lang w:val="en-US"/>
        </w:rPr>
        <w:t xml:space="preserve">ultimately </w:t>
      </w:r>
      <w:r w:rsidRPr="6C4092E4">
        <w:rPr>
          <w:rFonts w:ascii="Calibri" w:hAnsi="Calibri" w:cs="Calibri"/>
          <w:color w:val="000000" w:themeColor="text1"/>
          <w:sz w:val="22"/>
          <w:szCs w:val="22"/>
          <w:lang w:val="en-US"/>
        </w:rPr>
        <w:t>controlling cellular decision-making, with broad applications in immunology, synthetic biology, and therapeutic development.</w:t>
      </w:r>
    </w:p>
    <w:p w14:paraId="1A2076CF" w14:textId="77777777" w:rsidR="008515C4" w:rsidRPr="009658C3" w:rsidRDefault="008515C4" w:rsidP="008515C4">
      <w:pPr>
        <w:jc w:val="both"/>
        <w:rPr>
          <w:rFonts w:ascii="Calibri" w:hAnsi="Calibri" w:cs="Calibri"/>
          <w:b/>
          <w:bCs/>
          <w:color w:val="000000" w:themeColor="text1"/>
        </w:rPr>
      </w:pPr>
      <w:r w:rsidRPr="2F61C2E8">
        <w:rPr>
          <w:rFonts w:ascii="Calibri" w:hAnsi="Calibri" w:cs="Calibri"/>
          <w:b/>
          <w:bCs/>
          <w:color w:val="000000" w:themeColor="text1"/>
        </w:rPr>
        <w:br w:type="page"/>
      </w:r>
    </w:p>
    <w:p w14:paraId="24EEEADA" w14:textId="77777777" w:rsidR="008515C4" w:rsidRPr="0043257D" w:rsidRDefault="008515C4" w:rsidP="008515C4">
      <w:pPr>
        <w:jc w:val="both"/>
        <w:rPr>
          <w:rFonts w:ascii="Calibri" w:hAnsi="Calibri" w:cs="Calibri"/>
          <w:b/>
          <w:bCs/>
          <w:color w:val="000000" w:themeColor="text1"/>
          <w:lang w:val="en-US"/>
        </w:rPr>
      </w:pPr>
    </w:p>
    <w:p w14:paraId="7CB46ED4" w14:textId="77777777" w:rsidR="008515C4" w:rsidRDefault="008515C4" w:rsidP="008515C4">
      <w:pPr>
        <w:jc w:val="both"/>
        <w:rPr>
          <w:rFonts w:ascii="Calibri" w:hAnsi="Calibri" w:cs="Calibri"/>
          <w:b/>
          <w:bCs/>
          <w:color w:val="000000" w:themeColor="text1"/>
          <w:sz w:val="28"/>
          <w:szCs w:val="28"/>
          <w:lang w:val="en-US"/>
        </w:rPr>
      </w:pPr>
      <w:r>
        <w:rPr>
          <w:rFonts w:ascii="Calibri" w:hAnsi="Calibri" w:cs="Calibri"/>
          <w:b/>
          <w:bCs/>
          <w:color w:val="000000" w:themeColor="text1"/>
          <w:sz w:val="28"/>
          <w:szCs w:val="28"/>
          <w:lang w:val="en-US"/>
        </w:rPr>
        <w:br w:type="page"/>
      </w:r>
    </w:p>
    <w:p w14:paraId="310CBFB7" w14:textId="77777777" w:rsidR="008515C4" w:rsidRPr="009658C3" w:rsidRDefault="008515C4" w:rsidP="008515C4">
      <w:pPr>
        <w:pStyle w:val="Heading2"/>
        <w:pBdr>
          <w:bottom w:val="single" w:sz="4" w:space="1" w:color="auto"/>
        </w:pBdr>
        <w:jc w:val="both"/>
        <w:rPr>
          <w:rFonts w:ascii="Calibri" w:hAnsi="Calibri" w:cs="Calibri"/>
          <w:b/>
          <w:color w:val="000000" w:themeColor="text1"/>
          <w:sz w:val="40"/>
          <w:szCs w:val="40"/>
        </w:rPr>
      </w:pPr>
      <w:r w:rsidRPr="009658C3">
        <w:rPr>
          <w:rFonts w:ascii="Calibri" w:hAnsi="Calibri" w:cs="Calibri"/>
          <w:b/>
          <w:bCs/>
          <w:color w:val="000000" w:themeColor="text1"/>
          <w:sz w:val="28"/>
          <w:szCs w:val="28"/>
          <w:lang w:val="en-US"/>
        </w:rPr>
        <w:lastRenderedPageBreak/>
        <w:t>METHODS:</w:t>
      </w:r>
      <w:r w:rsidRPr="009658C3">
        <w:rPr>
          <w:rFonts w:ascii="Calibri" w:hAnsi="Calibri" w:cs="Calibri"/>
          <w:b/>
          <w:color w:val="000000" w:themeColor="text1"/>
          <w:sz w:val="40"/>
          <w:szCs w:val="40"/>
        </w:rPr>
        <w:t xml:space="preserve"> </w:t>
      </w:r>
    </w:p>
    <w:p w14:paraId="51239D55" w14:textId="77777777" w:rsidR="008515C4" w:rsidRPr="00624F7B" w:rsidRDefault="008515C4" w:rsidP="008515C4">
      <w:pPr>
        <w:pStyle w:val="Heading3"/>
        <w:jc w:val="both"/>
        <w:rPr>
          <w:rFonts w:asciiTheme="majorHAnsi" w:hAnsiTheme="majorHAnsi" w:cstheme="majorHAnsi"/>
          <w:b/>
          <w:bCs/>
          <w:color w:val="000000" w:themeColor="text1"/>
          <w:sz w:val="24"/>
          <w:szCs w:val="24"/>
          <w:lang w:val="en-US"/>
        </w:rPr>
      </w:pPr>
      <w:proofErr w:type="spellStart"/>
      <w:r w:rsidRPr="00624F7B">
        <w:rPr>
          <w:rFonts w:asciiTheme="majorHAnsi" w:hAnsiTheme="majorHAnsi" w:cstheme="majorHAnsi"/>
          <w:b/>
          <w:bCs/>
          <w:color w:val="000000" w:themeColor="text1"/>
          <w:sz w:val="24"/>
          <w:szCs w:val="24"/>
          <w:lang w:val="en-US"/>
        </w:rPr>
        <w:t>FIREFate</w:t>
      </w:r>
      <w:proofErr w:type="spellEnd"/>
      <w:r w:rsidRPr="00624F7B">
        <w:rPr>
          <w:rFonts w:asciiTheme="majorHAnsi" w:hAnsiTheme="majorHAnsi" w:cstheme="majorHAnsi"/>
          <w:b/>
          <w:bCs/>
          <w:color w:val="000000" w:themeColor="text1"/>
          <w:sz w:val="24"/>
          <w:szCs w:val="24"/>
          <w:lang w:val="en-US"/>
        </w:rPr>
        <w:t xml:space="preserve"> framework overview</w:t>
      </w:r>
    </w:p>
    <w:p w14:paraId="1142EC14" w14:textId="77777777" w:rsidR="00FB77F8" w:rsidRPr="0079560B" w:rsidRDefault="008515C4" w:rsidP="008515C4">
      <w:pPr>
        <w:pStyle w:val="Heading3"/>
        <w:jc w:val="both"/>
        <w:rPr>
          <w:rFonts w:ascii="Calibri" w:hAnsi="Calibri" w:cs="Calibri"/>
          <w:color w:val="000000" w:themeColor="text1"/>
          <w:sz w:val="22"/>
          <w:szCs w:val="22"/>
          <w:lang w:val="en-US"/>
        </w:rPr>
      </w:pPr>
      <w:r w:rsidRPr="0079560B">
        <w:rPr>
          <w:rFonts w:ascii="Calibri" w:hAnsi="Calibri" w:cs="Calibri"/>
          <w:color w:val="000000" w:themeColor="text1"/>
          <w:sz w:val="22"/>
          <w:szCs w:val="22"/>
          <w:lang w:val="en-US"/>
        </w:rPr>
        <w:t xml:space="preserve">The </w:t>
      </w:r>
      <w:proofErr w:type="spellStart"/>
      <w:r w:rsidRPr="0079560B">
        <w:rPr>
          <w:rFonts w:ascii="Calibri" w:hAnsi="Calibri" w:cs="Calibri"/>
          <w:color w:val="000000" w:themeColor="text1"/>
          <w:sz w:val="22"/>
          <w:szCs w:val="22"/>
          <w:lang w:val="en-US"/>
        </w:rPr>
        <w:t>FIREFate</w:t>
      </w:r>
      <w:proofErr w:type="spellEnd"/>
      <w:r w:rsidRPr="0079560B">
        <w:rPr>
          <w:rFonts w:ascii="Calibri" w:hAnsi="Calibri" w:cs="Calibri"/>
          <w:color w:val="000000" w:themeColor="text1"/>
          <w:sz w:val="22"/>
          <w:szCs w:val="22"/>
          <w:lang w:val="en-US"/>
        </w:rPr>
        <w:t xml:space="preserve"> workflow consists of several components: (1) inferring cellular programs underlying cell states using an interpretable machine learning model along with characterizing their phenotypic roles through gene set enrichment analysis supported by large language models; (2) constructing state-specific static GRNs using </w:t>
      </w:r>
      <w:proofErr w:type="spellStart"/>
      <w:r w:rsidRPr="0079560B">
        <w:rPr>
          <w:rFonts w:ascii="Calibri" w:hAnsi="Calibri" w:cs="Calibri"/>
          <w:color w:val="000000" w:themeColor="text1"/>
          <w:sz w:val="22"/>
          <w:szCs w:val="22"/>
          <w:lang w:val="en-US"/>
        </w:rPr>
        <w:t>sc-multiomics</w:t>
      </w:r>
      <w:proofErr w:type="spellEnd"/>
      <w:r w:rsidRPr="0079560B">
        <w:rPr>
          <w:rFonts w:ascii="Calibri" w:hAnsi="Calibri" w:cs="Calibri"/>
          <w:color w:val="000000" w:themeColor="text1"/>
          <w:sz w:val="22"/>
          <w:szCs w:val="22"/>
          <w:lang w:val="en-US"/>
        </w:rPr>
        <w:t xml:space="preserve"> data or </w:t>
      </w:r>
      <w:proofErr w:type="spellStart"/>
      <w:r w:rsidRPr="0079560B">
        <w:rPr>
          <w:rFonts w:ascii="Calibri" w:hAnsi="Calibri" w:cs="Calibri"/>
          <w:color w:val="000000" w:themeColor="text1"/>
          <w:sz w:val="22"/>
          <w:szCs w:val="22"/>
          <w:lang w:val="en-US"/>
        </w:rPr>
        <w:t>scRNA</w:t>
      </w:r>
      <w:proofErr w:type="spellEnd"/>
      <w:r w:rsidRPr="0079560B">
        <w:rPr>
          <w:rFonts w:ascii="Calibri" w:hAnsi="Calibri" w:cs="Calibri"/>
          <w:color w:val="000000" w:themeColor="text1"/>
          <w:sz w:val="22"/>
          <w:szCs w:val="22"/>
          <w:lang w:val="en-US"/>
        </w:rPr>
        <w:t xml:space="preserve">-seq data alone; (3) defining highly specific TF-centric regulons by integrating the inferred cellular programs with the static GRN and calculating TF-centric regulon enrichment; (4) constructing state-specific dynamic GRNs using </w:t>
      </w:r>
      <w:proofErr w:type="spellStart"/>
      <w:r w:rsidRPr="0079560B">
        <w:rPr>
          <w:rFonts w:ascii="Calibri" w:hAnsi="Calibri" w:cs="Calibri"/>
          <w:color w:val="000000" w:themeColor="text1"/>
          <w:sz w:val="22"/>
          <w:szCs w:val="22"/>
          <w:lang w:val="en-US"/>
        </w:rPr>
        <w:t>sc-multiomics</w:t>
      </w:r>
      <w:proofErr w:type="spellEnd"/>
      <w:r w:rsidRPr="0079560B">
        <w:rPr>
          <w:rFonts w:ascii="Calibri" w:hAnsi="Calibri" w:cs="Calibri"/>
          <w:color w:val="000000" w:themeColor="text1"/>
          <w:sz w:val="22"/>
          <w:szCs w:val="22"/>
          <w:lang w:val="en-US"/>
        </w:rPr>
        <w:t xml:space="preserve"> data; (5) identifying state-specific TF expression and regulatory dynamics, including episodic enrichment patterns; (6) identifying state-predisposing cellular programs that bias cell-fate decisions using an interpretable machine learning model applied to TF-KO versus unperturbed control cell populations; and (7) determining TFs enriched within these predisposing programs through integration of static and dynamic GRNs. We implemented and tested </w:t>
      </w:r>
      <w:proofErr w:type="spellStart"/>
      <w:r w:rsidRPr="0079560B">
        <w:rPr>
          <w:rFonts w:ascii="Calibri" w:hAnsi="Calibri" w:cs="Calibri"/>
          <w:color w:val="000000" w:themeColor="text1"/>
          <w:sz w:val="22"/>
          <w:szCs w:val="22"/>
          <w:lang w:val="en-US"/>
        </w:rPr>
        <w:t>FIREFate</w:t>
      </w:r>
      <w:proofErr w:type="spellEnd"/>
      <w:r w:rsidRPr="0079560B">
        <w:rPr>
          <w:rFonts w:ascii="Calibri" w:hAnsi="Calibri" w:cs="Calibri"/>
          <w:color w:val="000000" w:themeColor="text1"/>
          <w:sz w:val="22"/>
          <w:szCs w:val="22"/>
          <w:lang w:val="en-US"/>
        </w:rPr>
        <w:t xml:space="preserve"> in Python and R (versions xx and xx) and designed it for use in </w:t>
      </w:r>
      <w:proofErr w:type="spellStart"/>
      <w:r w:rsidRPr="0079560B">
        <w:rPr>
          <w:rFonts w:ascii="Calibri" w:hAnsi="Calibri" w:cs="Calibri"/>
          <w:color w:val="000000" w:themeColor="text1"/>
          <w:sz w:val="22"/>
          <w:szCs w:val="22"/>
          <w:lang w:val="en-US"/>
        </w:rPr>
        <w:t>Jupyter</w:t>
      </w:r>
      <w:proofErr w:type="spellEnd"/>
      <w:r w:rsidRPr="0079560B">
        <w:rPr>
          <w:rFonts w:ascii="Calibri" w:hAnsi="Calibri" w:cs="Calibri"/>
          <w:color w:val="000000" w:themeColor="text1"/>
          <w:sz w:val="22"/>
          <w:szCs w:val="22"/>
          <w:lang w:val="en-US"/>
        </w:rPr>
        <w:t xml:space="preserve"> Notebook and RStudio environments. </w:t>
      </w:r>
      <w:proofErr w:type="spellStart"/>
      <w:r w:rsidRPr="0079560B">
        <w:rPr>
          <w:rFonts w:ascii="Calibri" w:hAnsi="Calibri" w:cs="Calibri"/>
          <w:color w:val="000000" w:themeColor="text1"/>
          <w:sz w:val="22"/>
          <w:szCs w:val="22"/>
          <w:lang w:val="en-US"/>
        </w:rPr>
        <w:t>FIREFate</w:t>
      </w:r>
      <w:proofErr w:type="spellEnd"/>
      <w:r w:rsidRPr="0079560B">
        <w:rPr>
          <w:rFonts w:ascii="Calibri" w:hAnsi="Calibri" w:cs="Calibri"/>
          <w:color w:val="000000" w:themeColor="text1"/>
          <w:sz w:val="22"/>
          <w:szCs w:val="22"/>
          <w:lang w:val="en-US"/>
        </w:rPr>
        <w:t xml:space="preserve"> code is open source and available on GitHub (https://github.com/sachha-naksha/FIREFate.git)</w:t>
      </w:r>
      <w:hyperlink r:id="rId7" w:history="1">
        <w:r w:rsidRPr="0079560B">
          <w:rPr>
            <w:rStyle w:val="Hyperlink"/>
            <w:rFonts w:ascii="Calibri" w:hAnsi="Calibri" w:cs="Calibri"/>
            <w:color w:val="000000" w:themeColor="text1"/>
            <w:sz w:val="22"/>
            <w:szCs w:val="22"/>
          </w:rPr>
          <w:t>https://github.com/xxx</w:t>
        </w:r>
      </w:hyperlink>
      <w:r w:rsidRPr="0079560B">
        <w:rPr>
          <w:rFonts w:ascii="Calibri" w:hAnsi="Calibri" w:cs="Calibri"/>
          <w:color w:val="000000" w:themeColor="text1"/>
          <w:sz w:val="22"/>
          <w:szCs w:val="22"/>
          <w:lang w:val="en-US"/>
        </w:rPr>
        <w:t>, along with detailed descriptions of functions and tutorials. Additionally, we provide a user-friendly web application (</w:t>
      </w:r>
      <w:hyperlink r:id="rId8" w:tgtFrame="_new" w:history="1">
        <w:r w:rsidRPr="0079560B">
          <w:rPr>
            <w:rStyle w:val="Hyperlink"/>
            <w:rFonts w:ascii="Calibri" w:hAnsi="Calibri" w:cs="Calibri"/>
            <w:color w:val="000000" w:themeColor="text1"/>
            <w:sz w:val="22"/>
            <w:szCs w:val="22"/>
            <w:lang w:val="en-US"/>
          </w:rPr>
          <w:t>https://pitt-csi.shinyapps.io/firefate/</w:t>
        </w:r>
      </w:hyperlink>
      <w:r w:rsidRPr="0079560B">
        <w:rPr>
          <w:rFonts w:ascii="Calibri" w:hAnsi="Calibri" w:cs="Calibri"/>
          <w:color w:val="000000" w:themeColor="text1"/>
          <w:sz w:val="22"/>
          <w:szCs w:val="22"/>
          <w:lang w:val="en-US"/>
        </w:rPr>
        <w:t xml:space="preserve">) that facilitates </w:t>
      </w:r>
      <w:proofErr w:type="spellStart"/>
      <w:r w:rsidRPr="0079560B">
        <w:rPr>
          <w:rFonts w:ascii="Calibri" w:hAnsi="Calibri" w:cs="Calibri"/>
          <w:color w:val="000000" w:themeColor="text1"/>
          <w:sz w:val="22"/>
          <w:szCs w:val="22"/>
          <w:lang w:val="en-US"/>
        </w:rPr>
        <w:t>FIREFate</w:t>
      </w:r>
      <w:proofErr w:type="spellEnd"/>
      <w:r w:rsidRPr="0079560B">
        <w:rPr>
          <w:rFonts w:ascii="Calibri" w:hAnsi="Calibri" w:cs="Calibri"/>
          <w:color w:val="000000" w:themeColor="text1"/>
          <w:sz w:val="22"/>
          <w:szCs w:val="22"/>
          <w:lang w:val="en-US"/>
        </w:rPr>
        <w:t xml:space="preserve"> analyses and enables interactive exploration of the results presented in this manuscript.</w:t>
      </w:r>
    </w:p>
    <w:p w14:paraId="5E579527" w14:textId="0EBD5A6E" w:rsidR="008515C4" w:rsidRPr="00346C1C" w:rsidRDefault="008515C4" w:rsidP="008515C4">
      <w:pPr>
        <w:pStyle w:val="Heading3"/>
        <w:jc w:val="both"/>
        <w:rPr>
          <w:rFonts w:asciiTheme="majorHAnsi" w:hAnsiTheme="majorHAnsi" w:cstheme="majorHAnsi"/>
          <w:b/>
          <w:bCs/>
          <w:color w:val="000000" w:themeColor="text1"/>
          <w:sz w:val="22"/>
          <w:szCs w:val="22"/>
          <w:lang w:val="en-US"/>
        </w:rPr>
      </w:pPr>
      <w:r w:rsidRPr="00346C1C">
        <w:rPr>
          <w:rFonts w:asciiTheme="majorHAnsi" w:hAnsiTheme="majorHAnsi" w:cstheme="majorHAnsi"/>
          <w:b/>
          <w:bCs/>
          <w:color w:val="000000" w:themeColor="text1"/>
          <w:sz w:val="22"/>
          <w:szCs w:val="22"/>
          <w:lang w:val="en-US"/>
        </w:rPr>
        <w:t>Inferring Cellular Programs Using interpretable machine learning method</w:t>
      </w:r>
    </w:p>
    <w:p w14:paraId="6101D9C0" w14:textId="77777777" w:rsidR="008515C4" w:rsidRPr="009658C3" w:rsidRDefault="008515C4" w:rsidP="008515C4">
      <w:pPr>
        <w:jc w:val="both"/>
        <w:rPr>
          <w:rFonts w:ascii="Calibri" w:hAnsi="Calibri" w:cs="Calibri"/>
          <w:color w:val="000000" w:themeColor="text1"/>
          <w:lang w:val="en-US"/>
        </w:rPr>
      </w:pPr>
      <w:r w:rsidRPr="009658C3">
        <w:rPr>
          <w:rFonts w:ascii="Calibri" w:hAnsi="Calibri" w:cs="Calibri"/>
          <w:color w:val="000000" w:themeColor="text1"/>
        </w:rPr>
        <w:t xml:space="preserve">In the first step, the cellular programs underlying cell states using the </w:t>
      </w:r>
      <w:proofErr w:type="spellStart"/>
      <w:r w:rsidRPr="009658C3">
        <w:rPr>
          <w:rFonts w:ascii="Calibri" w:hAnsi="Calibri" w:cs="Calibri"/>
          <w:color w:val="000000" w:themeColor="text1"/>
        </w:rPr>
        <w:t>scRNA</w:t>
      </w:r>
      <w:proofErr w:type="spellEnd"/>
      <w:r w:rsidRPr="009658C3">
        <w:rPr>
          <w:rFonts w:ascii="Calibri" w:hAnsi="Calibri" w:cs="Calibri"/>
          <w:color w:val="000000" w:themeColor="text1"/>
        </w:rPr>
        <w:t>-seq data</w:t>
      </w:r>
      <w:r>
        <w:rPr>
          <w:rFonts w:ascii="Calibri" w:hAnsi="Calibri" w:cs="Calibri"/>
          <w:color w:val="000000" w:themeColor="text1"/>
        </w:rPr>
        <w:t xml:space="preserve"> are identified</w:t>
      </w:r>
      <w:r w:rsidRPr="009658C3">
        <w:rPr>
          <w:rFonts w:ascii="Calibri" w:hAnsi="Calibri" w:cs="Calibri"/>
          <w:color w:val="000000" w:themeColor="text1"/>
        </w:rPr>
        <w:t xml:space="preserve">. To achieve this, </w:t>
      </w:r>
      <w:r>
        <w:rPr>
          <w:rFonts w:ascii="Calibri" w:hAnsi="Calibri" w:cs="Calibri"/>
          <w:color w:val="000000" w:themeColor="text1"/>
        </w:rPr>
        <w:t>we</w:t>
      </w:r>
      <w:r w:rsidRPr="009658C3">
        <w:rPr>
          <w:rFonts w:ascii="Calibri" w:hAnsi="Calibri" w:cs="Calibri"/>
          <w:color w:val="000000" w:themeColor="text1"/>
        </w:rPr>
        <w:t xml:space="preserve"> employ an interpretable machine learning method called SLIDE to identify the significant </w:t>
      </w:r>
      <w:r>
        <w:rPr>
          <w:rFonts w:ascii="Calibri" w:hAnsi="Calibri" w:cs="Calibri"/>
          <w:color w:val="000000" w:themeColor="text1"/>
        </w:rPr>
        <w:t xml:space="preserve">cellular programs </w:t>
      </w:r>
      <w:r w:rsidRPr="009658C3">
        <w:rPr>
          <w:rFonts w:ascii="Calibri" w:hAnsi="Calibri" w:cs="Calibri"/>
          <w:color w:val="000000" w:themeColor="text1"/>
        </w:rPr>
        <w:t>(</w:t>
      </w:r>
      <w:r>
        <w:rPr>
          <w:rFonts w:ascii="Calibri" w:hAnsi="Calibri" w:cs="Calibri"/>
          <w:color w:val="000000" w:themeColor="text1"/>
        </w:rPr>
        <w:t>CP</w:t>
      </w:r>
      <w:r w:rsidRPr="009658C3">
        <w:rPr>
          <w:rFonts w:ascii="Calibri" w:hAnsi="Calibri" w:cs="Calibri"/>
          <w:color w:val="000000" w:themeColor="text1"/>
        </w:rPr>
        <w:t xml:space="preserve">s) underlying outcomes of interest from high-dimensional </w:t>
      </w:r>
      <w:proofErr w:type="spellStart"/>
      <w:r w:rsidRPr="009658C3">
        <w:rPr>
          <w:rFonts w:ascii="Calibri" w:hAnsi="Calibri" w:cs="Calibri"/>
          <w:color w:val="000000" w:themeColor="text1"/>
        </w:rPr>
        <w:t>omic</w:t>
      </w:r>
      <w:proofErr w:type="spellEnd"/>
      <w:r w:rsidRPr="009658C3">
        <w:rPr>
          <w:rFonts w:ascii="Calibri" w:hAnsi="Calibri" w:cs="Calibri"/>
          <w:color w:val="000000" w:themeColor="text1"/>
        </w:rPr>
        <w:t xml:space="preserve"> datasets [ref to SLIDE]. This method is beneficial as it discovers necessary and sufficient </w:t>
      </w:r>
      <w:r>
        <w:rPr>
          <w:rFonts w:ascii="Calibri" w:hAnsi="Calibri" w:cs="Calibri"/>
          <w:color w:val="000000" w:themeColor="text1"/>
        </w:rPr>
        <w:t>CP</w:t>
      </w:r>
      <w:r w:rsidRPr="009658C3">
        <w:rPr>
          <w:rFonts w:ascii="Calibri" w:hAnsi="Calibri" w:cs="Calibri"/>
          <w:color w:val="000000" w:themeColor="text1"/>
        </w:rPr>
        <w:t xml:space="preserve">s to distinguish the states. SLIDE is a regression-based model that identifies significant </w:t>
      </w:r>
      <w:r>
        <w:rPr>
          <w:rFonts w:ascii="Calibri" w:hAnsi="Calibri" w:cs="Calibri"/>
          <w:color w:val="000000" w:themeColor="text1"/>
        </w:rPr>
        <w:t>CP</w:t>
      </w:r>
      <w:r w:rsidRPr="009658C3">
        <w:rPr>
          <w:rFonts w:ascii="Calibri" w:hAnsi="Calibri" w:cs="Calibri"/>
          <w:color w:val="000000" w:themeColor="text1"/>
        </w:rPr>
        <w:t>s (Z) capturing linear and nonlinear relationships between observed data (X) and the phenotype of interest (Y: in our case binary values regrading each state of interest):</w:t>
      </w:r>
    </w:p>
    <w:p w14:paraId="1F0B79C3" w14:textId="77777777" w:rsidR="008515C4" w:rsidRPr="009658C3" w:rsidRDefault="008515C4" w:rsidP="008515C4">
      <w:pPr>
        <w:jc w:val="both"/>
        <w:rPr>
          <w:rFonts w:ascii="Calibri" w:hAnsi="Calibri" w:cs="Calibri"/>
          <w:color w:val="000000" w:themeColor="text1"/>
          <w:lang w:val="en-US"/>
        </w:rPr>
      </w:pPr>
    </w:p>
    <w:p w14:paraId="164AED9B" w14:textId="77777777" w:rsidR="008515C4" w:rsidRPr="009658C3" w:rsidRDefault="00A10061" w:rsidP="008515C4">
      <w:pPr>
        <w:jc w:val="both"/>
        <w:rPr>
          <w:rFonts w:ascii="Calibri" w:hAnsi="Calibri" w:cs="Calibri"/>
          <w:color w:val="000000" w:themeColor="text1"/>
          <w:shd w:val="clear" w:color="auto" w:fill="FFFFFF"/>
        </w:rPr>
      </w:pPr>
      <m:oMath>
        <m:sSup>
          <m:sSupPr>
            <m:ctrlPr>
              <w:rPr>
                <w:rFonts w:ascii="Cambria Math" w:hAnsi="Cambria Math" w:cs="Calibri"/>
                <w:i/>
                <w:color w:val="000000" w:themeColor="text1"/>
                <w:shd w:val="clear" w:color="auto" w:fill="FFFFFF"/>
              </w:rPr>
            </m:ctrlPr>
          </m:sSupPr>
          <m:e>
            <m:r>
              <w:rPr>
                <w:rFonts w:ascii="Cambria Math" w:hAnsi="Cambria Math" w:cs="Calibri"/>
                <w:color w:val="000000" w:themeColor="text1"/>
                <w:shd w:val="clear" w:color="auto" w:fill="FFFFFF"/>
              </w:rPr>
              <m:t>X</m:t>
            </m:r>
          </m:e>
          <m:sup>
            <m:r>
              <w:rPr>
                <w:rFonts w:ascii="Cambria Math" w:hAnsi="Cambria Math" w:cs="Calibri"/>
                <w:color w:val="000000" w:themeColor="text1"/>
                <w:shd w:val="clear" w:color="auto" w:fill="FFFFFF"/>
              </w:rPr>
              <m:t>'</m:t>
            </m:r>
          </m:sup>
        </m:sSup>
        <m:r>
          <w:rPr>
            <w:rFonts w:ascii="Cambria Math" w:hAnsi="Cambria Math" w:cs="Calibri"/>
            <w:color w:val="000000" w:themeColor="text1"/>
            <w:shd w:val="clear" w:color="auto" w:fill="FFFFFF"/>
          </w:rPr>
          <m:t>=</m:t>
        </m:r>
        <m:r>
          <w:rPr>
            <w:rFonts w:ascii="Cambria Math" w:hAnsi="Cambria Math" w:cs="Calibri"/>
            <w:color w:val="000000" w:themeColor="text1"/>
            <w:shd w:val="clear" w:color="auto" w:fill="FFFFFF"/>
          </w:rPr>
          <m:t>AZ</m:t>
        </m:r>
        <m:r>
          <w:rPr>
            <w:rFonts w:ascii="Cambria Math" w:hAnsi="Cambria Math" w:cs="Calibri"/>
            <w:color w:val="000000" w:themeColor="text1"/>
            <w:shd w:val="clear" w:color="auto" w:fill="FFFFFF"/>
          </w:rPr>
          <m:t>+</m:t>
        </m:r>
        <m:r>
          <w:rPr>
            <w:rFonts w:ascii="Cambria Math" w:hAnsi="Cambria Math" w:cs="Calibri"/>
            <w:color w:val="000000" w:themeColor="text1"/>
            <w:shd w:val="clear" w:color="auto" w:fill="FFFFFF"/>
          </w:rPr>
          <m:t>E</m:t>
        </m:r>
      </m:oMath>
      <w:r w:rsidR="008515C4" w:rsidRPr="009658C3">
        <w:rPr>
          <w:rFonts w:ascii="Calibri" w:hAnsi="Calibri" w:cs="Calibri"/>
          <w:color w:val="000000" w:themeColor="text1"/>
          <w:shd w:val="clear" w:color="auto" w:fill="FFFFFF"/>
        </w:rPr>
        <w:t xml:space="preserve">                                                     (1)</w:t>
      </w:r>
    </w:p>
    <w:p w14:paraId="538A1CE3" w14:textId="77777777" w:rsidR="008515C4" w:rsidRPr="009658C3" w:rsidRDefault="008515C4" w:rsidP="008515C4">
      <w:pPr>
        <w:jc w:val="both"/>
        <w:rPr>
          <w:rFonts w:ascii="Calibri" w:hAnsi="Calibri" w:cs="Calibri"/>
          <w:color w:val="000000" w:themeColor="text1"/>
          <w:shd w:val="clear" w:color="auto" w:fill="FFFFFF"/>
        </w:rPr>
      </w:pPr>
    </w:p>
    <w:p w14:paraId="7483188A" w14:textId="77777777" w:rsidR="008515C4" w:rsidRPr="009658C3" w:rsidRDefault="008515C4" w:rsidP="008515C4">
      <w:pPr>
        <w:jc w:val="both"/>
        <w:rPr>
          <w:rFonts w:ascii="Calibri" w:hAnsi="Calibri" w:cs="Calibri"/>
          <w:color w:val="000000" w:themeColor="text1"/>
          <w:shd w:val="clear" w:color="auto" w:fill="FFFFFF"/>
          <w:lang w:val="en-US"/>
        </w:rPr>
      </w:pPr>
      <w:r w:rsidRPr="009658C3">
        <w:rPr>
          <w:rFonts w:ascii="Calibri" w:hAnsi="Calibri" w:cs="Calibri"/>
          <w:color w:val="000000" w:themeColor="text1"/>
          <w:shd w:val="clear" w:color="auto" w:fill="FFFFFF"/>
          <w:lang w:val="en-US"/>
        </w:rPr>
        <w:t xml:space="preserve">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X</m:t>
            </m:r>
          </m:e>
          <m:sub>
            <m:r>
              <w:rPr>
                <w:rFonts w:ascii="Cambria Math" w:hAnsi="Cambria Math" w:cs="Calibri"/>
                <w:color w:val="000000" w:themeColor="text1"/>
                <w:shd w:val="clear" w:color="auto" w:fill="FFFFFF"/>
              </w:rPr>
              <m:t>n×p</m:t>
            </m:r>
          </m:sub>
        </m:sSub>
      </m:oMath>
      <w:r w:rsidRPr="009658C3">
        <w:rPr>
          <w:rFonts w:ascii="Calibri" w:hAnsi="Calibri" w:cs="Calibri"/>
          <w:color w:val="000000" w:themeColor="text1"/>
          <w:shd w:val="clear" w:color="auto" w:fill="FFFFFF"/>
          <w:lang w:val="en-US"/>
        </w:rPr>
        <w:t xml:space="preserve"> is sc-RNA seq expression data with </w:t>
      </w:r>
      <m:oMath>
        <m:r>
          <w:rPr>
            <w:rFonts w:ascii="Cambria Math" w:hAnsi="Cambria Math" w:cs="Calibri"/>
            <w:color w:val="000000" w:themeColor="text1"/>
            <w:shd w:val="clear" w:color="auto" w:fill="FFFFFF"/>
          </w:rPr>
          <m:t>n</m:t>
        </m:r>
      </m:oMath>
      <w:r w:rsidRPr="009658C3">
        <w:rPr>
          <w:rFonts w:ascii="Calibri" w:hAnsi="Calibri" w:cs="Calibri"/>
          <w:color w:val="000000" w:themeColor="text1"/>
          <w:shd w:val="clear" w:color="auto" w:fill="FFFFFF"/>
          <w:lang w:val="en-US"/>
        </w:rPr>
        <w:t xml:space="preserve"> cells and </w:t>
      </w:r>
      <m:oMath>
        <m:r>
          <w:rPr>
            <w:rFonts w:ascii="Cambria Math" w:hAnsi="Cambria Math" w:cs="Calibri"/>
            <w:color w:val="000000" w:themeColor="text1"/>
            <w:shd w:val="clear" w:color="auto" w:fill="FFFFFF"/>
          </w:rPr>
          <m:t>p</m:t>
        </m:r>
      </m:oMath>
      <w:r w:rsidRPr="009658C3">
        <w:rPr>
          <w:rFonts w:ascii="Calibri" w:hAnsi="Calibri" w:cs="Calibri"/>
          <w:color w:val="000000" w:themeColor="text1"/>
          <w:shd w:val="clear" w:color="auto" w:fill="FFFFFF"/>
          <w:lang w:val="en-US"/>
        </w:rPr>
        <w:t xml:space="preserve"> genes.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X</m:t>
            </m:r>
          </m:e>
          <m:sub>
            <m:r>
              <w:rPr>
                <w:rFonts w:ascii="Cambria Math" w:hAnsi="Cambria Math" w:cs="Calibri"/>
                <w:color w:val="000000" w:themeColor="text1"/>
                <w:shd w:val="clear" w:color="auto" w:fill="FFFFFF"/>
              </w:rPr>
              <m:t>n×p</m:t>
            </m:r>
          </m:sub>
        </m:sSub>
      </m:oMath>
      <w:r w:rsidRPr="009658C3">
        <w:rPr>
          <w:rFonts w:ascii="Calibri" w:hAnsi="Calibri" w:cs="Calibri"/>
          <w:color w:val="000000" w:themeColor="text1"/>
          <w:shd w:val="clear" w:color="auto" w:fill="FFFFFF"/>
          <w:lang w:val="en-US"/>
        </w:rPr>
        <w:t xml:space="preserve"> is decomposed into two factors: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A</m:t>
            </m:r>
          </m:e>
          <m:sub>
            <m:r>
              <w:rPr>
                <w:rFonts w:ascii="Cambria Math" w:hAnsi="Cambria Math" w:cs="Calibri"/>
                <w:color w:val="000000" w:themeColor="text1"/>
                <w:shd w:val="clear" w:color="auto" w:fill="FFFFFF"/>
              </w:rPr>
              <m:t>p×K</m:t>
            </m:r>
          </m:sub>
        </m:sSub>
      </m:oMath>
      <w:r w:rsidRPr="009658C3">
        <w:rPr>
          <w:rFonts w:ascii="Calibri" w:hAnsi="Calibri" w:cs="Calibri"/>
          <w:color w:val="000000" w:themeColor="text1"/>
          <w:shd w:val="clear" w:color="auto" w:fill="FFFFFF"/>
          <w:lang w:val="en-US"/>
        </w:rPr>
        <w:t> and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K×n</m:t>
            </m:r>
          </m:sub>
        </m:sSub>
      </m:oMath>
      <w:r w:rsidRPr="009658C3">
        <w:rPr>
          <w:rFonts w:ascii="Calibri" w:hAnsi="Calibri" w:cs="Calibri"/>
          <w:color w:val="000000" w:themeColor="text1"/>
          <w:shd w:val="clear" w:color="auto" w:fill="FFFFFF"/>
          <w:lang w:val="en-US"/>
        </w:rPr>
        <w:t>, with an error term </w:t>
      </w:r>
      <m:oMath>
        <m:r>
          <w:rPr>
            <w:rFonts w:ascii="Cambria Math" w:hAnsi="Cambria Math" w:cs="Calibri"/>
            <w:color w:val="000000" w:themeColor="text1"/>
            <w:shd w:val="clear" w:color="auto" w:fill="FFFFFF"/>
          </w:rPr>
          <m:t>E</m:t>
        </m:r>
      </m:oMath>
      <w:r w:rsidRPr="009658C3">
        <w:rPr>
          <w:rFonts w:ascii="Calibri" w:hAnsi="Calibri" w:cs="Calibri"/>
          <w:color w:val="000000" w:themeColor="text1"/>
          <w:shd w:val="clear" w:color="auto" w:fill="FFFFFF"/>
          <w:lang w:val="en-US"/>
        </w:rPr>
        <w:t>. </w:t>
      </w:r>
      <m:oMath>
        <m:r>
          <w:rPr>
            <w:rFonts w:ascii="Cambria Math" w:hAnsi="Cambria Math" w:cs="Calibri"/>
            <w:color w:val="000000" w:themeColor="text1"/>
            <w:shd w:val="clear" w:color="auto" w:fill="FFFFFF"/>
          </w:rPr>
          <m:t>A</m:t>
        </m:r>
      </m:oMath>
      <w:r w:rsidRPr="009658C3">
        <w:rPr>
          <w:rFonts w:ascii="Calibri" w:hAnsi="Calibri" w:cs="Calibri"/>
          <w:color w:val="000000" w:themeColor="text1"/>
          <w:shd w:val="clear" w:color="auto" w:fill="FFFFFF"/>
          <w:lang w:val="en-US"/>
        </w:rPr>
        <w:t xml:space="preserve"> is the allocation matrix and represents the membership of each feature to a </w:t>
      </w:r>
      <w:r>
        <w:rPr>
          <w:rFonts w:ascii="Calibri" w:hAnsi="Calibri" w:cs="Calibri"/>
          <w:color w:val="000000" w:themeColor="text1"/>
          <w:shd w:val="clear" w:color="auto" w:fill="FFFFFF"/>
          <w:lang w:val="en-US"/>
        </w:rPr>
        <w:t>cellular program</w:t>
      </w:r>
      <w:r w:rsidRPr="009658C3">
        <w:rPr>
          <w:rFonts w:ascii="Calibri" w:hAnsi="Calibri" w:cs="Calibri"/>
          <w:color w:val="000000" w:themeColor="text1"/>
          <w:shd w:val="clear" w:color="auto" w:fill="FFFFFF"/>
          <w:lang w:val="en-US"/>
        </w:rPr>
        <w:t>. </w:t>
      </w:r>
      <m:oMath>
        <m:r>
          <w:rPr>
            <w:rFonts w:ascii="Cambria Math" w:hAnsi="Cambria Math" w:cs="Calibri"/>
            <w:color w:val="000000" w:themeColor="text1"/>
            <w:shd w:val="clear" w:color="auto" w:fill="FFFFFF"/>
          </w:rPr>
          <m:t>Z</m:t>
        </m:r>
      </m:oMath>
      <w:r w:rsidRPr="009658C3">
        <w:rPr>
          <w:rFonts w:ascii="Calibri" w:hAnsi="Calibri" w:cs="Calibri"/>
          <w:color w:val="000000" w:themeColor="text1"/>
          <w:shd w:val="clear" w:color="auto" w:fill="FFFFFF"/>
          <w:lang w:val="en-US"/>
        </w:rPr>
        <w:t xml:space="preserve"> is the </w:t>
      </w:r>
      <w:r>
        <w:rPr>
          <w:rFonts w:ascii="Calibri" w:hAnsi="Calibri" w:cs="Calibri"/>
          <w:color w:val="000000" w:themeColor="text1"/>
          <w:shd w:val="clear" w:color="auto" w:fill="FFFFFF"/>
          <w:lang w:val="en-US"/>
        </w:rPr>
        <w:t>CP</w:t>
      </w:r>
      <w:r w:rsidRPr="009658C3">
        <w:rPr>
          <w:rFonts w:ascii="Calibri" w:hAnsi="Calibri" w:cs="Calibri"/>
          <w:color w:val="000000" w:themeColor="text1"/>
          <w:shd w:val="clear" w:color="auto" w:fill="FFFFFF"/>
          <w:lang w:val="en-US"/>
        </w:rPr>
        <w:t xml:space="preserve"> matrix and represents a lower-dimensional representation (</w:t>
      </w:r>
      <m:oMath>
        <m:r>
          <w:rPr>
            <w:rFonts w:ascii="Cambria Math" w:hAnsi="Cambria Math" w:cs="Calibri"/>
            <w:color w:val="000000" w:themeColor="text1"/>
            <w:shd w:val="clear" w:color="auto" w:fill="FFFFFF"/>
          </w:rPr>
          <m:t>K &lt;p</m:t>
        </m:r>
      </m:oMath>
      <w:r w:rsidRPr="009658C3">
        <w:rPr>
          <w:rFonts w:ascii="Calibri" w:hAnsi="Calibri" w:cs="Calibri"/>
          <w:color w:val="000000" w:themeColor="text1"/>
          <w:shd w:val="clear" w:color="auto" w:fill="FFFFFF"/>
          <w:lang w:val="en-US"/>
        </w:rPr>
        <w:t xml:space="preserve">) of the input data in latent space. Then using a regression model which applied on </w:t>
      </w:r>
      <w:r>
        <w:rPr>
          <w:rFonts w:ascii="Calibri" w:hAnsi="Calibri" w:cs="Calibri"/>
          <w:color w:val="000000" w:themeColor="text1"/>
          <w:shd w:val="clear" w:color="auto" w:fill="FFFFFF"/>
          <w:lang w:val="en-US"/>
        </w:rPr>
        <w:t>CP</w:t>
      </w:r>
      <w:r w:rsidRPr="009658C3">
        <w:rPr>
          <w:rFonts w:ascii="Calibri" w:hAnsi="Calibri" w:cs="Calibri"/>
          <w:color w:val="000000" w:themeColor="text1"/>
          <w:shd w:val="clear" w:color="auto" w:fill="FFFFFF"/>
          <w:lang w:val="en-US"/>
        </w:rPr>
        <w:t xml:space="preserve">s, the linear part of the model is generated which represents the significant standalone </w:t>
      </w:r>
      <w:r>
        <w:rPr>
          <w:rFonts w:ascii="Calibri" w:hAnsi="Calibri" w:cs="Calibri"/>
          <w:color w:val="000000" w:themeColor="text1"/>
          <w:shd w:val="clear" w:color="auto" w:fill="FFFFFF"/>
          <w:lang w:val="en-US"/>
        </w:rPr>
        <w:t>CP</w:t>
      </w:r>
      <w:r w:rsidRPr="009658C3">
        <w:rPr>
          <w:rFonts w:ascii="Calibri" w:hAnsi="Calibri" w:cs="Calibri"/>
          <w:color w:val="000000" w:themeColor="text1"/>
          <w:shd w:val="clear" w:color="auto" w:fill="FFFFFF"/>
          <w:lang w:val="en-US"/>
        </w:rPr>
        <w:t>s:</w:t>
      </w:r>
    </w:p>
    <w:p w14:paraId="64514B6F" w14:textId="77777777" w:rsidR="008515C4" w:rsidRPr="009658C3" w:rsidRDefault="008515C4" w:rsidP="008515C4">
      <w:pPr>
        <w:jc w:val="both"/>
        <w:rPr>
          <w:rFonts w:ascii="Calibri" w:hAnsi="Calibri" w:cs="Calibri"/>
          <w:color w:val="000000" w:themeColor="text1"/>
          <w:shd w:val="clear" w:color="auto" w:fill="FFFFFF"/>
        </w:rPr>
      </w:pPr>
    </w:p>
    <w:p w14:paraId="1DC7D158" w14:textId="77777777" w:rsidR="008515C4" w:rsidRPr="009658C3" w:rsidRDefault="008515C4" w:rsidP="008515C4">
      <w:pPr>
        <w:jc w:val="both"/>
        <w:rPr>
          <w:rFonts w:ascii="Calibri" w:hAnsi="Calibri" w:cs="Calibri"/>
          <w:color w:val="000000" w:themeColor="text1"/>
          <w:shd w:val="clear" w:color="auto" w:fill="FFFFFF"/>
        </w:rPr>
      </w:pPr>
      <m:oMath>
        <m:r>
          <w:rPr>
            <w:rFonts w:ascii="Cambria Math" w:hAnsi="Cambria Math" w:cs="Calibri"/>
            <w:color w:val="000000" w:themeColor="text1"/>
            <w:shd w:val="clear" w:color="auto" w:fill="FFFFFF"/>
          </w:rPr>
          <m:t>LP=</m:t>
        </m:r>
        <m:nary>
          <m:naryPr>
            <m:chr m:val="∑"/>
            <m:limLoc m:val="subSup"/>
            <m:supHide m:val="1"/>
            <m:ctrlPr>
              <w:rPr>
                <w:rFonts w:ascii="Cambria Math" w:hAnsi="Cambria Math" w:cs="Calibri"/>
                <w:i/>
                <w:color w:val="000000" w:themeColor="text1"/>
                <w:shd w:val="clear" w:color="auto" w:fill="FFFFFF"/>
              </w:rPr>
            </m:ctrlPr>
          </m:naryPr>
          <m:sub>
            <m:r>
              <w:rPr>
                <w:rFonts w:ascii="Cambria Math" w:hAnsi="Cambria Math" w:cs="Calibri"/>
                <w:color w:val="000000" w:themeColor="text1"/>
                <w:shd w:val="clear" w:color="auto" w:fill="FFFFFF"/>
              </w:rPr>
              <m:t>j∈</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S</m:t>
                </m:r>
              </m:e>
              <m:sub>
                <m:r>
                  <w:rPr>
                    <w:rFonts w:ascii="Cambria Math" w:hAnsi="Cambria Math" w:cs="Calibri"/>
                    <w:color w:val="000000" w:themeColor="text1"/>
                    <w:shd w:val="clear" w:color="auto" w:fill="FFFFFF"/>
                  </w:rPr>
                  <m:t>1</m:t>
                </m:r>
              </m:sub>
            </m:sSub>
          </m:sub>
          <m:sup/>
          <m:e>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β</m:t>
                </m:r>
              </m:e>
              <m:sub>
                <m:r>
                  <w:rPr>
                    <w:rFonts w:ascii="Cambria Math" w:hAnsi="Cambria Math" w:cs="Calibri"/>
                    <w:color w:val="000000" w:themeColor="text1"/>
                    <w:shd w:val="clear" w:color="auto" w:fill="FFFFFF"/>
                  </w:rPr>
                  <m:t>j</m:t>
                </m:r>
              </m:sub>
            </m:sSub>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j</m:t>
                </m:r>
              </m:sub>
            </m:sSub>
          </m:e>
        </m:nary>
        <m:r>
          <w:rPr>
            <w:rFonts w:ascii="Cambria Math" w:hAnsi="Cambria Math" w:cs="Calibri"/>
            <w:color w:val="000000" w:themeColor="text1"/>
            <w:shd w:val="clear" w:color="auto" w:fill="FFFFFF"/>
          </w:rPr>
          <m:t>+</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ϵ</m:t>
            </m:r>
          </m:e>
          <m:sub>
            <m:r>
              <w:rPr>
                <w:rFonts w:ascii="Cambria Math" w:hAnsi="Cambria Math" w:cs="Calibri"/>
                <w:color w:val="000000" w:themeColor="text1"/>
                <w:shd w:val="clear" w:color="auto" w:fill="FFFFFF"/>
              </w:rPr>
              <m:t>1</m:t>
            </m:r>
          </m:sub>
        </m:sSub>
      </m:oMath>
      <w:r w:rsidRPr="009658C3">
        <w:rPr>
          <w:rFonts w:ascii="Calibri" w:hAnsi="Calibri" w:cs="Calibri"/>
          <w:color w:val="000000" w:themeColor="text1"/>
          <w:shd w:val="clear" w:color="auto" w:fill="FFFFFF"/>
        </w:rPr>
        <w:t xml:space="preserve">                                          (2)</w:t>
      </w:r>
    </w:p>
    <w:p w14:paraId="15B6E5A7" w14:textId="77777777" w:rsidR="008515C4" w:rsidRPr="009658C3" w:rsidRDefault="008515C4" w:rsidP="008515C4">
      <w:pPr>
        <w:jc w:val="both"/>
        <w:rPr>
          <w:rFonts w:ascii="Calibri" w:hAnsi="Calibri" w:cs="Calibri"/>
          <w:color w:val="000000" w:themeColor="text1"/>
          <w:shd w:val="clear" w:color="auto" w:fill="FFFFFF"/>
        </w:rPr>
      </w:pPr>
    </w:p>
    <w:p w14:paraId="2494F27D" w14:textId="77777777" w:rsidR="008515C4" w:rsidRPr="009658C3" w:rsidRDefault="008515C4" w:rsidP="008515C4">
      <w:pPr>
        <w:jc w:val="both"/>
        <w:rPr>
          <w:rFonts w:ascii="Calibri" w:hAnsi="Calibri" w:cs="Calibri"/>
          <w:color w:val="000000" w:themeColor="text1"/>
          <w:shd w:val="clear" w:color="auto" w:fill="FFFFFF"/>
          <w:lang w:val="en-US"/>
        </w:rPr>
      </w:pPr>
      <w:r w:rsidRPr="009658C3">
        <w:rPr>
          <w:rFonts w:ascii="Calibri" w:hAnsi="Calibri" w:cs="Calibri"/>
          <w:color w:val="000000" w:themeColor="text1"/>
          <w:shd w:val="clear" w:color="auto" w:fill="FFFFFF"/>
          <w:lang w:val="en-US"/>
        </w:rPr>
        <w:t>Here </w:t>
      </w:r>
      <m:oMath>
        <m:r>
          <w:rPr>
            <w:rFonts w:ascii="Cambria Math" w:hAnsi="Cambria Math" w:cs="Calibri"/>
            <w:color w:val="000000" w:themeColor="text1"/>
            <w:shd w:val="clear" w:color="auto" w:fill="FFFFFF"/>
          </w:rPr>
          <m:t>LP</m:t>
        </m:r>
      </m:oMath>
      <w:r w:rsidRPr="009658C3">
        <w:rPr>
          <w:rFonts w:ascii="Calibri" w:hAnsi="Calibri" w:cs="Calibri"/>
          <w:color w:val="000000" w:themeColor="text1"/>
          <w:shd w:val="clear" w:color="auto" w:fill="FFFFFF"/>
          <w:lang w:val="en-US"/>
        </w:rPr>
        <w:t xml:space="preserve"> is the linear part of the model, and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S</m:t>
            </m:r>
          </m:e>
          <m:sub>
            <m:r>
              <w:rPr>
                <w:rFonts w:ascii="Cambria Math" w:hAnsi="Cambria Math" w:cs="Calibri"/>
                <w:color w:val="000000" w:themeColor="text1"/>
                <w:shd w:val="clear" w:color="auto" w:fill="FFFFFF"/>
              </w:rPr>
              <m:t>1</m:t>
            </m:r>
          </m:sub>
        </m:sSub>
      </m:oMath>
      <w:r w:rsidRPr="009658C3">
        <w:rPr>
          <w:rFonts w:ascii="Calibri" w:hAnsi="Calibri" w:cs="Calibri"/>
          <w:color w:val="000000" w:themeColor="text1"/>
          <w:shd w:val="clear" w:color="auto" w:fill="FFFFFF"/>
          <w:lang w:val="en-US"/>
        </w:rPr>
        <w:t xml:space="preserve"> is the set of significant standalone </w:t>
      </w:r>
      <w:r>
        <w:rPr>
          <w:rFonts w:ascii="Calibri" w:hAnsi="Calibri" w:cs="Calibri"/>
          <w:color w:val="000000" w:themeColor="text1"/>
          <w:shd w:val="clear" w:color="auto" w:fill="FFFFFF"/>
          <w:lang w:val="en-US"/>
        </w:rPr>
        <w:t>CP</w:t>
      </w:r>
      <w:r w:rsidRPr="009658C3">
        <w:rPr>
          <w:rFonts w:ascii="Calibri" w:hAnsi="Calibri" w:cs="Calibri"/>
          <w:color w:val="000000" w:themeColor="text1"/>
          <w:shd w:val="clear" w:color="auto" w:fill="FFFFFF"/>
          <w:lang w:val="en-US"/>
        </w:rPr>
        <w:t xml:space="preserve">s. Then incorporating the nonlinear relationships, the method identifies significant interacting </w:t>
      </w:r>
      <w:r>
        <w:rPr>
          <w:rFonts w:ascii="Calibri" w:hAnsi="Calibri" w:cs="Calibri"/>
          <w:color w:val="000000" w:themeColor="text1"/>
          <w:shd w:val="clear" w:color="auto" w:fill="FFFFFF"/>
          <w:lang w:val="en-US"/>
        </w:rPr>
        <w:t>CP</w:t>
      </w:r>
      <w:r w:rsidRPr="009658C3">
        <w:rPr>
          <w:rFonts w:ascii="Calibri" w:hAnsi="Calibri" w:cs="Calibri"/>
          <w:color w:val="000000" w:themeColor="text1"/>
          <w:shd w:val="clear" w:color="auto" w:fill="FFFFFF"/>
          <w:lang w:val="en-US"/>
        </w:rPr>
        <w:t>s:</w:t>
      </w:r>
    </w:p>
    <w:p w14:paraId="01276F72" w14:textId="77777777" w:rsidR="008515C4" w:rsidRPr="009658C3" w:rsidRDefault="008515C4" w:rsidP="008515C4">
      <w:pPr>
        <w:jc w:val="both"/>
        <w:rPr>
          <w:rFonts w:ascii="Calibri" w:hAnsi="Calibri" w:cs="Calibri"/>
          <w:color w:val="000000" w:themeColor="text1"/>
          <w:shd w:val="clear" w:color="auto" w:fill="FFFFFF"/>
        </w:rPr>
      </w:pPr>
    </w:p>
    <w:p w14:paraId="60EB0735" w14:textId="77777777" w:rsidR="008515C4" w:rsidRPr="009658C3" w:rsidRDefault="00A10061" w:rsidP="008515C4">
      <w:pPr>
        <w:jc w:val="both"/>
        <w:rPr>
          <w:rFonts w:ascii="Calibri" w:hAnsi="Calibri" w:cs="Calibri"/>
          <w:color w:val="000000" w:themeColor="text1"/>
          <w:shd w:val="clear" w:color="auto" w:fill="FFFFFF"/>
          <w:lang w:val="en-US"/>
        </w:rPr>
      </w:pP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NP</m:t>
            </m:r>
          </m:e>
          <m:sub>
            <m:r>
              <w:rPr>
                <w:rFonts w:ascii="Cambria Math" w:hAnsi="Cambria Math" w:cs="Calibri"/>
                <w:color w:val="000000" w:themeColor="text1"/>
                <w:shd w:val="clear" w:color="auto" w:fill="FFFFFF"/>
              </w:rPr>
              <m:t>j</m:t>
            </m:r>
          </m:sub>
        </m:sSub>
        <m:r>
          <w:rPr>
            <w:rFonts w:ascii="Cambria Math" w:hAnsi="Cambria Math" w:cs="Calibri"/>
            <w:color w:val="000000" w:themeColor="text1"/>
            <w:shd w:val="clear" w:color="auto" w:fill="FFFFFF"/>
          </w:rPr>
          <m:t>=</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β</m:t>
            </m:r>
          </m:e>
          <m:sub>
            <m:r>
              <w:rPr>
                <w:rFonts w:ascii="Cambria Math" w:hAnsi="Cambria Math" w:cs="Calibri"/>
                <w:color w:val="000000" w:themeColor="text1"/>
                <w:shd w:val="clear" w:color="auto" w:fill="FFFFFF"/>
              </w:rPr>
              <m:t>j</m:t>
            </m:r>
          </m:sub>
        </m:sSub>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j</m:t>
            </m:r>
          </m:sub>
        </m:sSub>
        <m:r>
          <w:rPr>
            <w:rFonts w:ascii="Cambria Math" w:hAnsi="Cambria Math" w:cs="Calibri"/>
            <w:color w:val="000000" w:themeColor="text1"/>
            <w:shd w:val="clear" w:color="auto" w:fill="FFFFFF"/>
          </w:rPr>
          <m:t xml:space="preserve">+ </m:t>
        </m:r>
        <m:nary>
          <m:naryPr>
            <m:chr m:val="∑"/>
            <m:limLoc m:val="subSup"/>
            <m:supHide m:val="1"/>
            <m:ctrlPr>
              <w:rPr>
                <w:rFonts w:ascii="Cambria Math" w:hAnsi="Cambria Math" w:cs="Calibri"/>
                <w:i/>
                <w:color w:val="000000" w:themeColor="text1"/>
                <w:shd w:val="clear" w:color="auto" w:fill="FFFFFF"/>
              </w:rPr>
            </m:ctrlPr>
          </m:naryPr>
          <m:sub>
            <m:r>
              <w:rPr>
                <w:rFonts w:ascii="Cambria Math" w:hAnsi="Cambria Math" w:cs="Calibri"/>
                <w:color w:val="000000" w:themeColor="text1"/>
                <w:shd w:val="clear" w:color="auto" w:fill="FFFFFF"/>
              </w:rPr>
              <m:t>i</m:t>
            </m:r>
          </m:sub>
          <m:sup/>
          <m:e>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C</m:t>
                </m:r>
              </m:e>
              <m:sub>
                <m:r>
                  <w:rPr>
                    <w:rFonts w:ascii="Cambria Math" w:hAnsi="Cambria Math" w:cs="Calibri"/>
                    <w:color w:val="000000" w:themeColor="text1"/>
                    <w:shd w:val="clear" w:color="auto" w:fill="FFFFFF"/>
                  </w:rPr>
                  <m:t>ij</m:t>
                </m:r>
              </m:sub>
            </m:sSub>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i</m:t>
                </m:r>
              </m:sub>
            </m:sSub>
          </m:e>
        </m:nary>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m:t>
            </m:r>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j</m:t>
            </m:r>
          </m:sub>
        </m:sSub>
        <m:r>
          <w:rPr>
            <w:rFonts w:ascii="Cambria Math" w:hAnsi="Cambria Math" w:cs="Calibri"/>
            <w:color w:val="000000" w:themeColor="text1"/>
            <w:shd w:val="clear" w:color="auto" w:fill="FFFFFF"/>
          </w:rPr>
          <m:t>+</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ϵ</m:t>
            </m:r>
          </m:e>
          <m:sub>
            <m:r>
              <w:rPr>
                <w:rFonts w:ascii="Cambria Math" w:hAnsi="Cambria Math" w:cs="Calibri"/>
                <w:color w:val="000000" w:themeColor="text1"/>
                <w:shd w:val="clear" w:color="auto" w:fill="FFFFFF"/>
              </w:rPr>
              <m:t>2</m:t>
            </m:r>
          </m:sub>
        </m:sSub>
        <m:r>
          <w:rPr>
            <w:rFonts w:ascii="Cambria Math" w:hAnsi="Cambria Math" w:cs="Calibri"/>
            <w:color w:val="000000" w:themeColor="text1"/>
            <w:shd w:val="clear" w:color="auto" w:fill="FFFFFF"/>
          </w:rPr>
          <m:t xml:space="preserve"> </m:t>
        </m:r>
      </m:oMath>
      <w:r w:rsidR="008515C4" w:rsidRPr="009658C3">
        <w:rPr>
          <w:rFonts w:ascii="Calibri" w:hAnsi="Calibri" w:cs="Calibri"/>
          <w:color w:val="000000" w:themeColor="text1"/>
          <w:shd w:val="clear" w:color="auto" w:fill="FFFFFF"/>
          <w:lang w:val="en-US"/>
        </w:rPr>
        <w:t xml:space="preserve">where </w:t>
      </w:r>
      <m:oMath>
        <m:r>
          <w:rPr>
            <w:rFonts w:ascii="Cambria Math" w:hAnsi="Cambria Math" w:cs="Calibri"/>
            <w:color w:val="000000" w:themeColor="text1"/>
            <w:shd w:val="clear" w:color="auto" w:fill="FFFFFF"/>
          </w:rPr>
          <m:t>i</m:t>
        </m:r>
        <m:r>
          <w:rPr>
            <w:rFonts w:ascii="Cambria Math" w:hAnsi="Cambria Math" w:cs="Calibri"/>
            <w:color w:val="000000" w:themeColor="text1"/>
            <w:shd w:val="clear" w:color="auto" w:fill="FFFFFF"/>
          </w:rPr>
          <m:t>≠</m:t>
        </m:r>
        <m:r>
          <w:rPr>
            <w:rFonts w:ascii="Cambria Math" w:hAnsi="Cambria Math" w:cs="Calibri"/>
            <w:color w:val="000000" w:themeColor="text1"/>
            <w:shd w:val="clear" w:color="auto" w:fill="FFFFFF"/>
          </w:rPr>
          <m:t>j</m:t>
        </m:r>
        <m:r>
          <w:rPr>
            <w:rFonts w:ascii="Cambria Math" w:hAnsi="Cambria Math" w:cs="Calibri"/>
            <w:color w:val="000000" w:themeColor="text1"/>
            <w:shd w:val="clear" w:color="auto" w:fill="FFFFFF"/>
          </w:rPr>
          <m:t xml:space="preserve">, </m:t>
        </m:r>
        <m:r>
          <w:rPr>
            <w:rFonts w:ascii="Cambria Math" w:hAnsi="Cambria Math" w:cs="Calibri"/>
            <w:color w:val="000000" w:themeColor="text1"/>
            <w:shd w:val="clear" w:color="auto" w:fill="FFFFFF"/>
          </w:rPr>
          <m:t>j</m:t>
        </m:r>
        <m:r>
          <w:rPr>
            <w:rFonts w:ascii="Cambria Math" w:hAnsi="Cambria Math" w:cs="Calibri"/>
            <w:color w:val="000000" w:themeColor="text1"/>
            <w:shd w:val="clear" w:color="auto" w:fill="FFFFFF"/>
          </w:rPr>
          <m:t>∈</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S</m:t>
            </m:r>
          </m:e>
          <m:sub>
            <m:r>
              <w:rPr>
                <w:rFonts w:ascii="Cambria Math" w:hAnsi="Cambria Math" w:cs="Calibri"/>
                <w:color w:val="000000" w:themeColor="text1"/>
                <w:shd w:val="clear" w:color="auto" w:fill="FFFFFF"/>
              </w:rPr>
              <m:t>1</m:t>
            </m:r>
          </m:sub>
        </m:sSub>
        <m:r>
          <w:rPr>
            <w:rFonts w:ascii="Cambria Math" w:hAnsi="Cambria Math" w:cs="Calibri"/>
            <w:color w:val="000000" w:themeColor="text1"/>
            <w:shd w:val="clear" w:color="auto" w:fill="FFFFFF"/>
          </w:rPr>
          <m:t xml:space="preserve">, </m:t>
        </m:r>
        <m:r>
          <w:rPr>
            <w:rFonts w:ascii="Cambria Math" w:hAnsi="Cambria Math" w:cs="Calibri"/>
            <w:color w:val="000000" w:themeColor="text1"/>
            <w:shd w:val="clear" w:color="auto" w:fill="FFFFFF"/>
          </w:rPr>
          <m:t>i</m:t>
        </m:r>
        <m:r>
          <w:rPr>
            <w:rFonts w:ascii="Cambria Math" w:hAnsi="Cambria Math" w:cs="Calibri"/>
            <w:color w:val="000000" w:themeColor="text1"/>
            <w:shd w:val="clear" w:color="auto" w:fill="FFFFFF"/>
          </w:rPr>
          <m:t>∈</m:t>
        </m:r>
        <m:d>
          <m:dPr>
            <m:begChr m:val="{"/>
            <m:endChr m:val="}"/>
            <m:ctrlPr>
              <w:rPr>
                <w:rFonts w:ascii="Cambria Math" w:hAnsi="Cambria Math" w:cs="Calibri"/>
                <w:i/>
                <w:color w:val="000000" w:themeColor="text1"/>
                <w:shd w:val="clear" w:color="auto" w:fill="FFFFFF"/>
              </w:rPr>
            </m:ctrlPr>
          </m:dPr>
          <m:e>
            <m:r>
              <w:rPr>
                <w:rFonts w:ascii="Cambria Math" w:hAnsi="Cambria Math" w:cs="Calibri"/>
                <w:color w:val="000000" w:themeColor="text1"/>
                <w:shd w:val="clear" w:color="auto" w:fill="FFFFFF"/>
              </w:rPr>
              <m:t>1…</m:t>
            </m:r>
            <m:r>
              <w:rPr>
                <w:rFonts w:ascii="Cambria Math" w:hAnsi="Cambria Math" w:cs="Calibri"/>
                <w:color w:val="000000" w:themeColor="text1"/>
                <w:shd w:val="clear" w:color="auto" w:fill="FFFFFF"/>
              </w:rPr>
              <m:t>K</m:t>
            </m:r>
          </m:e>
        </m:d>
        <m:r>
          <w:rPr>
            <w:rFonts w:ascii="Cambria Math" w:hAnsi="Cambria Math" w:cs="Calibri"/>
            <w:color w:val="000000" w:themeColor="text1"/>
            <w:shd w:val="clear" w:color="auto" w:fill="FFFFFF"/>
          </w:rPr>
          <m:t xml:space="preserve">, </m:t>
        </m:r>
        <m:r>
          <w:rPr>
            <w:rFonts w:ascii="Cambria Math" w:hAnsi="Cambria Math" w:cs="Calibri"/>
            <w:color w:val="000000" w:themeColor="text1"/>
            <w:shd w:val="clear" w:color="auto" w:fill="FFFFFF"/>
          </w:rPr>
          <m:t>and</m:t>
        </m:r>
        <m:r>
          <w:rPr>
            <w:rFonts w:ascii="Cambria Math" w:hAnsi="Cambria Math" w:cs="Calibri"/>
            <w:color w:val="000000" w:themeColor="text1"/>
            <w:shd w:val="clear" w:color="auto" w:fill="FFFFFF"/>
          </w:rPr>
          <m:t xml:space="preserve"> </m:t>
        </m:r>
        <m:sSub>
          <m:sSubPr>
            <m:ctrlPr>
              <w:rPr>
                <w:rFonts w:ascii="Cambria Math" w:hAnsi="Cambria Math" w:cs="Calibri"/>
                <w:i/>
                <w:color w:val="000000" w:themeColor="text1"/>
                <w:shd w:val="clear" w:color="auto" w:fill="FFFFFF"/>
              </w:rPr>
            </m:ctrlPr>
          </m:sSubPr>
          <m:e>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i</m:t>
                </m:r>
              </m:sub>
            </m:sSub>
            <m:r>
              <w:rPr>
                <w:rFonts w:ascii="Cambria Math" w:hAnsi="Cambria Math" w:cs="Calibri"/>
                <w:color w:val="000000" w:themeColor="text1"/>
                <w:shd w:val="clear" w:color="auto" w:fill="FFFFFF"/>
              </w:rPr>
              <m:t>⊙</m:t>
            </m:r>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j</m:t>
            </m:r>
          </m:sub>
        </m:sSub>
        <m:r>
          <w:rPr>
            <w:rFonts w:ascii="Cambria Math" w:hAnsi="Cambria Math" w:cs="Calibri"/>
            <w:color w:val="000000" w:themeColor="text1"/>
            <w:shd w:val="clear" w:color="auto" w:fill="FFFFFF"/>
          </w:rPr>
          <m:t>∈</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S</m:t>
            </m:r>
          </m:e>
          <m:sub>
            <m:r>
              <w:rPr>
                <w:rFonts w:ascii="Cambria Math" w:hAnsi="Cambria Math" w:cs="Calibri"/>
                <w:color w:val="000000" w:themeColor="text1"/>
                <w:shd w:val="clear" w:color="auto" w:fill="FFFFFF"/>
              </w:rPr>
              <m:t>2</m:t>
            </m:r>
          </m:sub>
        </m:sSub>
      </m:oMath>
      <w:r w:rsidR="008515C4" w:rsidRPr="009658C3">
        <w:rPr>
          <w:rFonts w:ascii="Calibri" w:hAnsi="Calibri" w:cs="Calibri"/>
          <w:color w:val="000000" w:themeColor="text1"/>
          <w:shd w:val="clear" w:color="auto" w:fill="FFFFFF"/>
          <w:lang w:val="en-US"/>
        </w:rPr>
        <w:t xml:space="preserve">     </w:t>
      </w:r>
      <w:proofErr w:type="gramStart"/>
      <w:r w:rsidR="008515C4" w:rsidRPr="009658C3">
        <w:rPr>
          <w:rFonts w:ascii="Calibri" w:hAnsi="Calibri" w:cs="Calibri"/>
          <w:color w:val="000000" w:themeColor="text1"/>
          <w:shd w:val="clear" w:color="auto" w:fill="FFFFFF"/>
          <w:lang w:val="en-US"/>
        </w:rPr>
        <w:t xml:space="preserve">   (</w:t>
      </w:r>
      <w:proofErr w:type="gramEnd"/>
      <w:r w:rsidR="008515C4" w:rsidRPr="009658C3">
        <w:rPr>
          <w:rFonts w:ascii="Calibri" w:hAnsi="Calibri" w:cs="Calibri"/>
          <w:color w:val="000000" w:themeColor="text1"/>
          <w:shd w:val="clear" w:color="auto" w:fill="FFFFFF"/>
          <w:lang w:val="en-US"/>
        </w:rPr>
        <w:t>3)</w:t>
      </w:r>
    </w:p>
    <w:p w14:paraId="33806F32" w14:textId="77777777" w:rsidR="008515C4" w:rsidRPr="009658C3" w:rsidRDefault="008515C4" w:rsidP="008515C4">
      <w:pPr>
        <w:jc w:val="both"/>
        <w:rPr>
          <w:rFonts w:ascii="Calibri" w:hAnsi="Calibri" w:cs="Calibri"/>
          <w:color w:val="000000" w:themeColor="text1"/>
          <w:shd w:val="clear" w:color="auto" w:fill="FFFFFF"/>
        </w:rPr>
      </w:pPr>
    </w:p>
    <w:p w14:paraId="6136A887" w14:textId="77777777" w:rsidR="008515C4" w:rsidRPr="009658C3" w:rsidRDefault="008515C4" w:rsidP="008515C4">
      <w:pPr>
        <w:jc w:val="both"/>
        <w:rPr>
          <w:rFonts w:ascii="Calibri" w:hAnsi="Calibri" w:cs="Calibri"/>
          <w:color w:val="000000" w:themeColor="text1"/>
          <w:shd w:val="clear" w:color="auto" w:fill="FFFFFF"/>
        </w:rPr>
      </w:pPr>
      <w:r w:rsidRPr="009658C3">
        <w:rPr>
          <w:rFonts w:ascii="Calibri" w:hAnsi="Calibri" w:cs="Calibri"/>
          <w:color w:val="000000" w:themeColor="text1"/>
          <w:shd w:val="clear" w:color="auto" w:fill="FFFFFF"/>
        </w:rPr>
        <w:t>Here </w:t>
      </w:r>
      <m:oMath>
        <m:r>
          <w:rPr>
            <w:rFonts w:ascii="Cambria Math" w:hAnsi="Cambria Math" w:cs="Calibri"/>
            <w:color w:val="000000" w:themeColor="text1"/>
            <w:shd w:val="clear" w:color="auto" w:fill="FFFFFF"/>
          </w:rPr>
          <m:t xml:space="preserve">β∈ </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R</m:t>
            </m:r>
          </m:e>
          <m:sub>
            <m:r>
              <w:rPr>
                <w:rFonts w:ascii="Cambria Math" w:hAnsi="Cambria Math" w:cs="Calibri"/>
                <w:color w:val="000000" w:themeColor="text1"/>
                <w:shd w:val="clear" w:color="auto" w:fill="FFFFFF"/>
              </w:rPr>
              <m:t>1×K</m:t>
            </m:r>
          </m:sub>
        </m:sSub>
      </m:oMath>
      <w:r w:rsidRPr="009658C3">
        <w:rPr>
          <w:rFonts w:ascii="Calibri" w:hAnsi="Calibri" w:cs="Calibri"/>
          <w:color w:val="000000" w:themeColor="text1"/>
          <w:shd w:val="clear" w:color="auto" w:fill="FFFFFF"/>
        </w:rPr>
        <w:t> and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C</m:t>
            </m:r>
          </m:e>
          <m:sub>
            <m:r>
              <w:rPr>
                <w:rFonts w:ascii="Cambria Math" w:hAnsi="Cambria Math" w:cs="Calibri"/>
                <w:color w:val="000000" w:themeColor="text1"/>
                <w:shd w:val="clear" w:color="auto" w:fill="FFFFFF"/>
              </w:rPr>
              <m:t>ij</m:t>
            </m:r>
          </m:sub>
        </m:sSub>
      </m:oMath>
      <w:r w:rsidRPr="009658C3">
        <w:rPr>
          <w:rFonts w:ascii="Calibri" w:hAnsi="Calibri" w:cs="Calibri"/>
          <w:color w:val="000000" w:themeColor="text1"/>
          <w:shd w:val="clear" w:color="auto" w:fill="FFFFFF"/>
        </w:rPr>
        <w:t xml:space="preserve"> is the effect size of the interaction term between the two </w:t>
      </w:r>
      <w:r>
        <w:rPr>
          <w:rFonts w:ascii="Calibri" w:hAnsi="Calibri" w:cs="Calibri"/>
          <w:color w:val="000000" w:themeColor="text1"/>
          <w:shd w:val="clear" w:color="auto" w:fill="FFFFFF"/>
        </w:rPr>
        <w:t>CP</w:t>
      </w:r>
      <w:r w:rsidRPr="009658C3">
        <w:rPr>
          <w:rFonts w:ascii="Calibri" w:hAnsi="Calibri" w:cs="Calibri"/>
          <w:color w:val="000000" w:themeColor="text1"/>
          <w:shd w:val="clear" w:color="auto" w:fill="FFFFFF"/>
        </w:rPr>
        <w:t>s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i</m:t>
            </m:r>
          </m:sub>
        </m:sSub>
      </m:oMath>
      <w:r w:rsidRPr="009658C3">
        <w:rPr>
          <w:rFonts w:ascii="Calibri" w:hAnsi="Calibri" w:cs="Calibri"/>
          <w:color w:val="000000" w:themeColor="text1"/>
          <w:shd w:val="clear" w:color="auto" w:fill="FFFFFF"/>
        </w:rPr>
        <w:t> and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j</m:t>
            </m:r>
          </m:sub>
        </m:sSub>
      </m:oMath>
      <w:r w:rsidRPr="009658C3">
        <w:rPr>
          <w:rFonts w:ascii="Calibri" w:hAnsi="Calibri" w:cs="Calibri"/>
          <w:color w:val="000000" w:themeColor="text1"/>
          <w:shd w:val="clear" w:color="auto" w:fill="FFFFFF"/>
        </w:rPr>
        <w:t xml:space="preserve">.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S</m:t>
            </m:r>
          </m:e>
          <m:sub>
            <m:r>
              <w:rPr>
                <w:rFonts w:ascii="Cambria Math" w:hAnsi="Cambria Math" w:cs="Calibri"/>
                <w:color w:val="000000" w:themeColor="text1"/>
                <w:shd w:val="clear" w:color="auto" w:fill="FFFFFF"/>
              </w:rPr>
              <m:t>2</m:t>
            </m:r>
          </m:sub>
        </m:sSub>
      </m:oMath>
      <w:r w:rsidRPr="009658C3">
        <w:rPr>
          <w:rFonts w:ascii="Calibri" w:hAnsi="Calibri" w:cs="Calibri"/>
          <w:color w:val="000000" w:themeColor="text1"/>
          <w:shd w:val="clear" w:color="auto" w:fill="FFFFFF"/>
        </w:rPr>
        <w:t xml:space="preserve"> is the set of putative interactions involving the standalone significant </w:t>
      </w:r>
      <w:r>
        <w:rPr>
          <w:rFonts w:ascii="Calibri" w:hAnsi="Calibri" w:cs="Calibri"/>
          <w:color w:val="000000" w:themeColor="text1"/>
          <w:shd w:val="clear" w:color="auto" w:fill="FFFFFF"/>
        </w:rPr>
        <w:t>CP</w:t>
      </w:r>
      <w:r w:rsidRPr="009658C3">
        <w:rPr>
          <w:rFonts w:ascii="Calibri" w:hAnsi="Calibri" w:cs="Calibri"/>
          <w:color w:val="000000" w:themeColor="text1"/>
          <w:shd w:val="clear" w:color="auto" w:fill="FFFFFF"/>
        </w:rPr>
        <w:t>s. </w:t>
      </w:r>
      <w:r w:rsidRPr="009658C3">
        <w:rPr>
          <w:rFonts w:ascii="Calibri" w:hAnsi="Calibri" w:cs="Calibri"/>
          <w:color w:val="000000" w:themeColor="text1"/>
          <w:lang w:val="en-US"/>
        </w:rPr>
        <w:t>These interactions arise from the model's non-linear architecture, capturing combinatorial regulation and helping improve interpretability and predictive performance.</w:t>
      </w:r>
    </w:p>
    <w:p w14:paraId="08EC3B4E" w14:textId="77777777" w:rsidR="008515C4" w:rsidRPr="009658C3" w:rsidRDefault="008515C4" w:rsidP="008515C4">
      <w:pPr>
        <w:jc w:val="both"/>
        <w:rPr>
          <w:rFonts w:ascii="Calibri" w:hAnsi="Calibri" w:cs="Calibri"/>
          <w:color w:val="000000" w:themeColor="text1"/>
          <w:shd w:val="clear" w:color="auto" w:fill="FFFFFF"/>
        </w:rPr>
      </w:pPr>
    </w:p>
    <w:p w14:paraId="69ABE744" w14:textId="77777777" w:rsidR="008515C4" w:rsidRPr="009658C3" w:rsidRDefault="008515C4" w:rsidP="008515C4">
      <w:pPr>
        <w:jc w:val="both"/>
        <w:rPr>
          <w:rFonts w:ascii="Calibri" w:hAnsi="Calibri" w:cs="Calibri"/>
          <w:color w:val="000000" w:themeColor="text1"/>
          <w:lang w:val="en-US"/>
        </w:rPr>
      </w:pPr>
      <w:r w:rsidRPr="009658C3">
        <w:rPr>
          <w:rFonts w:ascii="Calibri" w:hAnsi="Calibri" w:cs="Calibri"/>
          <w:color w:val="000000" w:themeColor="text1"/>
        </w:rPr>
        <w:t>Before applying SLIDE, the single-cell RNA sequencing (</w:t>
      </w:r>
      <w:proofErr w:type="spellStart"/>
      <w:r w:rsidRPr="009658C3">
        <w:rPr>
          <w:rFonts w:ascii="Calibri" w:hAnsi="Calibri" w:cs="Calibri"/>
          <w:color w:val="000000" w:themeColor="text1"/>
        </w:rPr>
        <w:t>scRNA</w:t>
      </w:r>
      <w:proofErr w:type="spellEnd"/>
      <w:r w:rsidRPr="009658C3">
        <w:rPr>
          <w:rFonts w:ascii="Calibri" w:hAnsi="Calibri" w:cs="Calibri"/>
          <w:color w:val="000000" w:themeColor="text1"/>
        </w:rPr>
        <w:t>-seq) data were preprocessed using the filtering and preprocessing functions provided in the SLIDE library (</w:t>
      </w:r>
      <w:hyperlink r:id="rId9" w:tgtFrame="_new" w:history="1">
        <w:r w:rsidRPr="009658C3">
          <w:rPr>
            <w:rStyle w:val="Hyperlink"/>
            <w:rFonts w:ascii="Calibri" w:hAnsi="Calibri" w:cs="Calibri"/>
            <w:color w:val="000000" w:themeColor="text1"/>
          </w:rPr>
          <w:t>https://github.com/jishnu-lab/SLIDE</w:t>
        </w:r>
      </w:hyperlink>
      <w:r w:rsidRPr="009658C3">
        <w:rPr>
          <w:rFonts w:ascii="Calibri" w:hAnsi="Calibri" w:cs="Calibri"/>
          <w:color w:val="000000" w:themeColor="text1"/>
        </w:rPr>
        <w:t>)</w:t>
      </w:r>
      <w:r>
        <w:rPr>
          <w:rFonts w:ascii="Calibri" w:hAnsi="Calibri" w:cs="Calibri"/>
          <w:color w:val="000000" w:themeColor="text1"/>
        </w:rPr>
        <w:t xml:space="preserve"> and </w:t>
      </w:r>
      <w:proofErr w:type="spellStart"/>
      <w:r>
        <w:rPr>
          <w:rFonts w:ascii="Calibri" w:hAnsi="Calibri" w:cs="Calibri"/>
          <w:color w:val="000000" w:themeColor="text1"/>
        </w:rPr>
        <w:t>FIREFate</w:t>
      </w:r>
      <w:proofErr w:type="spellEnd"/>
      <w:r>
        <w:rPr>
          <w:rFonts w:ascii="Calibri" w:hAnsi="Calibri" w:cs="Calibri"/>
          <w:color w:val="000000" w:themeColor="text1"/>
        </w:rPr>
        <w:t xml:space="preserve"> </w:t>
      </w:r>
      <w:proofErr w:type="spellStart"/>
      <w:r>
        <w:rPr>
          <w:rFonts w:ascii="Calibri" w:hAnsi="Calibri" w:cs="Calibri"/>
          <w:color w:val="000000" w:themeColor="text1"/>
        </w:rPr>
        <w:t>github</w:t>
      </w:r>
      <w:proofErr w:type="spellEnd"/>
      <w:r>
        <w:rPr>
          <w:rFonts w:ascii="Calibri" w:hAnsi="Calibri" w:cs="Calibri"/>
          <w:color w:val="000000" w:themeColor="text1"/>
        </w:rPr>
        <w:t xml:space="preserve"> repository (</w:t>
      </w:r>
      <w:r w:rsidRPr="009B6D41">
        <w:rPr>
          <w:rFonts w:ascii="Calibri" w:hAnsi="Calibri" w:cs="Calibri"/>
          <w:color w:val="000000" w:themeColor="text1"/>
        </w:rPr>
        <w:t>https://github.com/jishnu-lab/</w:t>
      </w:r>
      <w:r>
        <w:rPr>
          <w:rFonts w:ascii="Calibri" w:hAnsi="Calibri" w:cs="Calibri"/>
          <w:color w:val="000000" w:themeColor="text1"/>
        </w:rPr>
        <w:t>xxxx)</w:t>
      </w:r>
      <w:r w:rsidRPr="009658C3">
        <w:rPr>
          <w:rFonts w:ascii="Calibri" w:hAnsi="Calibri" w:cs="Calibri"/>
          <w:color w:val="000000" w:themeColor="text1"/>
        </w:rPr>
        <w:t xml:space="preserve">, following standard best practices. First, genes with zero unique molecular identifier (UMI) counts across all cells were removed, and mitochondrial and ribosomal genes were excluded from further analysis. Second, sparsity filtering was performed using the </w:t>
      </w:r>
      <w:proofErr w:type="spellStart"/>
      <w:r w:rsidRPr="009658C3">
        <w:rPr>
          <w:rStyle w:val="HTMLCode"/>
          <w:rFonts w:ascii="Calibri" w:eastAsia="Arial" w:hAnsi="Calibri" w:cs="Calibri"/>
          <w:color w:val="000000" w:themeColor="text1"/>
        </w:rPr>
        <w:t>zeroFiltering</w:t>
      </w:r>
      <w:proofErr w:type="spellEnd"/>
      <w:r w:rsidRPr="009658C3">
        <w:rPr>
          <w:rFonts w:ascii="Calibri" w:hAnsi="Calibri" w:cs="Calibri"/>
          <w:color w:val="000000" w:themeColor="text1"/>
        </w:rPr>
        <w:t xml:space="preserve"> function in the SLIDE library to remove genes with more than </w:t>
      </w:r>
      <w:proofErr w:type="spellStart"/>
      <w:r w:rsidRPr="009658C3">
        <w:rPr>
          <w:rStyle w:val="Emphasis"/>
          <w:rFonts w:ascii="Calibri" w:hAnsi="Calibri" w:cs="Calibri"/>
          <w:color w:val="000000" w:themeColor="text1"/>
        </w:rPr>
        <w:t>col_thresh</w:t>
      </w:r>
      <w:proofErr w:type="spellEnd"/>
      <w:r w:rsidRPr="009658C3">
        <w:rPr>
          <w:rFonts w:ascii="Calibri" w:hAnsi="Calibri" w:cs="Calibri"/>
          <w:color w:val="000000" w:themeColor="text1"/>
        </w:rPr>
        <w:t xml:space="preserve"> zero values across cells. To identify the </w:t>
      </w:r>
      <w:r>
        <w:rPr>
          <w:rFonts w:ascii="Calibri" w:hAnsi="Calibri" w:cs="Calibri"/>
          <w:color w:val="000000" w:themeColor="text1"/>
        </w:rPr>
        <w:t xml:space="preserve">cellular programs </w:t>
      </w:r>
      <w:r w:rsidRPr="009658C3">
        <w:rPr>
          <w:rFonts w:ascii="Calibri" w:hAnsi="Calibri" w:cs="Calibri"/>
          <w:color w:val="000000" w:themeColor="text1"/>
        </w:rPr>
        <w:t>(</w:t>
      </w:r>
      <w:r>
        <w:rPr>
          <w:rFonts w:ascii="Calibri" w:hAnsi="Calibri" w:cs="Calibri"/>
          <w:color w:val="000000" w:themeColor="text1"/>
        </w:rPr>
        <w:t>CP</w:t>
      </w:r>
      <w:r w:rsidRPr="009658C3">
        <w:rPr>
          <w:rFonts w:ascii="Calibri" w:hAnsi="Calibri" w:cs="Calibri"/>
          <w:color w:val="000000" w:themeColor="text1"/>
        </w:rPr>
        <w:t xml:space="preserve">s), </w:t>
      </w:r>
      <w:r w:rsidRPr="007111EF">
        <w:rPr>
          <w:rStyle w:val="Emphasis"/>
          <w:rFonts w:ascii="Calibri" w:hAnsi="Calibri" w:cs="Calibri"/>
          <w:color w:val="000000" w:themeColor="text1"/>
        </w:rPr>
        <w:t>SLIDE</w:t>
      </w:r>
      <w:r w:rsidRPr="009658C3">
        <w:rPr>
          <w:rFonts w:ascii="Calibri" w:hAnsi="Calibri" w:cs="Calibri"/>
          <w:color w:val="000000" w:themeColor="text1"/>
        </w:rPr>
        <w:t xml:space="preserve"> was applied to two distinct single-cell RNA sequencing (</w:t>
      </w:r>
      <w:proofErr w:type="spellStart"/>
      <w:r w:rsidRPr="009658C3">
        <w:rPr>
          <w:rFonts w:ascii="Calibri" w:hAnsi="Calibri" w:cs="Calibri"/>
          <w:color w:val="000000" w:themeColor="text1"/>
        </w:rPr>
        <w:t>scRNA</w:t>
      </w:r>
      <w:proofErr w:type="spellEnd"/>
      <w:r w:rsidRPr="009658C3">
        <w:rPr>
          <w:rFonts w:ascii="Calibri" w:hAnsi="Calibri" w:cs="Calibri"/>
          <w:color w:val="000000" w:themeColor="text1"/>
        </w:rPr>
        <w:t xml:space="preserve">-seq) datasets to extract discriminatory regulons between predefined cell states in B cells and T cells. </w:t>
      </w:r>
      <w:r>
        <w:rPr>
          <w:rStyle w:val="Emphasis"/>
          <w:rFonts w:ascii="Calibri" w:hAnsi="Calibri" w:cs="Calibri"/>
          <w:color w:val="000000" w:themeColor="text1"/>
        </w:rPr>
        <w:t>SLIDE</w:t>
      </w:r>
      <w:r w:rsidRPr="009658C3">
        <w:rPr>
          <w:rFonts w:ascii="Calibri" w:hAnsi="Calibri" w:cs="Calibri"/>
          <w:color w:val="000000" w:themeColor="text1"/>
        </w:rPr>
        <w:t xml:space="preserve"> requires two input cell populations to learn latent regulatory programs that differentiate one state from another. For the B cell system, </w:t>
      </w:r>
      <w:r>
        <w:rPr>
          <w:rStyle w:val="Emphasis"/>
          <w:rFonts w:ascii="Calibri" w:hAnsi="Calibri" w:cs="Calibri"/>
          <w:color w:val="000000" w:themeColor="text1"/>
        </w:rPr>
        <w:t>the method</w:t>
      </w:r>
      <w:r w:rsidRPr="009658C3">
        <w:rPr>
          <w:rFonts w:ascii="Calibri" w:hAnsi="Calibri" w:cs="Calibri"/>
          <w:color w:val="000000" w:themeColor="text1"/>
        </w:rPr>
        <w:t xml:space="preserve"> was applied to PB and</w:t>
      </w:r>
      <w:r>
        <w:rPr>
          <w:rFonts w:ascii="Calibri" w:hAnsi="Calibri" w:cs="Calibri"/>
          <w:color w:val="000000" w:themeColor="text1"/>
        </w:rPr>
        <w:t xml:space="preserve"> </w:t>
      </w:r>
      <w:r w:rsidRPr="009658C3">
        <w:rPr>
          <w:rFonts w:ascii="Calibri" w:hAnsi="Calibri" w:cs="Calibri"/>
          <w:color w:val="000000" w:themeColor="text1"/>
        </w:rPr>
        <w:t xml:space="preserve">GC B cells using both </w:t>
      </w:r>
      <w:proofErr w:type="spellStart"/>
      <w:r w:rsidRPr="009658C3">
        <w:rPr>
          <w:rFonts w:ascii="Calibri" w:hAnsi="Calibri" w:cs="Calibri"/>
          <w:color w:val="000000" w:themeColor="text1"/>
        </w:rPr>
        <w:t>scMultiome</w:t>
      </w:r>
      <w:proofErr w:type="spellEnd"/>
      <w:r w:rsidRPr="009658C3">
        <w:rPr>
          <w:rFonts w:ascii="Calibri" w:hAnsi="Calibri" w:cs="Calibri"/>
          <w:color w:val="000000" w:themeColor="text1"/>
        </w:rPr>
        <w:t xml:space="preserve"> data (Day 6) and </w:t>
      </w:r>
      <w:proofErr w:type="spellStart"/>
      <w:r w:rsidRPr="009658C3">
        <w:rPr>
          <w:rFonts w:ascii="Calibri" w:hAnsi="Calibri" w:cs="Calibri"/>
          <w:color w:val="000000" w:themeColor="text1"/>
        </w:rPr>
        <w:t>scRNA</w:t>
      </w:r>
      <w:proofErr w:type="spellEnd"/>
      <w:r w:rsidRPr="009658C3">
        <w:rPr>
          <w:rFonts w:ascii="Calibri" w:hAnsi="Calibri" w:cs="Calibri"/>
          <w:color w:val="000000" w:themeColor="text1"/>
        </w:rPr>
        <w:t>-seq data. For the T cell system, the model was applied to Tex-term and Tex-KLR</w:t>
      </w:r>
      <w:r>
        <w:rPr>
          <w:rFonts w:ascii="Calibri" w:hAnsi="Calibri" w:cs="Calibri"/>
          <w:color w:val="000000" w:themeColor="text1"/>
        </w:rPr>
        <w:t xml:space="preserve"> cells</w:t>
      </w:r>
      <w:r w:rsidRPr="009658C3">
        <w:rPr>
          <w:rFonts w:ascii="Calibri" w:hAnsi="Calibri" w:cs="Calibri"/>
          <w:color w:val="000000" w:themeColor="text1"/>
        </w:rPr>
        <w:t>.</w:t>
      </w:r>
      <w:r w:rsidRPr="009658C3">
        <w:rPr>
          <w:rFonts w:ascii="Calibri" w:hAnsi="Calibri" w:cs="Calibri"/>
          <w:color w:val="000000" w:themeColor="text1"/>
          <w:lang w:val="en-US"/>
        </w:rPr>
        <w:t xml:space="preserve"> A summary of the training conditions-including experimental groups, collection time points, and model parameters-is provided in </w:t>
      </w:r>
      <w:r w:rsidRPr="007111EF">
        <w:rPr>
          <w:rFonts w:ascii="Calibri" w:hAnsi="Calibri" w:cs="Calibri"/>
          <w:color w:val="000000" w:themeColor="text1"/>
          <w:highlight w:val="yellow"/>
          <w:lang w:val="en-US"/>
        </w:rPr>
        <w:t>Supplementary Table 1</w:t>
      </w:r>
      <w:r w:rsidRPr="009658C3">
        <w:rPr>
          <w:rFonts w:ascii="Calibri" w:hAnsi="Calibri" w:cs="Calibri"/>
          <w:color w:val="000000" w:themeColor="text1"/>
          <w:lang w:val="en-US"/>
        </w:rPr>
        <w:t xml:space="preserve">. </w:t>
      </w:r>
    </w:p>
    <w:p w14:paraId="02D403EF" w14:textId="77777777" w:rsidR="008515C4" w:rsidRPr="009658C3" w:rsidRDefault="008515C4" w:rsidP="008515C4">
      <w:pPr>
        <w:jc w:val="both"/>
        <w:rPr>
          <w:rFonts w:ascii="Calibri" w:hAnsi="Calibri" w:cs="Calibri"/>
          <w:color w:val="000000" w:themeColor="text1"/>
          <w:lang w:val="en-US"/>
        </w:rPr>
      </w:pPr>
      <w:r w:rsidRPr="009658C3">
        <w:rPr>
          <w:rFonts w:ascii="Calibri" w:hAnsi="Calibri" w:cs="Calibri"/>
          <w:color w:val="000000" w:themeColor="text1"/>
          <w:lang w:val="en-US"/>
        </w:rPr>
        <w:t xml:space="preserve">We also used this approach to get the predisposing cellular programs from single-cell Perturb-seq data collected on Day 6 following transcription factor (TF) KOs. The training dataset for B cell included KO conditions for key TFs implicated in B cell differentiation (PRDM1, BATF, SPIB, IRF4, and IRF8) alongside unperturbed control cells. For T cell system we applied the same approach on single-cell perturb-seq data of Ikzf1 and Ets1 KO cells against unperturbed control cells. A summary of the training conditions-including experimental groups, and model parameters-is provided in </w:t>
      </w:r>
      <w:r w:rsidRPr="007111EF">
        <w:rPr>
          <w:rFonts w:ascii="Calibri" w:hAnsi="Calibri" w:cs="Calibri"/>
          <w:color w:val="000000" w:themeColor="text1"/>
          <w:highlight w:val="yellow"/>
          <w:lang w:val="en-US"/>
        </w:rPr>
        <w:t>Supplementary Table 2</w:t>
      </w:r>
      <w:r w:rsidRPr="009658C3">
        <w:rPr>
          <w:rFonts w:ascii="Calibri" w:hAnsi="Calibri" w:cs="Calibri"/>
          <w:color w:val="000000" w:themeColor="text1"/>
          <w:lang w:val="en-US"/>
        </w:rPr>
        <w:t>.</w:t>
      </w:r>
    </w:p>
    <w:p w14:paraId="1AA78E57" w14:textId="77777777" w:rsidR="008515C4" w:rsidRDefault="008515C4" w:rsidP="008515C4">
      <w:pPr>
        <w:pStyle w:val="Heading3"/>
        <w:jc w:val="both"/>
        <w:rPr>
          <w:rFonts w:asciiTheme="majorHAnsi" w:hAnsiTheme="majorHAnsi" w:cstheme="majorHAnsi"/>
          <w:b/>
          <w:bCs/>
          <w:color w:val="000000" w:themeColor="text1"/>
          <w:sz w:val="24"/>
          <w:szCs w:val="24"/>
          <w:lang w:val="en-US"/>
        </w:rPr>
      </w:pPr>
      <w:r w:rsidRPr="00624F7B">
        <w:rPr>
          <w:rFonts w:asciiTheme="majorHAnsi" w:hAnsiTheme="majorHAnsi" w:cstheme="majorHAnsi"/>
          <w:b/>
          <w:bCs/>
          <w:color w:val="000000" w:themeColor="text1"/>
          <w:sz w:val="24"/>
          <w:szCs w:val="24"/>
          <w:lang w:val="en-US"/>
        </w:rPr>
        <w:t>Interpreting the cellular programs using LLM-based gene set enrichment analysis</w:t>
      </w:r>
    </w:p>
    <w:p w14:paraId="290C6106" w14:textId="77777777" w:rsidR="008515C4" w:rsidRPr="00587F8D" w:rsidRDefault="008515C4" w:rsidP="008515C4">
      <w:pPr>
        <w:pStyle w:val="Heading3"/>
        <w:spacing w:before="0" w:after="0"/>
        <w:jc w:val="both"/>
        <w:rPr>
          <w:rFonts w:asciiTheme="majorHAnsi" w:hAnsiTheme="majorHAnsi" w:cstheme="majorHAnsi"/>
          <w:b/>
          <w:bCs/>
          <w:color w:val="000000" w:themeColor="text1"/>
          <w:sz w:val="24"/>
          <w:szCs w:val="24"/>
          <w:lang w:val="en-US"/>
        </w:rPr>
      </w:pPr>
      <w:r w:rsidRPr="009658C3">
        <w:rPr>
          <w:rFonts w:ascii="Calibri" w:hAnsi="Calibri" w:cs="Calibri"/>
          <w:color w:val="000000" w:themeColor="text1"/>
          <w:sz w:val="22"/>
          <w:szCs w:val="22"/>
          <w:lang w:val="en-US"/>
        </w:rPr>
        <w:t xml:space="preserve">To derive biologically meaningful modules and corresponding labels for each </w:t>
      </w:r>
      <w:r>
        <w:rPr>
          <w:rFonts w:ascii="Calibri" w:hAnsi="Calibri" w:cs="Calibri"/>
          <w:color w:val="000000" w:themeColor="text1"/>
          <w:sz w:val="22"/>
          <w:szCs w:val="22"/>
          <w:lang w:val="en-US"/>
        </w:rPr>
        <w:t>CP</w:t>
      </w:r>
      <w:r w:rsidRPr="009658C3">
        <w:rPr>
          <w:rFonts w:ascii="Calibri" w:hAnsi="Calibri" w:cs="Calibri"/>
          <w:color w:val="000000" w:themeColor="text1"/>
          <w:sz w:val="22"/>
          <w:szCs w:val="22"/>
          <w:lang w:val="en-US"/>
        </w:rPr>
        <w:t xml:space="preserve">, we employed a large language model (LLM)-based gene set enrichment approach on the top-ranked genes within each </w:t>
      </w:r>
      <w:r>
        <w:rPr>
          <w:rFonts w:ascii="Calibri" w:hAnsi="Calibri" w:cs="Calibri"/>
          <w:color w:val="000000" w:themeColor="text1"/>
          <w:sz w:val="22"/>
          <w:szCs w:val="22"/>
          <w:lang w:val="en-US"/>
        </w:rPr>
        <w:t>CP</w:t>
      </w:r>
      <w:r w:rsidRPr="009658C3">
        <w:rPr>
          <w:rFonts w:ascii="Calibri" w:hAnsi="Calibri" w:cs="Calibri"/>
          <w:color w:val="000000" w:themeColor="text1"/>
          <w:sz w:val="22"/>
          <w:szCs w:val="22"/>
          <w:lang w:val="en-US"/>
        </w:rPr>
        <w:t xml:space="preserve">. GSAI grouped genes into functional programs and generated module annotations. Using the prompt provided in </w:t>
      </w:r>
      <w:r w:rsidRPr="00E27445">
        <w:rPr>
          <w:rFonts w:ascii="Calibri" w:hAnsi="Calibri" w:cs="Calibri"/>
          <w:color w:val="000000" w:themeColor="text1"/>
          <w:sz w:val="22"/>
          <w:szCs w:val="22"/>
          <w:highlight w:val="yellow"/>
          <w:lang w:val="en-US"/>
        </w:rPr>
        <w:t>Supplementary File S1</w:t>
      </w:r>
      <w:r w:rsidRPr="009658C3">
        <w:rPr>
          <w:rFonts w:ascii="Calibri" w:hAnsi="Calibri" w:cs="Calibri"/>
          <w:color w:val="000000" w:themeColor="text1"/>
          <w:sz w:val="22"/>
          <w:szCs w:val="22"/>
          <w:lang w:val="en-US"/>
        </w:rPr>
        <w:t>, we supplied the sets of top-ranked genes and asked ChatGPT 5.1 to annotate them with the most relevant biological processes.</w:t>
      </w:r>
    </w:p>
    <w:p w14:paraId="5AF2DD3F" w14:textId="77777777" w:rsidR="008515C4" w:rsidRPr="00624F7B" w:rsidRDefault="008515C4" w:rsidP="008515C4">
      <w:pPr>
        <w:pStyle w:val="Heading3"/>
        <w:jc w:val="both"/>
        <w:rPr>
          <w:rFonts w:asciiTheme="majorHAnsi" w:hAnsiTheme="majorHAnsi" w:cstheme="majorHAnsi"/>
          <w:b/>
          <w:bCs/>
          <w:color w:val="000000" w:themeColor="text1"/>
          <w:sz w:val="24"/>
          <w:szCs w:val="24"/>
        </w:rPr>
      </w:pPr>
      <w:r w:rsidRPr="00624F7B">
        <w:rPr>
          <w:rFonts w:asciiTheme="majorHAnsi" w:hAnsiTheme="majorHAnsi" w:cstheme="majorHAnsi"/>
          <w:b/>
          <w:bCs/>
          <w:color w:val="000000" w:themeColor="text1"/>
          <w:sz w:val="24"/>
          <w:szCs w:val="24"/>
        </w:rPr>
        <w:t>State specific static GRN Inference</w:t>
      </w:r>
    </w:p>
    <w:p w14:paraId="321EB153" w14:textId="77777777" w:rsidR="008515C4" w:rsidRPr="009658C3" w:rsidRDefault="008515C4" w:rsidP="008515C4">
      <w:pPr>
        <w:jc w:val="both"/>
        <w:rPr>
          <w:rFonts w:ascii="Calibri" w:hAnsi="Calibri" w:cs="Calibri"/>
          <w:color w:val="000000" w:themeColor="text1"/>
          <w:lang w:val="en-US"/>
        </w:rPr>
      </w:pPr>
      <w:r w:rsidRPr="009658C3">
        <w:rPr>
          <w:rFonts w:ascii="Calibri" w:hAnsi="Calibri" w:cs="Calibri"/>
          <w:color w:val="000000" w:themeColor="text1"/>
          <w:lang w:val="en-US"/>
        </w:rPr>
        <w:t>GRNs were constructed separately for B cell and T cell datasets, each containing distinct sub-cell types. For the B cell dataset, GRNs were obtained for the PB and GC cells from [ref Nick’s]. For the T cell dataset, GRNs were inferred for the Tex-term</w:t>
      </w:r>
      <w:r w:rsidRPr="009658C3">
        <w:rPr>
          <w:rFonts w:ascii="Calibri" w:hAnsi="Calibri" w:cs="Calibri"/>
          <w:i/>
          <w:iCs/>
          <w:color w:val="000000" w:themeColor="text1"/>
          <w:lang w:val="en-US"/>
        </w:rPr>
        <w:t xml:space="preserve"> </w:t>
      </w:r>
      <w:r w:rsidRPr="009658C3">
        <w:rPr>
          <w:rFonts w:ascii="Calibri" w:hAnsi="Calibri" w:cs="Calibri"/>
          <w:color w:val="000000" w:themeColor="text1"/>
          <w:lang w:val="en-US"/>
        </w:rPr>
        <w:t xml:space="preserve">and Tex-KLR cells using the </w:t>
      </w:r>
      <w:proofErr w:type="spellStart"/>
      <w:r w:rsidRPr="009658C3">
        <w:rPr>
          <w:rFonts w:ascii="Calibri" w:hAnsi="Calibri" w:cs="Calibri"/>
          <w:color w:val="000000" w:themeColor="text1"/>
          <w:lang w:val="en-US"/>
        </w:rPr>
        <w:t>CellOracle</w:t>
      </w:r>
      <w:proofErr w:type="spellEnd"/>
      <w:r w:rsidRPr="009658C3">
        <w:rPr>
          <w:rFonts w:ascii="Calibri" w:hAnsi="Calibri" w:cs="Calibri"/>
          <w:color w:val="000000" w:themeColor="text1"/>
          <w:lang w:val="en-US"/>
        </w:rPr>
        <w:t xml:space="preserve"> framework, with its murine ATAC-seq inferred GRN serving as the base GRN. For each cell type (B or T), GRNs corresponding to the two relevant cell-subtypes were first subset to top 10000 edges. These subtype specific GRNs were then merged into a fusion GRN that represents the combined regulatory landscape across sub-cell types within that dataset. During the merging process if an edge (TF-target interaction) was present in both subtype GRNs, the edge with the higher weight (indicative of stronger regulatory potential) was retained. If an edge was unique to one subtype, it was included as-is in the fusion GRN. Following GRN fusion, each edge was categorized based on its weight relative to the distribution of edge weights in the respective fusion network: strong regulatory edges; edge weight in the top 10th percentile (≥90th percentile), and weak regulatory edges; edge weight below the 90th percentile.</w:t>
      </w:r>
      <w:r>
        <w:rPr>
          <w:rFonts w:ascii="Calibri" w:hAnsi="Calibri" w:cs="Calibri"/>
          <w:color w:val="000000" w:themeColor="text1"/>
          <w:lang w:val="en-US"/>
        </w:rPr>
        <w:t xml:space="preserve"> </w:t>
      </w:r>
      <w:r w:rsidRPr="009658C3">
        <w:rPr>
          <w:rFonts w:ascii="Calibri" w:hAnsi="Calibri" w:cs="Calibri"/>
          <w:color w:val="000000" w:themeColor="text1"/>
          <w:lang w:val="en-US"/>
        </w:rPr>
        <w:t>This strategy enabled comprehensive subtype-integrated GRNs across functionally distinct immune subpopulations.</w:t>
      </w:r>
    </w:p>
    <w:p w14:paraId="5E858528" w14:textId="77777777" w:rsidR="008515C4" w:rsidRPr="00624F7B" w:rsidRDefault="008515C4" w:rsidP="008515C4">
      <w:pPr>
        <w:pStyle w:val="Heading3"/>
        <w:jc w:val="both"/>
        <w:rPr>
          <w:rFonts w:asciiTheme="majorHAnsi" w:hAnsiTheme="majorHAnsi" w:cstheme="majorHAnsi"/>
          <w:b/>
          <w:bCs/>
          <w:color w:val="000000" w:themeColor="text1"/>
          <w:sz w:val="24"/>
          <w:szCs w:val="24"/>
        </w:rPr>
      </w:pPr>
      <w:r w:rsidRPr="00624F7B">
        <w:rPr>
          <w:rFonts w:asciiTheme="majorHAnsi" w:hAnsiTheme="majorHAnsi" w:cstheme="majorHAnsi"/>
          <w:b/>
          <w:bCs/>
          <w:color w:val="000000" w:themeColor="text1"/>
          <w:sz w:val="24"/>
          <w:szCs w:val="24"/>
        </w:rPr>
        <w:t>Inferring Regulons by combining cellular programs and GRNs</w:t>
      </w:r>
    </w:p>
    <w:p w14:paraId="43523EBA" w14:textId="77777777" w:rsidR="008515C4" w:rsidRPr="009658C3" w:rsidRDefault="008515C4" w:rsidP="008515C4">
      <w:pPr>
        <w:jc w:val="both"/>
        <w:rPr>
          <w:rFonts w:ascii="Calibri" w:hAnsi="Calibri" w:cs="Calibri"/>
          <w:color w:val="000000" w:themeColor="text1"/>
          <w:lang w:val="en-US"/>
        </w:rPr>
      </w:pPr>
      <w:r w:rsidRPr="009658C3">
        <w:rPr>
          <w:rFonts w:ascii="Calibri" w:hAnsi="Calibri" w:cs="Calibri"/>
          <w:color w:val="000000" w:themeColor="text1"/>
          <w:lang w:val="en-US"/>
        </w:rPr>
        <w:t xml:space="preserve">To identify TFs with regulatory programs enriched in cell subtype discrimination specific regulons, we performed enrichment analyses using previously constructed fusion GRNs alongside regulons inferred from SLIDE. By overlapping GRN topology with both standalone and interacting regulons, we assembled a comprehensive set of TF-target gene relationships. These interactions were then evaluated through two levels of enrichment analyses. The order-1 (single-TF) enrichment analysis, in which for each regulon, TFs either directly included in the regulon or connected as first-degree </w:t>
      </w:r>
      <w:r w:rsidRPr="009658C3">
        <w:rPr>
          <w:rFonts w:ascii="Calibri" w:hAnsi="Calibri" w:cs="Calibri"/>
          <w:color w:val="000000" w:themeColor="text1"/>
          <w:lang w:val="en-US"/>
        </w:rPr>
        <w:lastRenderedPageBreak/>
        <w:t>neighbors (based on GRN topology) were considered. To assess their regulatory importance, we quantified how many genes does each TF regulates strongly within the regulons compared to its global regulatory profile in the fusion GRNs. For each TF, the enrichment score was computed as:</w:t>
      </w:r>
    </w:p>
    <w:p w14:paraId="453D2E53" w14:textId="77777777" w:rsidR="008515C4" w:rsidRPr="009658C3" w:rsidRDefault="008515C4" w:rsidP="008515C4">
      <w:pPr>
        <w:jc w:val="both"/>
        <w:rPr>
          <w:rFonts w:ascii="Calibri" w:hAnsi="Calibri" w:cs="Calibri"/>
          <w:color w:val="000000" w:themeColor="text1"/>
          <w:lang w:val="en-US"/>
        </w:rPr>
      </w:pPr>
    </w:p>
    <w:p w14:paraId="57270E4D" w14:textId="77777777" w:rsidR="008515C4" w:rsidRPr="009658C3" w:rsidRDefault="008515C4" w:rsidP="008515C4">
      <w:pPr>
        <w:jc w:val="both"/>
        <w:rPr>
          <w:rFonts w:ascii="Calibri" w:hAnsi="Calibri" w:cs="Calibri"/>
          <w:color w:val="000000" w:themeColor="text1"/>
          <w:lang w:val="en-US"/>
        </w:rPr>
      </w:pPr>
      <m:oMath>
        <m:r>
          <w:rPr>
            <w:rFonts w:ascii="Cambria Math" w:hAnsi="Cambria Math" w:cs="Calibri"/>
            <w:color w:val="000000" w:themeColor="text1"/>
            <w:lang w:val="en-US"/>
          </w:rPr>
          <m:t xml:space="preserve">Enrichment Score = </m:t>
        </m:r>
        <m:f>
          <m:fPr>
            <m:ctrlPr>
              <w:rPr>
                <w:rFonts w:ascii="Cambria Math" w:hAnsi="Cambria Math" w:cs="Calibri"/>
                <w:i/>
                <w:color w:val="000000" w:themeColor="text1"/>
                <w:lang w:val="en-US"/>
              </w:rPr>
            </m:ctrlPr>
          </m:fPr>
          <m:num>
            <m:f>
              <m:fPr>
                <m:ctrlPr>
                  <w:rPr>
                    <w:rFonts w:ascii="Cambria Math" w:hAnsi="Cambria Math" w:cs="Calibri"/>
                    <w:i/>
                    <w:color w:val="000000" w:themeColor="text1"/>
                    <w:lang w:val="en-US"/>
                  </w:rPr>
                </m:ctrlPr>
              </m:fPr>
              <m:num>
                <m:r>
                  <w:rPr>
                    <w:rFonts w:ascii="Cambria Math" w:hAnsi="Cambria Math" w:cs="Calibri"/>
                    <w:color w:val="000000" w:themeColor="text1"/>
                    <w:lang w:val="en-US"/>
                  </w:rPr>
                  <m:t xml:space="preserve">Number of </m:t>
                </m:r>
                <m:r>
                  <m:rPr>
                    <m:sty m:val="bi"/>
                  </m:rPr>
                  <w:rPr>
                    <w:rFonts w:ascii="Cambria Math" w:hAnsi="Cambria Math" w:cs="Calibri"/>
                    <w:color w:val="000000" w:themeColor="text1"/>
                    <w:lang w:val="en-US"/>
                  </w:rPr>
                  <m:t xml:space="preserve">strong </m:t>
                </m:r>
                <m:r>
                  <w:rPr>
                    <w:rFonts w:ascii="Cambria Math" w:hAnsi="Cambria Math" w:cs="Calibri"/>
                    <w:color w:val="000000" w:themeColor="text1"/>
                    <w:lang w:val="en-US"/>
                  </w:rPr>
                  <m:t>TF→gene edges within the regulon</m:t>
                </m:r>
              </m:num>
              <m:den>
                <m:r>
                  <w:rPr>
                    <w:rFonts w:ascii="Cambria Math" w:hAnsi="Cambria Math" w:cs="Calibri"/>
                    <w:color w:val="000000" w:themeColor="text1"/>
                    <w:lang w:val="en-US"/>
                  </w:rPr>
                  <m:t xml:space="preserve">Total number of genes in the regulon </m:t>
                </m:r>
              </m:den>
            </m:f>
          </m:num>
          <m:den>
            <m:f>
              <m:fPr>
                <m:ctrlPr>
                  <w:rPr>
                    <w:rFonts w:ascii="Cambria Math" w:hAnsi="Cambria Math" w:cs="Calibri"/>
                    <w:i/>
                    <w:color w:val="000000" w:themeColor="text1"/>
                    <w:lang w:val="en-US"/>
                  </w:rPr>
                </m:ctrlPr>
              </m:fPr>
              <m:num>
                <m:r>
                  <w:rPr>
                    <w:rFonts w:ascii="Cambria Math" w:hAnsi="Cambria Math" w:cs="Calibri"/>
                    <w:color w:val="000000" w:themeColor="text1"/>
                    <w:lang w:val="en-US"/>
                  </w:rPr>
                  <m:t xml:space="preserve">Number of </m:t>
                </m:r>
                <m:r>
                  <m:rPr>
                    <m:sty m:val="bi"/>
                  </m:rPr>
                  <w:rPr>
                    <w:rFonts w:ascii="Cambria Math" w:hAnsi="Cambria Math" w:cs="Calibri"/>
                    <w:color w:val="000000" w:themeColor="text1"/>
                    <w:lang w:val="en-US"/>
                  </w:rPr>
                  <m:t>strong</m:t>
                </m:r>
                <m:r>
                  <w:rPr>
                    <w:rFonts w:ascii="Cambria Math" w:hAnsi="Cambria Math" w:cs="Calibri"/>
                    <w:color w:val="000000" w:themeColor="text1"/>
                    <w:lang w:val="en-US"/>
                  </w:rPr>
                  <m:t xml:space="preserve"> TF→gene edges in the fusion GRNs</m:t>
                </m:r>
              </m:num>
              <m:den>
                <m:r>
                  <w:rPr>
                    <w:rFonts w:ascii="Cambria Math" w:hAnsi="Cambria Math" w:cs="Calibri"/>
                    <w:color w:val="000000" w:themeColor="text1"/>
                    <w:lang w:val="en-US"/>
                  </w:rPr>
                  <m:t>Total number of genes in the GRN</m:t>
                </m:r>
              </m:den>
            </m:f>
          </m:den>
        </m:f>
        <m:r>
          <w:rPr>
            <w:rFonts w:ascii="Cambria Math" w:hAnsi="Cambria Math" w:cs="Calibri"/>
            <w:color w:val="000000" w:themeColor="text1"/>
            <w:lang w:val="en-US"/>
          </w:rPr>
          <m:t xml:space="preserve"> </m:t>
        </m:r>
      </m:oMath>
      <w:r w:rsidRPr="009658C3">
        <w:rPr>
          <w:rFonts w:ascii="Calibri" w:hAnsi="Calibri" w:cs="Calibri"/>
          <w:color w:val="000000" w:themeColor="text1"/>
          <w:lang w:val="en-US"/>
        </w:rPr>
        <w:t xml:space="preserve">                               (4)</w:t>
      </w:r>
    </w:p>
    <w:p w14:paraId="105C8C3F" w14:textId="77777777" w:rsidR="008515C4" w:rsidRPr="009658C3" w:rsidRDefault="008515C4" w:rsidP="008515C4">
      <w:pPr>
        <w:jc w:val="both"/>
        <w:rPr>
          <w:rFonts w:ascii="Calibri" w:hAnsi="Calibri" w:cs="Calibri"/>
          <w:color w:val="000000" w:themeColor="text1"/>
          <w:lang w:val="en-US"/>
        </w:rPr>
      </w:pPr>
    </w:p>
    <w:p w14:paraId="497D126C" w14:textId="77777777" w:rsidR="008515C4" w:rsidRDefault="008515C4" w:rsidP="008515C4">
      <w:pPr>
        <w:jc w:val="both"/>
        <w:rPr>
          <w:rFonts w:ascii="Calibri" w:hAnsi="Calibri" w:cs="Calibri"/>
          <w:color w:val="000000" w:themeColor="text1"/>
          <w:lang w:val="en-US"/>
        </w:rPr>
      </w:pPr>
      <w:r w:rsidRPr="009658C3">
        <w:rPr>
          <w:rFonts w:ascii="Calibri" w:hAnsi="Calibri" w:cs="Calibri"/>
          <w:color w:val="000000" w:themeColor="text1"/>
          <w:lang w:val="en-US"/>
        </w:rPr>
        <w:t xml:space="preserve">Enrichment </w:t>
      </w:r>
      <w:r>
        <w:rPr>
          <w:rFonts w:ascii="Calibri" w:hAnsi="Calibri" w:cs="Calibri"/>
          <w:color w:val="000000" w:themeColor="text1"/>
          <w:lang w:val="en-US"/>
        </w:rPr>
        <w:t>s</w:t>
      </w:r>
      <w:r w:rsidRPr="009658C3">
        <w:rPr>
          <w:rFonts w:ascii="Calibri" w:hAnsi="Calibri" w:cs="Calibri"/>
          <w:color w:val="000000" w:themeColor="text1"/>
          <w:lang w:val="en-US"/>
        </w:rPr>
        <w:t>core thus, quantifies TF’s overrepresented strong regulatory influence for given regulons. Hypergeometric test was used to determine statistical significance, and transcription factors with significantly enriched regulons were identified as candidate key regulators.</w:t>
      </w:r>
    </w:p>
    <w:p w14:paraId="5E38824A" w14:textId="77777777" w:rsidR="008515C4" w:rsidRPr="009658C3" w:rsidRDefault="008515C4" w:rsidP="008515C4">
      <w:pPr>
        <w:jc w:val="both"/>
        <w:rPr>
          <w:rFonts w:ascii="Calibri" w:hAnsi="Calibri" w:cs="Calibri"/>
          <w:color w:val="000000" w:themeColor="text1"/>
          <w:lang w:val="en-US"/>
        </w:rPr>
      </w:pPr>
    </w:p>
    <w:p w14:paraId="38EB2E8B" w14:textId="77777777" w:rsidR="008515C4" w:rsidRPr="00587F8D" w:rsidRDefault="008515C4" w:rsidP="008515C4">
      <w:pPr>
        <w:jc w:val="both"/>
        <w:rPr>
          <w:rFonts w:asciiTheme="majorHAnsi" w:hAnsiTheme="majorHAnsi" w:cstheme="majorHAnsi"/>
          <w:lang w:val="en-US"/>
        </w:rPr>
      </w:pPr>
      <w:r w:rsidRPr="00587F8D">
        <w:rPr>
          <w:rFonts w:asciiTheme="majorHAnsi" w:hAnsiTheme="majorHAnsi" w:cstheme="majorHAnsi"/>
          <w:lang w:val="en-US"/>
        </w:rPr>
        <w:t xml:space="preserve">The second set of regulons are the order-2 (TF-pair) enrichment analysis. To capture potential combinatorial regulation, we extended the analysis to transcription factor pairs (TF pairs). Like order-1, we evaluated TF pairs that were either members of a regulon or connected to regulon genes as first-degree neighbors from fusion GRNs. For each TF pair, we identified the set of common downstream genes that were co-regulated within the regulon. Only interactions where at least one of the TF </w:t>
      </w:r>
      <w:r>
        <w:rPr>
          <w:rFonts w:asciiTheme="majorHAnsi" w:hAnsiTheme="majorHAnsi" w:cstheme="majorHAnsi"/>
          <w:lang w:val="en-US"/>
        </w:rPr>
        <w:t>to</w:t>
      </w:r>
      <w:r w:rsidRPr="00587F8D">
        <w:rPr>
          <w:rFonts w:asciiTheme="majorHAnsi" w:hAnsiTheme="majorHAnsi" w:cstheme="majorHAnsi"/>
          <w:lang w:val="en-US"/>
        </w:rPr>
        <w:t xml:space="preserve"> gene edges were classified as strong were considered; weak-weak pairs were excluded. The observed number of co-regulated genes within the regulon was then compared to the expected overlap based on the global GRN.</w:t>
      </w:r>
    </w:p>
    <w:p w14:paraId="31656649" w14:textId="77777777" w:rsidR="008515C4" w:rsidRPr="009658C3" w:rsidRDefault="008515C4" w:rsidP="008515C4">
      <w:pPr>
        <w:jc w:val="both"/>
        <w:rPr>
          <w:rFonts w:ascii="Calibri" w:hAnsi="Calibri" w:cs="Calibri"/>
          <w:color w:val="000000" w:themeColor="text1"/>
          <w:lang w:val="en-US"/>
        </w:rPr>
      </w:pPr>
    </w:p>
    <w:p w14:paraId="1A11C58E" w14:textId="77777777" w:rsidR="008515C4" w:rsidRPr="009658C3" w:rsidRDefault="008515C4" w:rsidP="008515C4">
      <w:pPr>
        <w:jc w:val="both"/>
        <w:rPr>
          <w:rFonts w:ascii="Calibri" w:hAnsi="Calibri" w:cs="Calibri"/>
          <w:color w:val="000000" w:themeColor="text1"/>
          <w:lang w:val="en-US"/>
        </w:rPr>
      </w:pPr>
      <m:oMath>
        <m:r>
          <w:rPr>
            <w:rFonts w:ascii="Cambria Math" w:hAnsi="Cambria Math" w:cs="Calibri"/>
            <w:color w:val="000000" w:themeColor="text1"/>
            <w:lang w:val="en-US"/>
          </w:rPr>
          <m:t xml:space="preserve">Enrichment Score = </m:t>
        </m:r>
        <m:f>
          <m:fPr>
            <m:ctrlPr>
              <w:rPr>
                <w:rFonts w:ascii="Cambria Math" w:hAnsi="Cambria Math" w:cs="Calibri"/>
                <w:i/>
                <w:color w:val="000000" w:themeColor="text1"/>
                <w:lang w:val="en-US"/>
              </w:rPr>
            </m:ctrlPr>
          </m:fPr>
          <m:num>
            <m:f>
              <m:fPr>
                <m:ctrlPr>
                  <w:rPr>
                    <w:rFonts w:ascii="Cambria Math" w:hAnsi="Cambria Math" w:cs="Calibri"/>
                    <w:i/>
                    <w:color w:val="000000" w:themeColor="text1"/>
                    <w:lang w:val="en-US"/>
                  </w:rPr>
                </m:ctrlPr>
              </m:fPr>
              <m:num>
                <m:r>
                  <w:rPr>
                    <w:rFonts w:ascii="Cambria Math" w:hAnsi="Cambria Math" w:cs="Calibri"/>
                    <w:color w:val="000000" w:themeColor="text1"/>
                    <w:lang w:val="en-US"/>
                  </w:rPr>
                  <m:t xml:space="preserve">Number of </m:t>
                </m:r>
                <m:r>
                  <m:rPr>
                    <m:sty m:val="p"/>
                  </m:rPr>
                  <w:rPr>
                    <w:rFonts w:ascii="Cambria Math" w:hAnsi="Cambria Math" w:cs="Calibri"/>
                    <w:color w:val="000000" w:themeColor="text1"/>
                  </w:rPr>
                  <m:t xml:space="preserve">[(strong, strong), (strong, weak), (weak, strong)] </m:t>
                </m:r>
                <m:r>
                  <m:rPr>
                    <m:sty m:val="bi"/>
                  </m:rPr>
                  <w:rPr>
                    <w:rFonts w:ascii="Cambria Math" w:hAnsi="Cambria Math" w:cs="Calibri"/>
                    <w:color w:val="000000" w:themeColor="text1"/>
                    <w:lang w:val="en-US"/>
                  </w:rPr>
                  <m:t xml:space="preserve"> </m:t>
                </m:r>
                <m:r>
                  <m:rPr>
                    <m:sty m:val="p"/>
                  </m:rPr>
                  <w:rPr>
                    <w:rFonts w:ascii="Cambria Math" w:hAnsi="Cambria Math" w:cs="Calibri"/>
                    <w:color w:val="000000" w:themeColor="text1"/>
                  </w:rPr>
                  <m:t>co-regulated genes within the regulon</m:t>
                </m:r>
              </m:num>
              <m:den>
                <m:r>
                  <w:rPr>
                    <w:rFonts w:ascii="Cambria Math" w:hAnsi="Cambria Math" w:cs="Calibri"/>
                    <w:color w:val="000000" w:themeColor="text1"/>
                    <w:lang w:val="en-US"/>
                  </w:rPr>
                  <m:t xml:space="preserve">Total number of genes in the regulon </m:t>
                </m:r>
              </m:den>
            </m:f>
          </m:num>
          <m:den>
            <m:f>
              <m:fPr>
                <m:ctrlPr>
                  <w:rPr>
                    <w:rFonts w:ascii="Cambria Math" w:hAnsi="Cambria Math" w:cs="Calibri"/>
                    <w:i/>
                    <w:color w:val="000000" w:themeColor="text1"/>
                    <w:lang w:val="en-US"/>
                  </w:rPr>
                </m:ctrlPr>
              </m:fPr>
              <m:num>
                <m:r>
                  <w:rPr>
                    <w:rFonts w:ascii="Cambria Math" w:hAnsi="Cambria Math" w:cs="Calibri"/>
                    <w:color w:val="000000" w:themeColor="text1"/>
                    <w:lang w:val="en-US"/>
                  </w:rPr>
                  <m:t xml:space="preserve">Number of </m:t>
                </m:r>
                <m:r>
                  <m:rPr>
                    <m:sty m:val="p"/>
                  </m:rPr>
                  <w:rPr>
                    <w:rFonts w:ascii="Cambria Math" w:hAnsi="Cambria Math" w:cs="Calibri"/>
                    <w:color w:val="000000" w:themeColor="text1"/>
                  </w:rPr>
                  <m:t xml:space="preserve">[(strong, strong), (strong, weak), (weak, strong)] </m:t>
                </m:r>
                <m:r>
                  <m:rPr>
                    <m:sty m:val="bi"/>
                  </m:rPr>
                  <w:rPr>
                    <w:rFonts w:ascii="Cambria Math" w:hAnsi="Cambria Math" w:cs="Calibri"/>
                    <w:color w:val="000000" w:themeColor="text1"/>
                    <w:lang w:val="en-US"/>
                  </w:rPr>
                  <m:t xml:space="preserve"> </m:t>
                </m:r>
                <m:r>
                  <m:rPr>
                    <m:sty m:val="p"/>
                  </m:rPr>
                  <w:rPr>
                    <w:rFonts w:ascii="Cambria Math" w:hAnsi="Cambria Math" w:cs="Calibri"/>
                    <w:color w:val="000000" w:themeColor="text1"/>
                  </w:rPr>
                  <m:t xml:space="preserve">co-regulated genes </m:t>
                </m:r>
                <m:r>
                  <w:rPr>
                    <w:rFonts w:ascii="Cambria Math" w:hAnsi="Cambria Math" w:cs="Calibri"/>
                    <w:color w:val="000000" w:themeColor="text1"/>
                    <w:lang w:val="en-US"/>
                  </w:rPr>
                  <m:t>in the fusion GRNs</m:t>
                </m:r>
              </m:num>
              <m:den>
                <m:r>
                  <w:rPr>
                    <w:rFonts w:ascii="Cambria Math" w:hAnsi="Cambria Math" w:cs="Calibri"/>
                    <w:color w:val="000000" w:themeColor="text1"/>
                    <w:lang w:val="en-US"/>
                  </w:rPr>
                  <m:t>Total number of genes in the GRN</m:t>
                </m:r>
              </m:den>
            </m:f>
          </m:den>
        </m:f>
      </m:oMath>
      <w:r w:rsidRPr="009658C3">
        <w:rPr>
          <w:rFonts w:ascii="Calibri" w:hAnsi="Calibri" w:cs="Calibri"/>
          <w:color w:val="000000" w:themeColor="text1"/>
          <w:lang w:val="en-US"/>
        </w:rPr>
        <w:t xml:space="preserve">      (5)</w:t>
      </w:r>
    </w:p>
    <w:p w14:paraId="36D4938E" w14:textId="77777777" w:rsidR="008515C4" w:rsidRPr="009658C3" w:rsidRDefault="008515C4" w:rsidP="008515C4">
      <w:pPr>
        <w:jc w:val="both"/>
        <w:rPr>
          <w:rFonts w:ascii="Calibri" w:hAnsi="Calibri" w:cs="Calibri"/>
          <w:color w:val="000000" w:themeColor="text1"/>
          <w:lang w:val="en-US"/>
        </w:rPr>
      </w:pPr>
    </w:p>
    <w:p w14:paraId="142D868E" w14:textId="77777777" w:rsidR="008515C4" w:rsidRPr="009658C3" w:rsidRDefault="008515C4" w:rsidP="008515C4">
      <w:pPr>
        <w:jc w:val="both"/>
        <w:rPr>
          <w:rFonts w:ascii="Calibri" w:hAnsi="Calibri" w:cs="Calibri"/>
          <w:color w:val="000000" w:themeColor="text1"/>
          <w:lang w:val="en-US"/>
        </w:rPr>
      </w:pPr>
      <w:r w:rsidRPr="009658C3">
        <w:rPr>
          <w:rFonts w:ascii="Calibri" w:hAnsi="Calibri" w:cs="Calibri"/>
          <w:color w:val="000000" w:themeColor="text1"/>
          <w:lang w:val="en-US"/>
        </w:rPr>
        <w:t>To reduce spurious associations, we applied two filtering criteria; (1) TF pairs must co-regulate more than one gene within the regulon, and (2) TF pairs must co-regulate at least four genes across the full GRN. Statistical enrichment was again assessed using a hypergeometric test, and TF pairs with significant enrichment (p &lt; 0.05) that passed both filters were retained as candidate combinatorial regulators contributing to subtype-specific transcriptional programs.</w:t>
      </w:r>
    </w:p>
    <w:p w14:paraId="318FB281" w14:textId="77777777" w:rsidR="008515C4" w:rsidRPr="00624F7B" w:rsidRDefault="008515C4" w:rsidP="008515C4">
      <w:pPr>
        <w:spacing w:before="320" w:after="80"/>
        <w:jc w:val="both"/>
        <w:outlineLvl w:val="2"/>
        <w:rPr>
          <w:rFonts w:asciiTheme="majorHAnsi" w:eastAsia="Times New Roman" w:hAnsiTheme="majorHAnsi" w:cstheme="majorHAnsi"/>
          <w:b/>
          <w:bCs/>
          <w:color w:val="000000" w:themeColor="text1"/>
          <w:sz w:val="24"/>
          <w:szCs w:val="24"/>
          <w:lang w:val="en-US"/>
        </w:rPr>
      </w:pPr>
      <w:r w:rsidRPr="00624F7B">
        <w:rPr>
          <w:rFonts w:asciiTheme="majorHAnsi" w:eastAsia="Times New Roman" w:hAnsiTheme="majorHAnsi" w:cstheme="majorHAnsi"/>
          <w:b/>
          <w:bCs/>
          <w:color w:val="000000" w:themeColor="text1"/>
          <w:sz w:val="24"/>
          <w:szCs w:val="24"/>
          <w:lang w:val="en-US"/>
        </w:rPr>
        <w:t xml:space="preserve">Benchmarking of </w:t>
      </w:r>
      <w:proofErr w:type="spellStart"/>
      <w:r w:rsidRPr="00624F7B">
        <w:rPr>
          <w:rFonts w:asciiTheme="majorHAnsi" w:eastAsia="Times New Roman" w:hAnsiTheme="majorHAnsi" w:cstheme="majorHAnsi"/>
          <w:b/>
          <w:bCs/>
          <w:color w:val="000000" w:themeColor="text1"/>
          <w:sz w:val="24"/>
          <w:szCs w:val="24"/>
          <w:lang w:val="en-US"/>
        </w:rPr>
        <w:t>FIREFate</w:t>
      </w:r>
      <w:proofErr w:type="spellEnd"/>
      <w:r w:rsidRPr="00624F7B">
        <w:rPr>
          <w:rFonts w:asciiTheme="majorHAnsi" w:eastAsia="Times New Roman" w:hAnsiTheme="majorHAnsi" w:cstheme="majorHAnsi"/>
          <w:b/>
          <w:bCs/>
          <w:color w:val="000000" w:themeColor="text1"/>
          <w:sz w:val="24"/>
          <w:szCs w:val="24"/>
          <w:lang w:val="en-US"/>
        </w:rPr>
        <w:t xml:space="preserve"> Cellular Programs</w:t>
      </w:r>
    </w:p>
    <w:p w14:paraId="70BFCC30" w14:textId="77777777" w:rsidR="008515C4" w:rsidRPr="009658C3" w:rsidRDefault="008515C4" w:rsidP="008515C4">
      <w:pPr>
        <w:jc w:val="both"/>
        <w:rPr>
          <w:rFonts w:ascii="Calibri" w:hAnsi="Calibri" w:cs="Calibri"/>
          <w:color w:val="000000" w:themeColor="text1"/>
          <w:lang w:val="en-US"/>
        </w:rPr>
      </w:pPr>
      <w:r w:rsidRPr="56BF1791">
        <w:rPr>
          <w:rFonts w:ascii="Calibri" w:hAnsi="Calibri" w:cs="Calibri"/>
          <w:color w:val="000000" w:themeColor="text1"/>
          <w:lang w:val="en-US"/>
        </w:rPr>
        <w:t xml:space="preserve">To enable direct comparison of order-1 transcriptional programs enriched by </w:t>
      </w:r>
      <w:proofErr w:type="spellStart"/>
      <w:r w:rsidRPr="56BF1791">
        <w:rPr>
          <w:rFonts w:ascii="Calibri" w:hAnsi="Calibri" w:cs="Calibri"/>
          <w:color w:val="000000" w:themeColor="text1"/>
          <w:lang w:val="en-US"/>
        </w:rPr>
        <w:t>FIREFate</w:t>
      </w:r>
      <w:proofErr w:type="spellEnd"/>
      <w:r w:rsidRPr="56BF1791">
        <w:rPr>
          <w:rFonts w:ascii="Calibri" w:hAnsi="Calibri" w:cs="Calibri"/>
          <w:color w:val="000000" w:themeColor="text1"/>
          <w:lang w:val="en-US"/>
        </w:rPr>
        <w:t>, TF-centric regulons, we employed SCENIC+ to generate state-specific regulons distinguishing GC and PB states in the B-cell system (supplementary fig1), and Tex-term and Tex-KLR states in the T-cell system (supplementary fig2). Our workflow proceeded as follows: SCENIC+ was first applied to single-cell multi-</w:t>
      </w:r>
      <w:proofErr w:type="spellStart"/>
      <w:r w:rsidRPr="56BF1791">
        <w:rPr>
          <w:rFonts w:ascii="Calibri" w:hAnsi="Calibri" w:cs="Calibri"/>
          <w:color w:val="000000" w:themeColor="text1"/>
          <w:lang w:val="en-US"/>
        </w:rPr>
        <w:t>omic</w:t>
      </w:r>
      <w:proofErr w:type="spellEnd"/>
      <w:r w:rsidRPr="56BF1791">
        <w:rPr>
          <w:rFonts w:ascii="Calibri" w:hAnsi="Calibri" w:cs="Calibri"/>
          <w:color w:val="000000" w:themeColor="text1"/>
          <w:lang w:val="en-US"/>
        </w:rPr>
        <w:t xml:space="preserve"> data of both systems to infer regulons differentially active between the specified cell states. Regulon activity and specificity were quantified using the </w:t>
      </w:r>
      <w:proofErr w:type="spellStart"/>
      <w:r w:rsidRPr="56BF1791">
        <w:rPr>
          <w:rFonts w:ascii="Calibri" w:hAnsi="Calibri" w:cs="Calibri"/>
          <w:i/>
          <w:iCs/>
          <w:color w:val="000000" w:themeColor="text1"/>
          <w:lang w:val="en-US"/>
        </w:rPr>
        <w:t>eRegulon</w:t>
      </w:r>
      <w:proofErr w:type="spellEnd"/>
      <w:r w:rsidRPr="56BF1791">
        <w:rPr>
          <w:rFonts w:ascii="Calibri" w:hAnsi="Calibri" w:cs="Calibri"/>
          <w:color w:val="000000" w:themeColor="text1"/>
          <w:lang w:val="en-US"/>
        </w:rPr>
        <w:t xml:space="preserve"> score. To ensure comparability across analyses, we retained only those SCENIC+-derived regulons whose TFs overlapped with significantly enriched order-1 TFs identified through our regulon and fusion GRN analyses. To compare the specificity and sensitivity of those TF-centric regulons, we compiled the target genes of each transcription factor within the selected SCENIC+ regulons, as well as those defined by the regulon and fusion GRN frameworks. We then calculated the absolute fold changes in gene expression between the two cell state subtypes to assess the differential regulatory impact across methodologies.</w:t>
      </w:r>
    </w:p>
    <w:p w14:paraId="090938AA" w14:textId="77777777" w:rsidR="008515C4" w:rsidRDefault="008515C4" w:rsidP="008515C4">
      <w:pPr>
        <w:pStyle w:val="Heading3"/>
        <w:jc w:val="both"/>
        <w:rPr>
          <w:rFonts w:asciiTheme="majorHAnsi" w:hAnsiTheme="majorHAnsi"/>
          <w:b/>
          <w:bCs/>
          <w:color w:val="000000" w:themeColor="text1"/>
          <w:sz w:val="24"/>
          <w:szCs w:val="24"/>
          <w:lang w:val="en-US"/>
        </w:rPr>
      </w:pPr>
      <w:r w:rsidRPr="56BF1791">
        <w:rPr>
          <w:rFonts w:asciiTheme="majorHAnsi" w:hAnsiTheme="majorHAnsi"/>
          <w:b/>
          <w:bCs/>
          <w:color w:val="000000" w:themeColor="text1"/>
          <w:sz w:val="24"/>
          <w:szCs w:val="24"/>
          <w:lang w:val="en-US"/>
        </w:rPr>
        <w:t>Imputation of multi-</w:t>
      </w:r>
      <w:proofErr w:type="spellStart"/>
      <w:r w:rsidRPr="56BF1791">
        <w:rPr>
          <w:rFonts w:asciiTheme="majorHAnsi" w:hAnsiTheme="majorHAnsi"/>
          <w:b/>
          <w:bCs/>
          <w:color w:val="000000" w:themeColor="text1"/>
          <w:sz w:val="24"/>
          <w:szCs w:val="24"/>
          <w:lang w:val="en-US"/>
        </w:rPr>
        <w:t>ome</w:t>
      </w:r>
      <w:proofErr w:type="spellEnd"/>
      <w:r w:rsidRPr="56BF1791">
        <w:rPr>
          <w:rFonts w:asciiTheme="majorHAnsi" w:hAnsiTheme="majorHAnsi"/>
          <w:b/>
          <w:bCs/>
          <w:color w:val="000000" w:themeColor="text1"/>
          <w:sz w:val="24"/>
          <w:szCs w:val="24"/>
          <w:lang w:val="en-US"/>
        </w:rPr>
        <w:t xml:space="preserve"> dataset</w:t>
      </w:r>
    </w:p>
    <w:p w14:paraId="41CF8289" w14:textId="77777777" w:rsidR="008515C4" w:rsidRDefault="008515C4" w:rsidP="008515C4">
      <w:pPr>
        <w:rPr>
          <w:rFonts w:ascii="Calibri" w:hAnsi="Calibri" w:cs="Calibri"/>
          <w:color w:val="000000" w:themeColor="text1"/>
          <w:lang w:val="en-US"/>
        </w:rPr>
      </w:pPr>
      <w:r w:rsidRPr="138B7747">
        <w:rPr>
          <w:rFonts w:ascii="Calibri" w:hAnsi="Calibri" w:cs="Calibri"/>
          <w:color w:val="000000" w:themeColor="text1"/>
          <w:lang w:val="en-US"/>
        </w:rPr>
        <w:t>PALANTIR</w:t>
      </w:r>
      <w:r w:rsidRPr="56BF1791">
        <w:rPr>
          <w:rFonts w:ascii="Calibri" w:hAnsi="Calibri" w:cs="Calibri"/>
          <w:color w:val="000000" w:themeColor="text1"/>
          <w:lang w:val="en-US"/>
        </w:rPr>
        <w:t xml:space="preserve"> was used to impute the </w:t>
      </w:r>
      <w:proofErr w:type="spellStart"/>
      <w:r w:rsidRPr="56BF1791">
        <w:rPr>
          <w:rFonts w:ascii="Calibri" w:hAnsi="Calibri" w:cs="Calibri"/>
          <w:color w:val="000000" w:themeColor="text1"/>
          <w:lang w:val="en-US"/>
        </w:rPr>
        <w:t>sc</w:t>
      </w:r>
      <w:proofErr w:type="spellEnd"/>
      <w:r w:rsidRPr="56BF1791">
        <w:rPr>
          <w:rFonts w:ascii="Calibri" w:hAnsi="Calibri" w:cs="Calibri"/>
          <w:color w:val="000000" w:themeColor="text1"/>
          <w:lang w:val="en-US"/>
        </w:rPr>
        <w:t>-RNA counts of the B-cell multi-</w:t>
      </w:r>
      <w:proofErr w:type="spellStart"/>
      <w:r w:rsidRPr="56BF1791">
        <w:rPr>
          <w:rFonts w:ascii="Calibri" w:hAnsi="Calibri" w:cs="Calibri"/>
          <w:color w:val="000000" w:themeColor="text1"/>
          <w:lang w:val="en-US"/>
        </w:rPr>
        <w:t>omic</w:t>
      </w:r>
      <w:proofErr w:type="spellEnd"/>
      <w:r w:rsidRPr="56BF1791">
        <w:rPr>
          <w:rFonts w:ascii="Calibri" w:hAnsi="Calibri" w:cs="Calibri"/>
          <w:color w:val="000000" w:themeColor="text1"/>
          <w:lang w:val="en-US"/>
        </w:rPr>
        <w:t xml:space="preserve"> </w:t>
      </w:r>
      <w:r w:rsidRPr="66FF2087">
        <w:rPr>
          <w:rFonts w:ascii="Calibri" w:hAnsi="Calibri" w:cs="Calibri"/>
          <w:color w:val="000000" w:themeColor="text1"/>
          <w:lang w:val="en-US"/>
        </w:rPr>
        <w:t>(</w:t>
      </w:r>
      <w:proofErr w:type="spellStart"/>
      <w:r w:rsidRPr="66FF2087">
        <w:rPr>
          <w:rFonts w:ascii="Calibri" w:hAnsi="Calibri" w:cs="Calibri"/>
          <w:color w:val="000000" w:themeColor="text1"/>
          <w:lang w:val="en-US"/>
        </w:rPr>
        <w:t>scRNA+ATAC</w:t>
      </w:r>
      <w:proofErr w:type="spellEnd"/>
      <w:r w:rsidRPr="66FF2087">
        <w:rPr>
          <w:rFonts w:ascii="Calibri" w:hAnsi="Calibri" w:cs="Calibri"/>
          <w:color w:val="000000" w:themeColor="text1"/>
          <w:lang w:val="en-US"/>
        </w:rPr>
        <w:t xml:space="preserve">) </w:t>
      </w:r>
      <w:r w:rsidRPr="56BF1791">
        <w:rPr>
          <w:rFonts w:ascii="Calibri" w:hAnsi="Calibri" w:cs="Calibri"/>
          <w:color w:val="000000" w:themeColor="text1"/>
          <w:lang w:val="en-US"/>
        </w:rPr>
        <w:t>dataset</w:t>
      </w:r>
      <w:r w:rsidRPr="66FF2087">
        <w:rPr>
          <w:rFonts w:ascii="Calibri" w:hAnsi="Calibri" w:cs="Calibri"/>
          <w:color w:val="000000" w:themeColor="text1"/>
          <w:lang w:val="en-US"/>
        </w:rPr>
        <w:t>.</w:t>
      </w:r>
      <w:r w:rsidRPr="56BF1791">
        <w:rPr>
          <w:rFonts w:ascii="Calibri" w:hAnsi="Calibri" w:cs="Calibri"/>
          <w:color w:val="000000" w:themeColor="text1"/>
          <w:lang w:val="en-US"/>
        </w:rPr>
        <w:t xml:space="preserve"> </w:t>
      </w:r>
      <w:r w:rsidRPr="4D07D1E2">
        <w:rPr>
          <w:rFonts w:ascii="Calibri" w:hAnsi="Calibri" w:cs="Calibri"/>
          <w:color w:val="000000" w:themeColor="text1"/>
          <w:lang w:val="en-US"/>
        </w:rPr>
        <w:t xml:space="preserve">Following standard preprocessing, highly variable features were selected for </w:t>
      </w:r>
      <w:r w:rsidRPr="023FDAF0">
        <w:rPr>
          <w:rFonts w:ascii="Calibri" w:hAnsi="Calibri" w:cs="Calibri"/>
          <w:color w:val="000000" w:themeColor="text1"/>
          <w:lang w:val="en-US"/>
        </w:rPr>
        <w:t>PCA dimensionality</w:t>
      </w:r>
      <w:r w:rsidRPr="4D07D1E2">
        <w:rPr>
          <w:rFonts w:ascii="Calibri" w:hAnsi="Calibri" w:cs="Calibri"/>
          <w:color w:val="000000" w:themeColor="text1"/>
          <w:lang w:val="en-US"/>
        </w:rPr>
        <w:t xml:space="preserve"> reduction. </w:t>
      </w:r>
      <w:r w:rsidRPr="0E492849">
        <w:rPr>
          <w:rFonts w:ascii="Calibri" w:hAnsi="Calibri" w:cs="Calibri"/>
          <w:color w:val="000000" w:themeColor="text1"/>
          <w:lang w:val="en-US"/>
        </w:rPr>
        <w:t xml:space="preserve">10 PC components were </w:t>
      </w:r>
      <w:r w:rsidRPr="4D07D1E2">
        <w:rPr>
          <w:rFonts w:ascii="Calibri" w:hAnsi="Calibri" w:cs="Calibri"/>
          <w:color w:val="000000" w:themeColor="text1"/>
          <w:lang w:val="en-US"/>
        </w:rPr>
        <w:t xml:space="preserve">then </w:t>
      </w:r>
      <w:r w:rsidRPr="0E492849">
        <w:rPr>
          <w:rFonts w:ascii="Calibri" w:hAnsi="Calibri" w:cs="Calibri"/>
          <w:color w:val="000000" w:themeColor="text1"/>
          <w:lang w:val="en-US"/>
        </w:rPr>
        <w:t xml:space="preserve">used to get the </w:t>
      </w:r>
      <w:r w:rsidRPr="138B7747">
        <w:rPr>
          <w:rFonts w:ascii="Calibri" w:hAnsi="Calibri" w:cs="Calibri"/>
          <w:color w:val="000000" w:themeColor="text1"/>
          <w:lang w:val="en-US"/>
        </w:rPr>
        <w:t>Diffusion Maps</w:t>
      </w:r>
      <w:r w:rsidRPr="0E492849">
        <w:rPr>
          <w:rFonts w:ascii="Calibri" w:hAnsi="Calibri" w:cs="Calibri"/>
          <w:color w:val="000000" w:themeColor="text1"/>
          <w:lang w:val="en-US"/>
        </w:rPr>
        <w:t xml:space="preserve"> eigenvector basis </w:t>
      </w:r>
      <w:r w:rsidRPr="32A831AC">
        <w:rPr>
          <w:rFonts w:ascii="Calibri" w:hAnsi="Calibri" w:cs="Calibri"/>
          <w:color w:val="000000" w:themeColor="text1"/>
          <w:lang w:val="en-US"/>
        </w:rPr>
        <w:t xml:space="preserve">and cellular neighborhood </w:t>
      </w:r>
      <w:r w:rsidRPr="0E492849">
        <w:rPr>
          <w:rFonts w:ascii="Calibri" w:hAnsi="Calibri" w:cs="Calibri"/>
          <w:color w:val="000000" w:themeColor="text1"/>
          <w:lang w:val="en-US"/>
        </w:rPr>
        <w:t xml:space="preserve">for the </w:t>
      </w:r>
      <w:r w:rsidRPr="3428E443">
        <w:rPr>
          <w:rFonts w:ascii="Calibri" w:hAnsi="Calibri" w:cs="Calibri"/>
          <w:color w:val="000000" w:themeColor="text1"/>
          <w:lang w:val="en-US"/>
        </w:rPr>
        <w:t>B-</w:t>
      </w:r>
      <w:r w:rsidRPr="0E492849">
        <w:rPr>
          <w:rFonts w:ascii="Calibri" w:hAnsi="Calibri" w:cs="Calibri"/>
          <w:color w:val="000000" w:themeColor="text1"/>
          <w:lang w:val="en-US"/>
        </w:rPr>
        <w:t xml:space="preserve">cell </w:t>
      </w:r>
      <w:r w:rsidRPr="3428E443">
        <w:rPr>
          <w:rFonts w:ascii="Calibri" w:hAnsi="Calibri" w:cs="Calibri"/>
          <w:color w:val="000000" w:themeColor="text1"/>
          <w:lang w:val="en-US"/>
        </w:rPr>
        <w:t xml:space="preserve">states. </w:t>
      </w:r>
      <w:r w:rsidRPr="0A6AAC92">
        <w:rPr>
          <w:rFonts w:ascii="Calibri" w:hAnsi="Calibri" w:cs="Calibri"/>
          <w:color w:val="000000" w:themeColor="text1"/>
          <w:lang w:val="en-US"/>
        </w:rPr>
        <w:t xml:space="preserve">Palantir’s built in MAGIC algorithm was used to impute the gene expression </w:t>
      </w:r>
      <w:r w:rsidRPr="298979C9">
        <w:rPr>
          <w:rFonts w:ascii="Calibri" w:hAnsi="Calibri" w:cs="Calibri"/>
          <w:color w:val="000000" w:themeColor="text1"/>
          <w:lang w:val="en-US"/>
        </w:rPr>
        <w:t>of</w:t>
      </w:r>
      <w:r w:rsidRPr="0A6AAC92">
        <w:rPr>
          <w:rFonts w:ascii="Calibri" w:hAnsi="Calibri" w:cs="Calibri"/>
          <w:color w:val="000000" w:themeColor="text1"/>
          <w:lang w:val="en-US"/>
        </w:rPr>
        <w:t xml:space="preserve"> the </w:t>
      </w:r>
      <w:r w:rsidRPr="298979C9">
        <w:rPr>
          <w:rFonts w:ascii="Calibri" w:hAnsi="Calibri" w:cs="Calibri"/>
          <w:color w:val="000000" w:themeColor="text1"/>
          <w:lang w:val="en-US"/>
        </w:rPr>
        <w:t xml:space="preserve">highly </w:t>
      </w:r>
      <w:r w:rsidRPr="49711027">
        <w:rPr>
          <w:rFonts w:ascii="Calibri" w:hAnsi="Calibri" w:cs="Calibri"/>
          <w:color w:val="000000" w:themeColor="text1"/>
          <w:lang w:val="en-US"/>
        </w:rPr>
        <w:t>variable gene</w:t>
      </w:r>
      <w:r w:rsidRPr="464B2C10">
        <w:rPr>
          <w:rFonts w:ascii="Calibri" w:hAnsi="Calibri" w:cs="Calibri"/>
          <w:lang w:val="en-US"/>
        </w:rPr>
        <w:t>s (n=3018</w:t>
      </w:r>
      <w:r w:rsidRPr="2D0D498F">
        <w:rPr>
          <w:rFonts w:ascii="Calibri" w:hAnsi="Calibri" w:cs="Calibri"/>
          <w:lang w:val="en-US"/>
        </w:rPr>
        <w:t>).</w:t>
      </w:r>
      <w:r w:rsidRPr="464B2C10">
        <w:rPr>
          <w:rFonts w:ascii="Calibri" w:hAnsi="Calibri" w:cs="Calibri"/>
          <w:lang w:val="en-US"/>
        </w:rPr>
        <w:t xml:space="preserve"> The imputed dataset </w:t>
      </w:r>
      <w:r w:rsidRPr="464B2C10">
        <w:rPr>
          <w:rFonts w:ascii="Calibri" w:hAnsi="Calibri" w:cs="Calibri"/>
          <w:lang w:val="en-US"/>
        </w:rPr>
        <w:lastRenderedPageBreak/>
        <w:t>was then filtered to only contain cell states of interest for trajectory inference, dropping ‘Naive’, ‘</w:t>
      </w:r>
      <w:r w:rsidRPr="464B2C10">
        <w:rPr>
          <w:rFonts w:ascii="Menlo" w:eastAsia="Menlo" w:hAnsi="Menlo" w:cs="Menlo"/>
          <w:sz w:val="18"/>
          <w:szCs w:val="18"/>
          <w:lang w:val="en-US"/>
        </w:rPr>
        <w:t>8_UD_2’, ‘11_UD_3’states</w:t>
      </w:r>
      <w:r w:rsidRPr="464B2C10">
        <w:rPr>
          <w:rFonts w:ascii="Calibri" w:hAnsi="Calibri" w:cs="Calibri"/>
          <w:lang w:val="en-US"/>
        </w:rPr>
        <w:t>.</w:t>
      </w:r>
    </w:p>
    <w:p w14:paraId="50CFA520" w14:textId="77777777" w:rsidR="008515C4" w:rsidRPr="00624F7B" w:rsidRDefault="008515C4" w:rsidP="008515C4">
      <w:pPr>
        <w:pStyle w:val="Heading3"/>
        <w:jc w:val="both"/>
        <w:rPr>
          <w:rFonts w:asciiTheme="majorHAnsi" w:hAnsiTheme="majorHAnsi" w:cstheme="majorHAnsi"/>
          <w:b/>
          <w:bCs/>
          <w:color w:val="000000" w:themeColor="text1"/>
          <w:sz w:val="24"/>
          <w:szCs w:val="24"/>
          <w:lang w:val="en-US"/>
        </w:rPr>
      </w:pPr>
      <w:r w:rsidRPr="00624F7B">
        <w:rPr>
          <w:rFonts w:asciiTheme="majorHAnsi" w:hAnsiTheme="majorHAnsi" w:cstheme="majorHAnsi"/>
          <w:b/>
          <w:bCs/>
          <w:color w:val="000000" w:themeColor="text1"/>
          <w:sz w:val="24"/>
          <w:szCs w:val="24"/>
          <w:lang w:val="en-US"/>
        </w:rPr>
        <w:t>Inferring pseudo-time trajectory</w:t>
      </w:r>
    </w:p>
    <w:p w14:paraId="48FE90EB" w14:textId="77777777" w:rsidR="008515C4" w:rsidRPr="00624F7B" w:rsidRDefault="008515C4" w:rsidP="008515C4">
      <w:pPr>
        <w:jc w:val="both"/>
        <w:rPr>
          <w:rFonts w:ascii="Calibri" w:hAnsi="Calibri" w:cs="Calibri"/>
          <w:color w:val="000000" w:themeColor="text1"/>
          <w:lang w:val="en-US"/>
        </w:rPr>
      </w:pPr>
      <w:r w:rsidRPr="2C0C6917">
        <w:rPr>
          <w:rFonts w:ascii="Calibri" w:hAnsi="Calibri" w:cs="Calibri"/>
          <w:color w:val="000000" w:themeColor="text1"/>
          <w:lang w:val="en-US"/>
        </w:rPr>
        <w:t>To</w:t>
      </w:r>
      <w:r w:rsidRPr="266B702C">
        <w:rPr>
          <w:rFonts w:ascii="Calibri" w:hAnsi="Calibri" w:cs="Calibri"/>
          <w:color w:val="000000" w:themeColor="text1"/>
          <w:lang w:val="en-US"/>
        </w:rPr>
        <w:t xml:space="preserve"> reconstruct </w:t>
      </w:r>
      <w:r w:rsidRPr="677FDD44">
        <w:rPr>
          <w:rFonts w:ascii="Calibri" w:hAnsi="Calibri" w:cs="Calibri"/>
          <w:color w:val="000000" w:themeColor="text1"/>
          <w:lang w:val="en-US"/>
        </w:rPr>
        <w:t xml:space="preserve">single-cell differentiation </w:t>
      </w:r>
      <w:r w:rsidRPr="12CCF373">
        <w:rPr>
          <w:rFonts w:ascii="Calibri" w:hAnsi="Calibri" w:cs="Calibri"/>
          <w:color w:val="000000" w:themeColor="text1"/>
          <w:lang w:val="en-US"/>
        </w:rPr>
        <w:t>trajectory</w:t>
      </w:r>
      <w:r w:rsidRPr="677FDD44">
        <w:rPr>
          <w:rFonts w:ascii="Calibri" w:hAnsi="Calibri" w:cs="Calibri"/>
          <w:color w:val="000000" w:themeColor="text1"/>
          <w:lang w:val="en-US"/>
        </w:rPr>
        <w:t xml:space="preserve"> from our </w:t>
      </w:r>
      <w:r w:rsidRPr="2C0C6917">
        <w:rPr>
          <w:rFonts w:ascii="Calibri" w:hAnsi="Calibri" w:cs="Calibri"/>
          <w:color w:val="000000" w:themeColor="text1"/>
          <w:lang w:val="en-US"/>
        </w:rPr>
        <w:t>dataset</w:t>
      </w:r>
      <w:r w:rsidRPr="677FDD44">
        <w:rPr>
          <w:rFonts w:ascii="Calibri" w:hAnsi="Calibri" w:cs="Calibri"/>
          <w:color w:val="000000" w:themeColor="text1"/>
          <w:lang w:val="en-US"/>
        </w:rPr>
        <w:t xml:space="preserve"> of </w:t>
      </w:r>
      <w:r w:rsidRPr="000C479A">
        <w:rPr>
          <w:rFonts w:ascii="Menlo" w:eastAsia="Menlo" w:hAnsi="Menlo" w:cs="Menlo"/>
          <w:color w:val="000000" w:themeColor="text1"/>
          <w:sz w:val="18"/>
          <w:szCs w:val="18"/>
          <w:lang w:val="en-US"/>
        </w:rPr>
        <w:t>28,494</w:t>
      </w:r>
      <w:r>
        <w:rPr>
          <w:rFonts w:ascii="Menlo" w:eastAsia="Menlo" w:hAnsi="Menlo" w:cs="Menlo"/>
          <w:color w:val="000000" w:themeColor="text1"/>
          <w:sz w:val="18"/>
          <w:szCs w:val="18"/>
          <w:lang w:val="en-US"/>
        </w:rPr>
        <w:t xml:space="preserve"> </w:t>
      </w:r>
      <w:r w:rsidRPr="677FDD44">
        <w:rPr>
          <w:rFonts w:ascii="Calibri" w:hAnsi="Calibri" w:cs="Calibri"/>
          <w:color w:val="000000" w:themeColor="text1"/>
          <w:lang w:val="en-US"/>
        </w:rPr>
        <w:t xml:space="preserve">cells in </w:t>
      </w:r>
      <w:r w:rsidRPr="22B370E8">
        <w:rPr>
          <w:rFonts w:ascii="Calibri" w:hAnsi="Calibri" w:cs="Calibri"/>
          <w:color w:val="000000" w:themeColor="text1"/>
          <w:lang w:val="en-US"/>
        </w:rPr>
        <w:t>the B-</w:t>
      </w:r>
      <w:r w:rsidRPr="677FDD44">
        <w:rPr>
          <w:rFonts w:ascii="Calibri" w:hAnsi="Calibri" w:cs="Calibri"/>
          <w:color w:val="000000" w:themeColor="text1"/>
          <w:lang w:val="en-US"/>
        </w:rPr>
        <w:t>cell system</w:t>
      </w:r>
      <w:r w:rsidRPr="1666516D">
        <w:rPr>
          <w:rFonts w:ascii="Calibri" w:hAnsi="Calibri" w:cs="Calibri"/>
          <w:color w:val="000000" w:themeColor="text1"/>
          <w:lang w:val="en-US"/>
        </w:rPr>
        <w:t xml:space="preserve">, we </w:t>
      </w:r>
      <w:r w:rsidRPr="6FE28182">
        <w:rPr>
          <w:rFonts w:ascii="Calibri" w:hAnsi="Calibri" w:cs="Calibri"/>
          <w:color w:val="000000" w:themeColor="text1"/>
          <w:lang w:val="en-US"/>
        </w:rPr>
        <w:t>applied STREAM</w:t>
      </w:r>
      <w:r w:rsidRPr="677FDD44">
        <w:rPr>
          <w:rFonts w:ascii="Calibri" w:hAnsi="Calibri" w:cs="Calibri"/>
          <w:color w:val="000000" w:themeColor="text1"/>
          <w:lang w:val="en-US"/>
        </w:rPr>
        <w:t xml:space="preserve"> </w:t>
      </w:r>
      <w:r w:rsidRPr="60328809">
        <w:rPr>
          <w:rFonts w:ascii="Calibri" w:hAnsi="Calibri" w:cs="Calibri"/>
          <w:color w:val="000000" w:themeColor="text1"/>
          <w:lang w:val="en-US"/>
        </w:rPr>
        <w:t xml:space="preserve">on the MAGIC imputed gene-expression layer </w:t>
      </w:r>
      <w:r w:rsidRPr="0AB1C78F">
        <w:rPr>
          <w:rFonts w:ascii="Calibri" w:hAnsi="Calibri" w:cs="Calibri"/>
          <w:color w:val="000000" w:themeColor="text1"/>
          <w:lang w:val="en-US"/>
        </w:rPr>
        <w:t>with</w:t>
      </w:r>
      <w:r w:rsidRPr="60328809">
        <w:rPr>
          <w:rFonts w:ascii="Calibri" w:hAnsi="Calibri" w:cs="Calibri"/>
          <w:color w:val="000000" w:themeColor="text1"/>
          <w:lang w:val="en-US"/>
        </w:rPr>
        <w:t xml:space="preserve"> ‘all’ highly variable genes</w:t>
      </w:r>
      <w:r w:rsidRPr="2C0C6917">
        <w:rPr>
          <w:rFonts w:ascii="Calibri" w:hAnsi="Calibri" w:cs="Calibri"/>
          <w:color w:val="000000" w:themeColor="text1"/>
          <w:lang w:val="en-US"/>
        </w:rPr>
        <w:t>.</w:t>
      </w:r>
      <w:r w:rsidRPr="133B8DB5">
        <w:rPr>
          <w:rFonts w:ascii="Calibri" w:hAnsi="Calibri" w:cs="Calibri"/>
          <w:color w:val="000000" w:themeColor="text1"/>
          <w:lang w:val="en-US"/>
        </w:rPr>
        <w:t xml:space="preserve"> A</w:t>
      </w:r>
      <w:r w:rsidRPr="677FDD44">
        <w:rPr>
          <w:rFonts w:ascii="Calibri" w:hAnsi="Calibri" w:cs="Calibri"/>
          <w:color w:val="000000" w:themeColor="text1"/>
          <w:lang w:val="en-US"/>
        </w:rPr>
        <w:t xml:space="preserve"> low-dimensional manifold </w:t>
      </w:r>
      <w:r w:rsidRPr="0AB1C78F">
        <w:rPr>
          <w:rFonts w:ascii="Calibri" w:hAnsi="Calibri" w:cs="Calibri"/>
          <w:color w:val="000000" w:themeColor="text1"/>
          <w:lang w:val="en-US"/>
        </w:rPr>
        <w:t xml:space="preserve">of cellular </w:t>
      </w:r>
      <w:r w:rsidRPr="3D86C332">
        <w:rPr>
          <w:rFonts w:ascii="Calibri" w:hAnsi="Calibri" w:cs="Calibri"/>
          <w:color w:val="000000" w:themeColor="text1"/>
          <w:lang w:val="en-US"/>
        </w:rPr>
        <w:t>neighborhood reflective of the continuous differentiation process</w:t>
      </w:r>
      <w:r w:rsidRPr="080D2BBE">
        <w:rPr>
          <w:rFonts w:ascii="Calibri" w:hAnsi="Calibri" w:cs="Calibri"/>
          <w:color w:val="000000" w:themeColor="text1"/>
          <w:lang w:val="en-US"/>
        </w:rPr>
        <w:t xml:space="preserve"> was learnt</w:t>
      </w:r>
      <w:r w:rsidRPr="3D86C332">
        <w:rPr>
          <w:rFonts w:ascii="Calibri" w:hAnsi="Calibri" w:cs="Calibri"/>
          <w:color w:val="000000" w:themeColor="text1"/>
          <w:lang w:val="en-US"/>
        </w:rPr>
        <w:t>, and</w:t>
      </w:r>
      <w:r w:rsidRPr="677FDD44">
        <w:rPr>
          <w:rFonts w:ascii="Calibri" w:hAnsi="Calibri" w:cs="Calibri"/>
          <w:color w:val="000000" w:themeColor="text1"/>
          <w:lang w:val="en-US"/>
        </w:rPr>
        <w:t xml:space="preserve"> branching trajectories </w:t>
      </w:r>
      <w:r w:rsidRPr="080D2BBE">
        <w:rPr>
          <w:rFonts w:ascii="Calibri" w:hAnsi="Calibri" w:cs="Calibri"/>
          <w:color w:val="000000" w:themeColor="text1"/>
          <w:lang w:val="en-US"/>
        </w:rPr>
        <w:t xml:space="preserve">were inferred </w:t>
      </w:r>
      <w:r w:rsidRPr="677FDD44">
        <w:rPr>
          <w:rFonts w:ascii="Calibri" w:hAnsi="Calibri" w:cs="Calibri"/>
          <w:color w:val="000000" w:themeColor="text1"/>
          <w:lang w:val="en-US"/>
        </w:rPr>
        <w:t xml:space="preserve">using </w:t>
      </w:r>
      <w:r w:rsidRPr="080D2BBE">
        <w:rPr>
          <w:rFonts w:ascii="Calibri" w:hAnsi="Calibri" w:cs="Calibri"/>
          <w:color w:val="000000" w:themeColor="text1"/>
          <w:lang w:val="en-US"/>
        </w:rPr>
        <w:t>STREAM’s</w:t>
      </w:r>
      <w:r w:rsidRPr="677FDD44">
        <w:rPr>
          <w:rFonts w:ascii="Calibri" w:hAnsi="Calibri" w:cs="Calibri"/>
          <w:color w:val="000000" w:themeColor="text1"/>
          <w:lang w:val="en-US"/>
        </w:rPr>
        <w:t xml:space="preserve"> </w:t>
      </w:r>
      <w:r w:rsidRPr="131E72C4">
        <w:rPr>
          <w:rFonts w:ascii="Calibri" w:hAnsi="Calibri" w:cs="Calibri"/>
          <w:color w:val="000000" w:themeColor="text1"/>
          <w:lang w:val="en-US"/>
        </w:rPr>
        <w:t xml:space="preserve">standard </w:t>
      </w:r>
      <w:r w:rsidRPr="677FDD44">
        <w:rPr>
          <w:rFonts w:ascii="Calibri" w:hAnsi="Calibri" w:cs="Calibri"/>
          <w:color w:val="000000" w:themeColor="text1"/>
          <w:lang w:val="en-US"/>
        </w:rPr>
        <w:t xml:space="preserve">locally linear embeddings </w:t>
      </w:r>
      <w:r w:rsidRPr="131E72C4">
        <w:rPr>
          <w:rFonts w:ascii="Calibri" w:hAnsi="Calibri" w:cs="Calibri"/>
          <w:color w:val="000000" w:themeColor="text1"/>
          <w:lang w:val="en-US"/>
        </w:rPr>
        <w:t xml:space="preserve">(SE) </w:t>
      </w:r>
      <w:r w:rsidRPr="677FDD44">
        <w:rPr>
          <w:rFonts w:ascii="Calibri" w:hAnsi="Calibri" w:cs="Calibri"/>
          <w:color w:val="000000" w:themeColor="text1"/>
          <w:lang w:val="en-US"/>
        </w:rPr>
        <w:t>and elastic principal graph framework,</w:t>
      </w:r>
      <w:r w:rsidRPr="677FDD44" w:rsidDel="21A13B55">
        <w:rPr>
          <w:rFonts w:ascii="Calibri" w:hAnsi="Calibri" w:cs="Calibri"/>
          <w:color w:val="000000" w:themeColor="text1"/>
          <w:lang w:val="en-US"/>
        </w:rPr>
        <w:t xml:space="preserve"> </w:t>
      </w:r>
      <w:r w:rsidRPr="677FDD44">
        <w:rPr>
          <w:rFonts w:ascii="Calibri" w:hAnsi="Calibri" w:cs="Calibri"/>
          <w:color w:val="000000" w:themeColor="text1"/>
          <w:lang w:val="en-US"/>
        </w:rPr>
        <w:t xml:space="preserve">respectively. </w:t>
      </w:r>
      <w:r w:rsidRPr="1BB77393">
        <w:rPr>
          <w:rFonts w:ascii="Calibri" w:hAnsi="Calibri" w:cs="Calibri"/>
          <w:color w:val="000000" w:themeColor="text1"/>
          <w:lang w:val="en-US"/>
        </w:rPr>
        <w:t xml:space="preserve">We applied STREAM on 2088 cells in the T-cell system </w:t>
      </w:r>
      <w:r w:rsidRPr="26E53CD3">
        <w:rPr>
          <w:rFonts w:ascii="Calibri" w:hAnsi="Calibri" w:cs="Calibri"/>
          <w:color w:val="000000" w:themeColor="text1"/>
          <w:lang w:val="en-US"/>
        </w:rPr>
        <w:t>from</w:t>
      </w:r>
      <w:r w:rsidRPr="1BB77393">
        <w:rPr>
          <w:rFonts w:ascii="Calibri" w:hAnsi="Calibri" w:cs="Calibri"/>
          <w:color w:val="000000" w:themeColor="text1"/>
          <w:lang w:val="en-US"/>
        </w:rPr>
        <w:t xml:space="preserve"> the non-targeted control population </w:t>
      </w:r>
      <w:r w:rsidRPr="26E53CD3">
        <w:rPr>
          <w:rFonts w:ascii="Calibri" w:hAnsi="Calibri" w:cs="Calibri"/>
          <w:color w:val="000000" w:themeColor="text1"/>
          <w:lang w:val="en-US"/>
        </w:rPr>
        <w:t>of the</w:t>
      </w:r>
      <w:r w:rsidRPr="1BB77393">
        <w:rPr>
          <w:rFonts w:ascii="Calibri" w:hAnsi="Calibri" w:cs="Calibri"/>
          <w:color w:val="000000" w:themeColor="text1"/>
          <w:lang w:val="en-US"/>
        </w:rPr>
        <w:t xml:space="preserve"> RBPJ-KO perturb-seq dataset, without imputing gene-expression.</w:t>
      </w:r>
      <w:r w:rsidRPr="6FAB65FC">
        <w:rPr>
          <w:rFonts w:ascii="Calibri" w:hAnsi="Calibri" w:cs="Calibri"/>
          <w:color w:val="000000" w:themeColor="text1"/>
          <w:lang w:val="en-US"/>
        </w:rPr>
        <w:t xml:space="preserve"> </w:t>
      </w:r>
      <w:r w:rsidRPr="127592EC">
        <w:rPr>
          <w:rFonts w:ascii="Calibri" w:hAnsi="Calibri" w:cs="Calibri"/>
          <w:color w:val="000000" w:themeColor="text1"/>
          <w:lang w:val="en-US"/>
        </w:rPr>
        <w:t xml:space="preserve">Raw gene-expression counts were used to </w:t>
      </w:r>
      <w:r w:rsidRPr="26E53CD3">
        <w:rPr>
          <w:rFonts w:ascii="Calibri" w:hAnsi="Calibri" w:cs="Calibri"/>
          <w:color w:val="000000" w:themeColor="text1"/>
          <w:lang w:val="en-US"/>
        </w:rPr>
        <w:t>filter</w:t>
      </w:r>
      <w:r w:rsidRPr="127592EC">
        <w:rPr>
          <w:rFonts w:ascii="Calibri" w:hAnsi="Calibri" w:cs="Calibri"/>
          <w:color w:val="000000" w:themeColor="text1"/>
          <w:lang w:val="en-US"/>
        </w:rPr>
        <w:t xml:space="preserve"> cells and features </w:t>
      </w:r>
      <w:r w:rsidRPr="5153365E">
        <w:rPr>
          <w:rFonts w:ascii="Calibri" w:hAnsi="Calibri" w:cs="Calibri"/>
          <w:color w:val="000000" w:themeColor="text1"/>
          <w:lang w:val="en-US"/>
        </w:rPr>
        <w:t>from the T-cell dataset</w:t>
      </w:r>
      <w:r w:rsidRPr="0C4F9200">
        <w:rPr>
          <w:rFonts w:ascii="Calibri" w:hAnsi="Calibri" w:cs="Calibri"/>
          <w:color w:val="000000" w:themeColor="text1"/>
          <w:lang w:val="en-US"/>
        </w:rPr>
        <w:t>, which were then scaled and normalized. 370 variable genes were selected</w:t>
      </w:r>
      <w:r w:rsidRPr="2AB73C95">
        <w:rPr>
          <w:rFonts w:ascii="Calibri" w:hAnsi="Calibri" w:cs="Calibri"/>
          <w:color w:val="000000" w:themeColor="text1"/>
          <w:lang w:val="en-US"/>
        </w:rPr>
        <w:t xml:space="preserve"> for dimensionality reduction,</w:t>
      </w:r>
      <w:r w:rsidRPr="0C4F9200">
        <w:rPr>
          <w:rFonts w:ascii="Calibri" w:hAnsi="Calibri" w:cs="Calibri"/>
          <w:color w:val="000000" w:themeColor="text1"/>
          <w:lang w:val="en-US"/>
        </w:rPr>
        <w:t xml:space="preserve"> by </w:t>
      </w:r>
      <w:r w:rsidRPr="37F0EC59">
        <w:rPr>
          <w:rFonts w:ascii="Calibri" w:hAnsi="Calibri" w:cs="Calibri"/>
          <w:color w:val="000000" w:themeColor="text1"/>
          <w:lang w:val="en-US"/>
        </w:rPr>
        <w:t>fitting</w:t>
      </w:r>
      <w:r w:rsidRPr="0C4F9200">
        <w:rPr>
          <w:rFonts w:ascii="Calibri" w:hAnsi="Calibri" w:cs="Calibri"/>
          <w:color w:val="000000" w:themeColor="text1"/>
          <w:lang w:val="en-US"/>
        </w:rPr>
        <w:t xml:space="preserve"> a </w:t>
      </w:r>
      <w:r w:rsidRPr="4E6D154E">
        <w:rPr>
          <w:rFonts w:ascii="Calibri" w:hAnsi="Calibri" w:cs="Calibri"/>
          <w:color w:val="000000" w:themeColor="text1"/>
          <w:lang w:val="en-US"/>
        </w:rPr>
        <w:t xml:space="preserve">loess </w:t>
      </w:r>
      <w:r w:rsidRPr="37F0EC59">
        <w:rPr>
          <w:rFonts w:ascii="Calibri" w:hAnsi="Calibri" w:cs="Calibri"/>
          <w:color w:val="000000" w:themeColor="text1"/>
          <w:lang w:val="en-US"/>
        </w:rPr>
        <w:t xml:space="preserve">curve </w:t>
      </w:r>
      <w:r w:rsidRPr="131F4C0B">
        <w:rPr>
          <w:rFonts w:ascii="Calibri" w:hAnsi="Calibri" w:cs="Calibri"/>
          <w:color w:val="000000" w:themeColor="text1"/>
          <w:lang w:val="en-US"/>
        </w:rPr>
        <w:t xml:space="preserve">on the standard deviation and mean values of features </w:t>
      </w:r>
      <w:r w:rsidRPr="37F0EC59">
        <w:rPr>
          <w:rFonts w:ascii="Calibri" w:hAnsi="Calibri" w:cs="Calibri"/>
          <w:color w:val="000000" w:themeColor="text1"/>
          <w:lang w:val="en-US"/>
        </w:rPr>
        <w:t xml:space="preserve">with </w:t>
      </w:r>
      <w:r w:rsidRPr="2AB73C95">
        <w:rPr>
          <w:rFonts w:ascii="Calibri" w:hAnsi="Calibri" w:cs="Calibri"/>
          <w:color w:val="000000" w:themeColor="text1"/>
          <w:lang w:val="en-US"/>
        </w:rPr>
        <w:t xml:space="preserve">a </w:t>
      </w:r>
      <w:r w:rsidRPr="4E6D154E">
        <w:rPr>
          <w:rFonts w:ascii="Calibri" w:hAnsi="Calibri" w:cs="Calibri"/>
          <w:color w:val="000000" w:themeColor="text1"/>
          <w:lang w:val="en-US"/>
        </w:rPr>
        <w:t>fraction of 0.01 and 80</w:t>
      </w:r>
      <w:r w:rsidRPr="4E6D154E">
        <w:rPr>
          <w:rFonts w:ascii="Calibri" w:hAnsi="Calibri" w:cs="Calibri"/>
          <w:color w:val="000000" w:themeColor="text1"/>
          <w:vertAlign w:val="superscript"/>
          <w:lang w:val="en-US"/>
        </w:rPr>
        <w:t>th</w:t>
      </w:r>
      <w:r w:rsidRPr="4E6D154E">
        <w:rPr>
          <w:rFonts w:ascii="Calibri" w:hAnsi="Calibri" w:cs="Calibri"/>
          <w:color w:val="000000" w:themeColor="text1"/>
          <w:lang w:val="en-US"/>
        </w:rPr>
        <w:t xml:space="preserve"> percentile</w:t>
      </w:r>
      <w:r w:rsidRPr="37F0EC59">
        <w:rPr>
          <w:rFonts w:ascii="Calibri" w:hAnsi="Calibri" w:cs="Calibri"/>
          <w:color w:val="000000" w:themeColor="text1"/>
          <w:lang w:val="en-US"/>
        </w:rPr>
        <w:t>.</w:t>
      </w:r>
      <w:r w:rsidRPr="6E2BF48D">
        <w:rPr>
          <w:rFonts w:ascii="Calibri" w:hAnsi="Calibri" w:cs="Calibri"/>
          <w:color w:val="000000" w:themeColor="text1"/>
          <w:lang w:val="en-US"/>
        </w:rPr>
        <w:t xml:space="preserve"> </w:t>
      </w:r>
      <w:r w:rsidRPr="76FBD1C7">
        <w:rPr>
          <w:rFonts w:ascii="Calibri" w:hAnsi="Calibri" w:cs="Calibri"/>
          <w:color w:val="000000" w:themeColor="text1"/>
          <w:lang w:val="en-US"/>
        </w:rPr>
        <w:t>The parameters for fitting the elastic graph on both the T-cell and B-cell trajectories were: ‘</w:t>
      </w:r>
      <w:proofErr w:type="spellStart"/>
      <w:r w:rsidRPr="76FBD1C7">
        <w:rPr>
          <w:rFonts w:ascii="Calibri" w:hAnsi="Calibri" w:cs="Calibri"/>
          <w:color w:val="000000" w:themeColor="text1"/>
          <w:lang w:val="en-US"/>
        </w:rPr>
        <w:t>epg_alpha</w:t>
      </w:r>
      <w:proofErr w:type="spellEnd"/>
      <w:r w:rsidRPr="76FBD1C7">
        <w:rPr>
          <w:rFonts w:ascii="Calibri" w:hAnsi="Calibri" w:cs="Calibri"/>
          <w:color w:val="000000" w:themeColor="text1"/>
          <w:lang w:val="en-US"/>
        </w:rPr>
        <w:t>’ = 0.02, ‘</w:t>
      </w:r>
      <w:proofErr w:type="spellStart"/>
      <w:r w:rsidRPr="76FBD1C7">
        <w:rPr>
          <w:rFonts w:ascii="Calibri" w:hAnsi="Calibri" w:cs="Calibri"/>
          <w:color w:val="000000" w:themeColor="text1"/>
          <w:lang w:val="en-US"/>
        </w:rPr>
        <w:t>epg_mu</w:t>
      </w:r>
      <w:proofErr w:type="spellEnd"/>
      <w:r w:rsidRPr="76FBD1C7">
        <w:rPr>
          <w:rFonts w:ascii="Calibri" w:hAnsi="Calibri" w:cs="Calibri"/>
          <w:color w:val="000000" w:themeColor="text1"/>
          <w:lang w:val="en-US"/>
        </w:rPr>
        <w:t>’ = 0.07,</w:t>
      </w:r>
      <w:r w:rsidRPr="5011FCCA">
        <w:rPr>
          <w:rFonts w:ascii="Calibri" w:hAnsi="Calibri" w:cs="Calibri"/>
          <w:color w:val="000000" w:themeColor="text1"/>
          <w:lang w:val="en-US"/>
        </w:rPr>
        <w:t xml:space="preserve"> '</w:t>
      </w:r>
      <w:proofErr w:type="spellStart"/>
      <w:r w:rsidRPr="5011FCCA">
        <w:rPr>
          <w:rFonts w:ascii="Calibri" w:hAnsi="Calibri" w:cs="Calibri"/>
          <w:color w:val="000000" w:themeColor="text1"/>
          <w:lang w:val="en-US"/>
        </w:rPr>
        <w:t>epg_</w:t>
      </w:r>
      <w:r w:rsidRPr="41CA3634">
        <w:rPr>
          <w:rFonts w:ascii="Calibri" w:hAnsi="Calibri" w:cs="Calibri"/>
          <w:color w:val="000000" w:themeColor="text1"/>
          <w:lang w:val="en-US"/>
        </w:rPr>
        <w:t>lambda</w:t>
      </w:r>
      <w:proofErr w:type="spellEnd"/>
      <w:r w:rsidRPr="41CA3634">
        <w:rPr>
          <w:rFonts w:ascii="Calibri" w:hAnsi="Calibri" w:cs="Calibri"/>
          <w:color w:val="000000" w:themeColor="text1"/>
          <w:lang w:val="en-US"/>
        </w:rPr>
        <w:t>’ = 0.02, ‘</w:t>
      </w:r>
      <w:proofErr w:type="spellStart"/>
      <w:r w:rsidRPr="494DB10E">
        <w:rPr>
          <w:rFonts w:ascii="Calibri" w:hAnsi="Calibri" w:cs="Calibri"/>
          <w:color w:val="000000" w:themeColor="text1"/>
          <w:lang w:val="en-US"/>
        </w:rPr>
        <w:t>epg_trimmingradius</w:t>
      </w:r>
      <w:proofErr w:type="spellEnd"/>
      <w:r w:rsidRPr="494DB10E">
        <w:rPr>
          <w:rFonts w:ascii="Calibri" w:hAnsi="Calibri" w:cs="Calibri"/>
          <w:color w:val="000000" w:themeColor="text1"/>
          <w:lang w:val="en-US"/>
        </w:rPr>
        <w:t xml:space="preserve">’ = 2. </w:t>
      </w:r>
      <w:r w:rsidRPr="5BF8B17A">
        <w:rPr>
          <w:rFonts w:ascii="Calibri" w:hAnsi="Calibri" w:cs="Calibri"/>
          <w:color w:val="000000" w:themeColor="text1"/>
          <w:lang w:val="en-US"/>
        </w:rPr>
        <w:t xml:space="preserve">The method generated bifurcating and linear trajectories, capturing the underlying transient cellular states in both the </w:t>
      </w:r>
      <w:r w:rsidRPr="6FE28182">
        <w:rPr>
          <w:rFonts w:ascii="Calibri" w:hAnsi="Calibri" w:cs="Calibri"/>
          <w:color w:val="000000" w:themeColor="text1"/>
          <w:lang w:val="en-US"/>
        </w:rPr>
        <w:t>differentiating B cells</w:t>
      </w:r>
      <w:r w:rsidRPr="5BF8B17A">
        <w:rPr>
          <w:rFonts w:ascii="Calibri" w:hAnsi="Calibri" w:cs="Calibri"/>
          <w:color w:val="000000" w:themeColor="text1"/>
          <w:lang w:val="en-US"/>
        </w:rPr>
        <w:t xml:space="preserve"> and </w:t>
      </w:r>
      <w:r w:rsidRPr="6FE28182">
        <w:rPr>
          <w:rFonts w:ascii="Calibri" w:hAnsi="Calibri" w:cs="Calibri"/>
          <w:color w:val="000000" w:themeColor="text1"/>
          <w:lang w:val="en-US"/>
        </w:rPr>
        <w:t>state-switching T cells</w:t>
      </w:r>
      <w:r w:rsidRPr="5BF8B17A">
        <w:rPr>
          <w:rFonts w:ascii="Calibri" w:hAnsi="Calibri" w:cs="Calibri"/>
          <w:color w:val="000000" w:themeColor="text1"/>
          <w:lang w:val="en-US"/>
        </w:rPr>
        <w:t xml:space="preserve">, and assigned </w:t>
      </w:r>
      <w:proofErr w:type="spellStart"/>
      <w:r w:rsidRPr="5BF8B17A">
        <w:rPr>
          <w:rFonts w:ascii="Calibri" w:hAnsi="Calibri" w:cs="Calibri"/>
          <w:color w:val="000000" w:themeColor="text1"/>
          <w:lang w:val="en-US"/>
        </w:rPr>
        <w:t>pseudotime</w:t>
      </w:r>
      <w:proofErr w:type="spellEnd"/>
      <w:r w:rsidRPr="5BF8B17A">
        <w:rPr>
          <w:rFonts w:ascii="Calibri" w:hAnsi="Calibri" w:cs="Calibri"/>
          <w:color w:val="000000" w:themeColor="text1"/>
          <w:lang w:val="en-US"/>
        </w:rPr>
        <w:t xml:space="preserve"> values to each cell to order them on the temporal scale. We used STREAM’s visualization modules to inspect trajectory branches, ordering of cell states based on their sequential transitions, and gene expression changes along </w:t>
      </w:r>
      <w:proofErr w:type="spellStart"/>
      <w:r w:rsidRPr="5BF8B17A">
        <w:rPr>
          <w:rFonts w:ascii="Calibri" w:hAnsi="Calibri" w:cs="Calibri"/>
          <w:color w:val="000000" w:themeColor="text1"/>
          <w:lang w:val="en-US"/>
        </w:rPr>
        <w:t>pseudotime</w:t>
      </w:r>
      <w:proofErr w:type="spellEnd"/>
      <w:r w:rsidRPr="5BF8B17A">
        <w:rPr>
          <w:rFonts w:ascii="Calibri" w:hAnsi="Calibri" w:cs="Calibri"/>
          <w:color w:val="000000" w:themeColor="text1"/>
          <w:lang w:val="en-US"/>
        </w:rPr>
        <w:t xml:space="preserve"> branches.  </w:t>
      </w:r>
    </w:p>
    <w:p w14:paraId="690A6E78" w14:textId="77777777" w:rsidR="008515C4" w:rsidRPr="00624F7B" w:rsidRDefault="008515C4" w:rsidP="008515C4">
      <w:pPr>
        <w:jc w:val="both"/>
        <w:rPr>
          <w:rFonts w:asciiTheme="majorHAnsi" w:hAnsiTheme="majorHAnsi" w:cstheme="majorBidi"/>
          <w:b/>
          <w:bCs/>
          <w:color w:val="000000" w:themeColor="text1"/>
          <w:sz w:val="24"/>
          <w:szCs w:val="24"/>
          <w:lang w:val="en-US"/>
        </w:rPr>
      </w:pPr>
    </w:p>
    <w:p w14:paraId="503CEF66" w14:textId="77777777" w:rsidR="008515C4" w:rsidRDefault="008515C4" w:rsidP="008515C4">
      <w:pPr>
        <w:jc w:val="both"/>
        <w:rPr>
          <w:rFonts w:asciiTheme="majorHAnsi" w:hAnsiTheme="majorHAnsi" w:cstheme="majorBidi"/>
          <w:b/>
          <w:color w:val="000000" w:themeColor="text1"/>
          <w:sz w:val="24"/>
          <w:szCs w:val="24"/>
          <w:lang w:val="en-US"/>
        </w:rPr>
      </w:pPr>
      <w:r w:rsidRPr="5D41A89E">
        <w:rPr>
          <w:rFonts w:asciiTheme="majorHAnsi" w:hAnsiTheme="majorHAnsi" w:cstheme="majorBidi"/>
          <w:b/>
          <w:color w:val="000000" w:themeColor="text1"/>
          <w:sz w:val="24"/>
          <w:szCs w:val="24"/>
          <w:lang w:val="en-US"/>
        </w:rPr>
        <w:t xml:space="preserve">Creating dynamic gene regulatory network using </w:t>
      </w:r>
      <w:proofErr w:type="spellStart"/>
      <w:r w:rsidRPr="5D41A89E">
        <w:rPr>
          <w:rFonts w:asciiTheme="majorHAnsi" w:hAnsiTheme="majorHAnsi" w:cstheme="majorBidi"/>
          <w:b/>
          <w:color w:val="000000" w:themeColor="text1"/>
          <w:sz w:val="24"/>
          <w:szCs w:val="24"/>
          <w:lang w:val="en-US"/>
        </w:rPr>
        <w:t>Dictys</w:t>
      </w:r>
      <w:proofErr w:type="spellEnd"/>
    </w:p>
    <w:p w14:paraId="4CB8F4EB" w14:textId="77777777" w:rsidR="008515C4" w:rsidRDefault="008515C4" w:rsidP="008515C4">
      <w:pPr>
        <w:jc w:val="both"/>
        <w:rPr>
          <w:rFonts w:ascii="Calibri" w:eastAsia="Calibri" w:hAnsi="Calibri" w:cs="Calibri"/>
          <w:color w:val="000000" w:themeColor="text1"/>
        </w:rPr>
      </w:pPr>
      <w:r w:rsidRPr="302B18D7">
        <w:rPr>
          <w:rFonts w:ascii="Calibri" w:eastAsia="Calibri" w:hAnsi="Calibri" w:cs="Calibri"/>
          <w:color w:val="000000" w:themeColor="text1"/>
        </w:rPr>
        <w:t xml:space="preserve">We applied </w:t>
      </w:r>
      <w:proofErr w:type="spellStart"/>
      <w:r w:rsidRPr="302B18D7">
        <w:rPr>
          <w:rFonts w:ascii="Calibri" w:eastAsia="Calibri" w:hAnsi="Calibri" w:cs="Calibri"/>
          <w:color w:val="000000" w:themeColor="text1"/>
        </w:rPr>
        <w:t>Dictys</w:t>
      </w:r>
      <w:proofErr w:type="spellEnd"/>
      <w:r w:rsidRPr="302B18D7">
        <w:rPr>
          <w:rFonts w:ascii="Calibri" w:eastAsia="Calibri" w:hAnsi="Calibri" w:cs="Calibri"/>
          <w:color w:val="000000" w:themeColor="text1"/>
        </w:rPr>
        <w:t xml:space="preserve"> to infer dynamic, </w:t>
      </w:r>
      <w:proofErr w:type="spellStart"/>
      <w:r w:rsidRPr="302B18D7">
        <w:rPr>
          <w:rFonts w:ascii="Calibri" w:eastAsia="Calibri" w:hAnsi="Calibri" w:cs="Calibri"/>
          <w:color w:val="000000" w:themeColor="text1"/>
        </w:rPr>
        <w:t>pseudotime</w:t>
      </w:r>
      <w:proofErr w:type="spellEnd"/>
      <w:r w:rsidRPr="302B18D7">
        <w:rPr>
          <w:rFonts w:ascii="Calibri" w:eastAsia="Calibri" w:hAnsi="Calibri" w:cs="Calibri"/>
          <w:color w:val="000000" w:themeColor="text1"/>
        </w:rPr>
        <w:t xml:space="preserve">-specific GRNs from our </w:t>
      </w:r>
      <w:proofErr w:type="spellStart"/>
      <w:r w:rsidRPr="302B18D7">
        <w:rPr>
          <w:rFonts w:ascii="Calibri" w:eastAsia="Calibri" w:hAnsi="Calibri" w:cs="Calibri"/>
          <w:color w:val="000000" w:themeColor="text1"/>
        </w:rPr>
        <w:t>multiomic</w:t>
      </w:r>
      <w:proofErr w:type="spellEnd"/>
      <w:r w:rsidRPr="302B18D7">
        <w:rPr>
          <w:rFonts w:ascii="Calibri" w:eastAsia="Calibri" w:hAnsi="Calibri" w:cs="Calibri"/>
          <w:color w:val="000000" w:themeColor="text1"/>
        </w:rPr>
        <w:t xml:space="preserve"> single-cell dataset from the B cell system with matched chromatin accessibility and gene expression profiles. We used </w:t>
      </w:r>
      <w:proofErr w:type="spellStart"/>
      <w:r w:rsidRPr="302B18D7">
        <w:rPr>
          <w:rFonts w:ascii="Calibri" w:eastAsia="Calibri" w:hAnsi="Calibri" w:cs="Calibri"/>
          <w:color w:val="000000" w:themeColor="text1"/>
        </w:rPr>
        <w:t>scRNA</w:t>
      </w:r>
      <w:proofErr w:type="spellEnd"/>
      <w:r w:rsidRPr="302B18D7">
        <w:rPr>
          <w:rFonts w:ascii="Calibri" w:eastAsia="Calibri" w:hAnsi="Calibri" w:cs="Calibri"/>
          <w:color w:val="000000" w:themeColor="text1"/>
        </w:rPr>
        <w:t xml:space="preserve"> data to assemble window-specific GRNs for the T cell system, utilizing base-GRN from </w:t>
      </w:r>
      <w:proofErr w:type="spellStart"/>
      <w:r w:rsidRPr="302B18D7">
        <w:rPr>
          <w:rFonts w:ascii="Calibri" w:eastAsia="Calibri" w:hAnsi="Calibri" w:cs="Calibri"/>
          <w:color w:val="000000" w:themeColor="text1"/>
        </w:rPr>
        <w:t>CellOracle</w:t>
      </w:r>
      <w:proofErr w:type="spellEnd"/>
      <w:r w:rsidRPr="302B18D7">
        <w:rPr>
          <w:rFonts w:ascii="Calibri" w:eastAsia="Calibri" w:hAnsi="Calibri" w:cs="Calibri"/>
          <w:color w:val="000000" w:themeColor="text1"/>
        </w:rPr>
        <w:t xml:space="preserve"> for mouse data as input for the </w:t>
      </w:r>
      <w:proofErr w:type="spellStart"/>
      <w:r w:rsidRPr="302B18D7">
        <w:rPr>
          <w:rFonts w:ascii="Calibri" w:eastAsia="Calibri" w:hAnsi="Calibri" w:cs="Calibri"/>
          <w:color w:val="000000" w:themeColor="text1"/>
        </w:rPr>
        <w:t>inital</w:t>
      </w:r>
      <w:proofErr w:type="spellEnd"/>
      <w:r w:rsidRPr="302B18D7">
        <w:rPr>
          <w:rFonts w:ascii="Calibri" w:eastAsia="Calibri" w:hAnsi="Calibri" w:cs="Calibri"/>
          <w:color w:val="000000" w:themeColor="text1"/>
        </w:rPr>
        <w:t xml:space="preserve"> network construction. </w:t>
      </w:r>
      <w:r w:rsidRPr="302B18D7">
        <w:rPr>
          <w:rFonts w:ascii="Calibri" w:eastAsia="Calibri" w:hAnsi="Calibri" w:cs="Calibri"/>
          <w:color w:val="000000" w:themeColor="text1"/>
          <w:lang w:val="en-US"/>
        </w:rPr>
        <w:t xml:space="preserve">The data was divided into [XXX] windows with each includes [XXX%] of cells as overlapping cells for the B-cell bifurcation trajectory and [xxx] for the T-cell. </w:t>
      </w:r>
      <w:r w:rsidRPr="302B18D7">
        <w:rPr>
          <w:rFonts w:ascii="Calibri" w:eastAsia="Calibri" w:hAnsi="Calibri" w:cs="Calibri"/>
          <w:color w:val="000000" w:themeColor="text1"/>
        </w:rPr>
        <w:t xml:space="preserve">After preprocessing and normalization, TF footprints were extracted from accessibility data and integrated with </w:t>
      </w:r>
      <w:proofErr w:type="spellStart"/>
      <w:r w:rsidRPr="302B18D7">
        <w:rPr>
          <w:rFonts w:ascii="Calibri" w:eastAsia="Calibri" w:hAnsi="Calibri" w:cs="Calibri"/>
          <w:color w:val="000000" w:themeColor="text1"/>
        </w:rPr>
        <w:t>scRNA</w:t>
      </w:r>
      <w:proofErr w:type="spellEnd"/>
      <w:r w:rsidRPr="302B18D7">
        <w:rPr>
          <w:rFonts w:ascii="Calibri" w:eastAsia="Calibri" w:hAnsi="Calibri" w:cs="Calibri"/>
          <w:color w:val="000000" w:themeColor="text1"/>
        </w:rPr>
        <w:t xml:space="preserve">-seq counts within </w:t>
      </w:r>
      <w:proofErr w:type="spellStart"/>
      <w:r w:rsidRPr="302B18D7">
        <w:rPr>
          <w:rFonts w:ascii="Calibri" w:eastAsia="Calibri" w:hAnsi="Calibri" w:cs="Calibri"/>
          <w:color w:val="000000" w:themeColor="text1"/>
        </w:rPr>
        <w:t>Dictys</w:t>
      </w:r>
      <w:proofErr w:type="spellEnd"/>
      <w:r w:rsidRPr="302B18D7">
        <w:rPr>
          <w:rFonts w:ascii="Calibri" w:eastAsia="Calibri" w:hAnsi="Calibri" w:cs="Calibri"/>
          <w:color w:val="000000" w:themeColor="text1"/>
        </w:rPr>
        <w:t xml:space="preserve">’ probabilistic framework. </w:t>
      </w:r>
      <w:proofErr w:type="spellStart"/>
      <w:r w:rsidRPr="302B18D7">
        <w:rPr>
          <w:rFonts w:ascii="Calibri" w:eastAsia="Calibri" w:hAnsi="Calibri" w:cs="Calibri"/>
          <w:color w:val="000000" w:themeColor="text1"/>
        </w:rPr>
        <w:t>Dictys</w:t>
      </w:r>
      <w:proofErr w:type="spellEnd"/>
      <w:r w:rsidRPr="302B18D7">
        <w:rPr>
          <w:rFonts w:ascii="Calibri" w:eastAsia="Calibri" w:hAnsi="Calibri" w:cs="Calibri"/>
          <w:color w:val="000000" w:themeColor="text1"/>
        </w:rPr>
        <w:t xml:space="preserve"> models GRN rewiring as a stochastic process along </w:t>
      </w:r>
      <w:proofErr w:type="spellStart"/>
      <w:r w:rsidRPr="302B18D7">
        <w:rPr>
          <w:rFonts w:ascii="Calibri" w:eastAsia="Calibri" w:hAnsi="Calibri" w:cs="Calibri"/>
          <w:color w:val="000000" w:themeColor="text1"/>
        </w:rPr>
        <w:t>pseudotime</w:t>
      </w:r>
      <w:proofErr w:type="spellEnd"/>
      <w:r w:rsidRPr="302B18D7">
        <w:rPr>
          <w:rFonts w:ascii="Calibri" w:eastAsia="Calibri" w:hAnsi="Calibri" w:cs="Calibri"/>
          <w:color w:val="000000" w:themeColor="text1"/>
        </w:rPr>
        <w:t>, enabling the estimation of time-resolved regulatory interactions and TF activities across differentiating cell populations. Using the [XXX] parameters, we reconstructed dynamic GRNs along the inferred trajectories and extracted regulator-target relationships, focusing on TFs driving state transitions. The resulting networks were further examined to identify key regulators, context-specific interactions, and changes in regulatory influence across progression of differentiation.</w:t>
      </w:r>
    </w:p>
    <w:p w14:paraId="6E98C58B" w14:textId="77777777" w:rsidR="008515C4" w:rsidRDefault="008515C4" w:rsidP="008515C4">
      <w:pPr>
        <w:jc w:val="both"/>
        <w:rPr>
          <w:rFonts w:ascii="Calibri" w:hAnsi="Calibri" w:cs="Calibri"/>
          <w:color w:val="000000" w:themeColor="text1"/>
        </w:rPr>
      </w:pPr>
    </w:p>
    <w:p w14:paraId="75DF4E18" w14:textId="77777777" w:rsidR="008515C4" w:rsidRPr="009658C3" w:rsidRDefault="008515C4" w:rsidP="008515C4">
      <w:pPr>
        <w:jc w:val="both"/>
        <w:rPr>
          <w:rFonts w:ascii="Calibri" w:hAnsi="Calibri" w:cs="Calibri"/>
          <w:color w:val="000000" w:themeColor="text1"/>
          <w:lang w:val="en-US"/>
        </w:rPr>
      </w:pPr>
      <w:r w:rsidRPr="56BF1791">
        <w:rPr>
          <w:rFonts w:asciiTheme="majorHAnsi" w:hAnsiTheme="majorHAnsi" w:cstheme="majorBidi"/>
          <w:b/>
          <w:bCs/>
          <w:color w:val="000000" w:themeColor="text1"/>
          <w:sz w:val="24"/>
          <w:szCs w:val="24"/>
          <w:lang w:val="en-US"/>
        </w:rPr>
        <w:t>Episodic GRN enrichment</w:t>
      </w:r>
      <w:r w:rsidRPr="0A866F8E">
        <w:rPr>
          <w:rFonts w:ascii="Calibri" w:hAnsi="Calibri" w:cs="Calibri"/>
          <w:color w:val="000000" w:themeColor="text1"/>
          <w:lang w:val="en-US"/>
        </w:rPr>
        <w:t xml:space="preserve"> </w:t>
      </w:r>
    </w:p>
    <w:p w14:paraId="12C3DE71" w14:textId="77777777" w:rsidR="008515C4" w:rsidRPr="009658C3" w:rsidRDefault="008515C4" w:rsidP="008515C4">
      <w:pPr>
        <w:jc w:val="both"/>
        <w:rPr>
          <w:rFonts w:ascii="Calibri" w:hAnsi="Calibri" w:cs="Calibri"/>
          <w:color w:val="000000" w:themeColor="text1"/>
          <w:lang w:val="en-US"/>
        </w:rPr>
      </w:pPr>
      <w:r w:rsidRPr="0A866F8E">
        <w:rPr>
          <w:rFonts w:ascii="Calibri" w:hAnsi="Calibri" w:cs="Calibri"/>
          <w:color w:val="000000" w:themeColor="text1"/>
          <w:lang w:val="en-US"/>
        </w:rPr>
        <w:t>The trajectory branches for both the datasets were broken into episodes</w:t>
      </w:r>
      <w:r w:rsidRPr="476880A2">
        <w:rPr>
          <w:rFonts w:ascii="Calibri" w:hAnsi="Calibri" w:cs="Calibri"/>
          <w:color w:val="000000" w:themeColor="text1"/>
          <w:lang w:val="en-US"/>
        </w:rPr>
        <w:t xml:space="preserve"> of invariant TF activity.</w:t>
      </w:r>
      <w:r w:rsidRPr="16D34113">
        <w:rPr>
          <w:rFonts w:ascii="Calibri" w:hAnsi="Calibri" w:cs="Calibri"/>
          <w:color w:val="000000" w:themeColor="text1"/>
          <w:lang w:val="en-US"/>
        </w:rPr>
        <w:t xml:space="preserve"> T cells have a linear </w:t>
      </w:r>
    </w:p>
    <w:p w14:paraId="7F3941EE" w14:textId="77777777" w:rsidR="008515C4" w:rsidRPr="009658C3" w:rsidRDefault="008515C4" w:rsidP="008515C4">
      <w:pPr>
        <w:jc w:val="both"/>
        <w:rPr>
          <w:rFonts w:ascii="Calibri" w:hAnsi="Calibri" w:cs="Calibri"/>
          <w:color w:val="000000" w:themeColor="text1"/>
          <w:lang w:val="en-US"/>
        </w:rPr>
      </w:pPr>
      <w:r w:rsidRPr="56BF1791">
        <w:rPr>
          <w:rFonts w:asciiTheme="majorHAnsi" w:hAnsiTheme="majorHAnsi" w:cstheme="majorBidi"/>
          <w:b/>
          <w:bCs/>
          <w:color w:val="000000" w:themeColor="text1"/>
          <w:sz w:val="24"/>
          <w:szCs w:val="24"/>
          <w:lang w:val="en-US"/>
        </w:rPr>
        <w:t>Transient regulatory activity analysis</w:t>
      </w:r>
    </w:p>
    <w:p w14:paraId="52A34018" w14:textId="77777777" w:rsidR="008515C4" w:rsidRPr="00624F7B" w:rsidRDefault="008515C4" w:rsidP="008515C4">
      <w:pPr>
        <w:spacing w:before="320" w:after="80"/>
        <w:jc w:val="both"/>
        <w:outlineLvl w:val="2"/>
        <w:rPr>
          <w:rFonts w:asciiTheme="majorHAnsi" w:hAnsiTheme="majorHAnsi" w:cstheme="majorHAnsi"/>
          <w:b/>
          <w:bCs/>
          <w:color w:val="000000" w:themeColor="text1"/>
          <w:sz w:val="24"/>
          <w:szCs w:val="24"/>
          <w:lang w:val="en-US"/>
        </w:rPr>
      </w:pPr>
      <w:r w:rsidRPr="00624F7B">
        <w:rPr>
          <w:rFonts w:asciiTheme="majorHAnsi" w:hAnsiTheme="majorHAnsi" w:cstheme="majorHAnsi"/>
          <w:b/>
          <w:bCs/>
          <w:color w:val="000000" w:themeColor="text1"/>
          <w:sz w:val="24"/>
          <w:szCs w:val="24"/>
          <w:lang w:val="en-US"/>
        </w:rPr>
        <w:t xml:space="preserve">Fate Prediction of early activated B Cells </w:t>
      </w:r>
    </w:p>
    <w:p w14:paraId="5BDEC3A4" w14:textId="77777777" w:rsidR="008515C4" w:rsidRPr="009658C3" w:rsidRDefault="008515C4" w:rsidP="008515C4">
      <w:pPr>
        <w:jc w:val="both"/>
        <w:rPr>
          <w:rFonts w:ascii="Calibri" w:hAnsi="Calibri" w:cs="Calibri"/>
          <w:color w:val="000000" w:themeColor="text1"/>
        </w:rPr>
      </w:pPr>
      <w:r w:rsidRPr="009658C3">
        <w:rPr>
          <w:rFonts w:ascii="Calibri" w:hAnsi="Calibri" w:cs="Calibri"/>
          <w:color w:val="000000" w:themeColor="text1"/>
          <w:lang w:val="en-US"/>
        </w:rPr>
        <w:t>To predict cell fate bias toward the final lineages, we first evaluated whether transcriptomic features that distinguish TF-KO cells from controls could also serve as informative predictors. We identified key transcriptomic features that differentiate PRDM1- and IRF4-perturbed cells from wild-type controls by training a Lasso logistic regression classification model (</w:t>
      </w:r>
      <w:proofErr w:type="spellStart"/>
      <w:r w:rsidRPr="009658C3">
        <w:rPr>
          <w:rFonts w:ascii="Calibri" w:hAnsi="Calibri" w:cs="Calibri"/>
          <w:color w:val="000000" w:themeColor="text1"/>
          <w:lang w:val="en-US"/>
        </w:rPr>
        <w:t>LogisticRegression</w:t>
      </w:r>
      <w:proofErr w:type="spellEnd"/>
      <w:r>
        <w:rPr>
          <w:rFonts w:ascii="Calibri" w:hAnsi="Calibri" w:cs="Calibri"/>
          <w:color w:val="000000" w:themeColor="text1"/>
          <w:lang w:val="en-US"/>
        </w:rPr>
        <w:t xml:space="preserve"> </w:t>
      </w:r>
      <w:r w:rsidRPr="009658C3">
        <w:rPr>
          <w:rFonts w:ascii="Calibri" w:hAnsi="Calibri" w:cs="Calibri"/>
          <w:color w:val="000000" w:themeColor="text1"/>
          <w:lang w:val="en-US"/>
        </w:rPr>
        <w:t>(penalty='l1', solver='</w:t>
      </w:r>
      <w:proofErr w:type="spellStart"/>
      <w:r w:rsidRPr="009658C3">
        <w:rPr>
          <w:rFonts w:ascii="Calibri" w:hAnsi="Calibri" w:cs="Calibri"/>
          <w:color w:val="000000" w:themeColor="text1"/>
          <w:lang w:val="en-US"/>
        </w:rPr>
        <w:t>liblinear</w:t>
      </w:r>
      <w:proofErr w:type="spellEnd"/>
      <w:r w:rsidRPr="009658C3">
        <w:rPr>
          <w:rFonts w:ascii="Calibri" w:hAnsi="Calibri" w:cs="Calibri"/>
          <w:color w:val="000000" w:themeColor="text1"/>
          <w:lang w:val="en-US"/>
        </w:rPr>
        <w:t xml:space="preserve">', </w:t>
      </w:r>
      <w:proofErr w:type="spellStart"/>
      <w:r w:rsidRPr="009658C3">
        <w:rPr>
          <w:rFonts w:ascii="Calibri" w:hAnsi="Calibri" w:cs="Calibri"/>
          <w:color w:val="000000" w:themeColor="text1"/>
          <w:lang w:val="en-US"/>
        </w:rPr>
        <w:t>max_iter</w:t>
      </w:r>
      <w:proofErr w:type="spellEnd"/>
      <w:r w:rsidRPr="009658C3">
        <w:rPr>
          <w:rFonts w:ascii="Calibri" w:hAnsi="Calibri" w:cs="Calibri"/>
          <w:color w:val="000000" w:themeColor="text1"/>
          <w:lang w:val="en-US"/>
        </w:rPr>
        <w:t xml:space="preserve">=10000, </w:t>
      </w:r>
      <w:proofErr w:type="spellStart"/>
      <w:r w:rsidRPr="009658C3">
        <w:rPr>
          <w:rFonts w:ascii="Calibri" w:hAnsi="Calibri" w:cs="Calibri"/>
          <w:color w:val="000000" w:themeColor="text1"/>
          <w:lang w:val="en-US"/>
        </w:rPr>
        <w:t>random_state</w:t>
      </w:r>
      <w:proofErr w:type="spellEnd"/>
      <w:r w:rsidRPr="009658C3">
        <w:rPr>
          <w:rFonts w:ascii="Calibri" w:hAnsi="Calibri" w:cs="Calibri"/>
          <w:color w:val="000000" w:themeColor="text1"/>
          <w:lang w:val="en-US"/>
        </w:rPr>
        <w:t>=42)). The trained model was then applied to early ABCs from the multi-</w:t>
      </w:r>
      <w:proofErr w:type="spellStart"/>
      <w:r w:rsidRPr="009658C3">
        <w:rPr>
          <w:rFonts w:ascii="Calibri" w:hAnsi="Calibri" w:cs="Calibri"/>
          <w:color w:val="000000" w:themeColor="text1"/>
          <w:lang w:val="en-US"/>
        </w:rPr>
        <w:t>omic</w:t>
      </w:r>
      <w:proofErr w:type="spellEnd"/>
      <w:r w:rsidRPr="009658C3">
        <w:rPr>
          <w:rFonts w:ascii="Calibri" w:hAnsi="Calibri" w:cs="Calibri"/>
          <w:color w:val="000000" w:themeColor="text1"/>
          <w:lang w:val="en-US"/>
        </w:rPr>
        <w:t xml:space="preserve"> dataset (days 2 and 4) using the </w:t>
      </w:r>
      <w:proofErr w:type="spellStart"/>
      <w:proofErr w:type="gramStart"/>
      <w:r w:rsidRPr="009658C3">
        <w:rPr>
          <w:rFonts w:ascii="Calibri" w:hAnsi="Calibri" w:cs="Calibri"/>
          <w:color w:val="000000" w:themeColor="text1"/>
          <w:lang w:val="en-US"/>
        </w:rPr>
        <w:t>lasso.predict</w:t>
      </w:r>
      <w:proofErr w:type="spellEnd"/>
      <w:proofErr w:type="gramEnd"/>
      <w:r w:rsidRPr="009658C3">
        <w:rPr>
          <w:rFonts w:ascii="Calibri" w:hAnsi="Calibri" w:cs="Calibri"/>
          <w:color w:val="000000" w:themeColor="text1"/>
          <w:lang w:val="en-US"/>
        </w:rPr>
        <w:t>(...) function to generate predicted probabilities for each cell. Because the response variable is binary, we assigned predicted fates to early ABCs based on whether their predicted probability was above or below a threshold of 0.5.</w:t>
      </w:r>
    </w:p>
    <w:p w14:paraId="0C044C23" w14:textId="77777777" w:rsidR="008515C4" w:rsidRPr="009658C3" w:rsidRDefault="008515C4" w:rsidP="008515C4">
      <w:pPr>
        <w:jc w:val="both"/>
        <w:rPr>
          <w:rFonts w:ascii="Calibri" w:hAnsi="Calibri" w:cs="Calibri"/>
          <w:color w:val="000000" w:themeColor="text1"/>
        </w:rPr>
      </w:pPr>
      <w:r w:rsidRPr="009658C3">
        <w:rPr>
          <w:rFonts w:ascii="Calibri" w:hAnsi="Calibri" w:cs="Calibri"/>
          <w:color w:val="000000" w:themeColor="text1"/>
        </w:rPr>
        <w:lastRenderedPageBreak/>
        <w:br/>
      </w:r>
      <w:r w:rsidRPr="009658C3">
        <w:rPr>
          <w:rFonts w:ascii="Calibri" w:hAnsi="Calibri" w:cs="Calibri"/>
          <w:color w:val="000000" w:themeColor="text1"/>
          <w:lang w:val="en-US"/>
        </w:rPr>
        <w:t>The same procedure was repeated using only the differentially expressed genes from the training datasets. We first performed differential expression analysis between KO and control groups and retained genes with an absolute log₂ fold change greater than 1 and an adjusted p-value below 0.05. The single-cell gene expression matrix was then subset to include only these genes, and a Lasso logistic regression model was trained on this reduced feature set. The trained model was subsequently applied to early ABCs from the multi-</w:t>
      </w:r>
      <w:proofErr w:type="spellStart"/>
      <w:r w:rsidRPr="009658C3">
        <w:rPr>
          <w:rFonts w:ascii="Calibri" w:hAnsi="Calibri" w:cs="Calibri"/>
          <w:color w:val="000000" w:themeColor="text1"/>
          <w:lang w:val="en-US"/>
        </w:rPr>
        <w:t>omic</w:t>
      </w:r>
      <w:proofErr w:type="spellEnd"/>
      <w:r w:rsidRPr="009658C3">
        <w:rPr>
          <w:rFonts w:ascii="Calibri" w:hAnsi="Calibri" w:cs="Calibri"/>
          <w:color w:val="000000" w:themeColor="text1"/>
          <w:lang w:val="en-US"/>
        </w:rPr>
        <w:t xml:space="preserve"> dataset (days 2 and 4) using the same prediction function to generate and project fate probabilities.</w:t>
      </w:r>
    </w:p>
    <w:p w14:paraId="1BE9A13A" w14:textId="77777777" w:rsidR="008515C4" w:rsidRPr="009658C3" w:rsidRDefault="008515C4" w:rsidP="008515C4">
      <w:pPr>
        <w:jc w:val="both"/>
        <w:rPr>
          <w:rFonts w:ascii="Calibri" w:hAnsi="Calibri" w:cs="Calibri"/>
          <w:color w:val="000000" w:themeColor="text1"/>
          <w:lang w:val="en-US"/>
        </w:rPr>
      </w:pPr>
      <w:r w:rsidRPr="009658C3">
        <w:rPr>
          <w:rFonts w:ascii="Calibri" w:hAnsi="Calibri" w:cs="Calibri"/>
          <w:color w:val="000000" w:themeColor="text1"/>
          <w:lang w:val="en-US"/>
        </w:rPr>
        <w:t xml:space="preserve">We then used the inferred cellular programs from single-cell TF Perturb-seq data in the B cell system.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projected these programs onto ABCs (day 2 and day 4) from </w:t>
      </w:r>
      <w:proofErr w:type="gramStart"/>
      <w:r w:rsidRPr="009658C3">
        <w:rPr>
          <w:rFonts w:ascii="Calibri" w:hAnsi="Calibri" w:cs="Calibri"/>
          <w:color w:val="000000" w:themeColor="text1"/>
          <w:lang w:val="en-US"/>
        </w:rPr>
        <w:t>single-cell</w:t>
      </w:r>
      <w:proofErr w:type="gramEnd"/>
      <w:r w:rsidRPr="009658C3">
        <w:rPr>
          <w:rFonts w:ascii="Calibri" w:hAnsi="Calibri" w:cs="Calibri"/>
          <w:color w:val="000000" w:themeColor="text1"/>
          <w:lang w:val="en-US"/>
        </w:rPr>
        <w:t xml:space="preserve"> </w:t>
      </w:r>
      <w:proofErr w:type="spellStart"/>
      <w:r w:rsidRPr="009658C3">
        <w:rPr>
          <w:rFonts w:ascii="Calibri" w:hAnsi="Calibri" w:cs="Calibri"/>
          <w:color w:val="000000" w:themeColor="text1"/>
          <w:lang w:val="en-US"/>
        </w:rPr>
        <w:t>multiome</w:t>
      </w:r>
      <w:proofErr w:type="spellEnd"/>
      <w:r w:rsidRPr="009658C3">
        <w:rPr>
          <w:rFonts w:ascii="Calibri" w:hAnsi="Calibri" w:cs="Calibri"/>
          <w:color w:val="000000" w:themeColor="text1"/>
          <w:lang w:val="en-US"/>
        </w:rPr>
        <w:t xml:space="preserve"> data to estimate their transcriptional predisposition toward one of two downstream fates (GC or PB). The latent cellular programs defined a score for each cell, representing the degree to which its expression profile aligned with either the KO or control state. Using these scores, we assessed the discriminative power of each model by examining how well the score distributions separated KO and control cell populations. For each model, we defined an optimal threshold based on the distribution that most effectively distinguished these two groups. We then applied the same trained models to the ABC</w:t>
      </w:r>
      <w:r>
        <w:rPr>
          <w:rFonts w:ascii="Calibri" w:hAnsi="Calibri" w:cs="Calibri"/>
          <w:color w:val="000000" w:themeColor="text1"/>
          <w:lang w:val="en-US"/>
        </w:rPr>
        <w:t>s</w:t>
      </w:r>
      <w:r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at </w:t>
      </w:r>
      <w:r w:rsidRPr="009658C3">
        <w:rPr>
          <w:rFonts w:ascii="Calibri" w:hAnsi="Calibri" w:cs="Calibri"/>
          <w:color w:val="000000" w:themeColor="text1"/>
          <w:lang w:val="en-US"/>
        </w:rPr>
        <w:t xml:space="preserve">day 2 and day 4 </w:t>
      </w:r>
      <w:proofErr w:type="spellStart"/>
      <w:r w:rsidRPr="009658C3">
        <w:rPr>
          <w:rFonts w:ascii="Calibri" w:hAnsi="Calibri" w:cs="Calibri"/>
          <w:color w:val="000000" w:themeColor="text1"/>
          <w:lang w:val="en-US"/>
        </w:rPr>
        <w:t>multiome</w:t>
      </w:r>
      <w:proofErr w:type="spellEnd"/>
      <w:r w:rsidRPr="009658C3">
        <w:rPr>
          <w:rFonts w:ascii="Calibri" w:hAnsi="Calibri" w:cs="Calibri"/>
          <w:color w:val="000000" w:themeColor="text1"/>
          <w:lang w:val="en-US"/>
        </w:rPr>
        <w:t xml:space="preserve"> data using the “</w:t>
      </w:r>
      <w:proofErr w:type="spellStart"/>
      <w:r w:rsidRPr="009658C3">
        <w:rPr>
          <w:rFonts w:ascii="Calibri" w:hAnsi="Calibri" w:cs="Calibri"/>
          <w:color w:val="000000" w:themeColor="text1"/>
          <w:lang w:val="en-US"/>
        </w:rPr>
        <w:t>predZ</w:t>
      </w:r>
      <w:proofErr w:type="spellEnd"/>
      <w:r w:rsidRPr="009658C3">
        <w:rPr>
          <w:rFonts w:ascii="Calibri" w:hAnsi="Calibri" w:cs="Calibri"/>
          <w:color w:val="000000" w:themeColor="text1"/>
          <w:lang w:val="en-US"/>
        </w:rPr>
        <w:t xml:space="preserve">” function in the SLIDE package, generating predicted scores for uncommitted cells. Using the thresholds defined from the perturb-seq models,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assigned a predicted fate score to each ABC. Cells with predicted scores above or below the KO-control threshold were classified as transcriptionally predisposed toward different downstream fates.</w:t>
      </w:r>
    </w:p>
    <w:p w14:paraId="6CDADE9F" w14:textId="77777777" w:rsidR="008515C4" w:rsidRPr="009658C3" w:rsidRDefault="008515C4" w:rsidP="008515C4">
      <w:pPr>
        <w:jc w:val="both"/>
        <w:rPr>
          <w:rFonts w:ascii="Calibri" w:hAnsi="Calibri" w:cs="Calibri"/>
          <w:color w:val="000000" w:themeColor="text1"/>
          <w:lang w:val="en-US"/>
        </w:rPr>
      </w:pPr>
    </w:p>
    <w:p w14:paraId="239B6E94" w14:textId="77777777" w:rsidR="008515C4" w:rsidRPr="00587F8D" w:rsidRDefault="008515C4" w:rsidP="008515C4">
      <w:pPr>
        <w:jc w:val="both"/>
        <w:rPr>
          <w:rFonts w:ascii="Calibri" w:hAnsi="Calibri" w:cs="Calibri"/>
          <w:color w:val="000000" w:themeColor="text1"/>
        </w:rPr>
      </w:pPr>
      <w:r w:rsidRPr="009658C3">
        <w:rPr>
          <w:rFonts w:ascii="Calibri" w:hAnsi="Calibri" w:cs="Calibri"/>
          <w:color w:val="000000" w:themeColor="text1"/>
          <w:lang w:val="en-US"/>
        </w:rPr>
        <w:t xml:space="preserve">To evaluate the quality of these predictions, we trained a Lasso logistic regression classifier to assess whether the predicted fate could be distinguished from the true fate labels (GC and PB cells from the </w:t>
      </w:r>
      <w:proofErr w:type="gramStart"/>
      <w:r w:rsidRPr="009658C3">
        <w:rPr>
          <w:rFonts w:ascii="Calibri" w:hAnsi="Calibri" w:cs="Calibri"/>
          <w:color w:val="000000" w:themeColor="text1"/>
          <w:lang w:val="en-US"/>
        </w:rPr>
        <w:t>single-cell</w:t>
      </w:r>
      <w:proofErr w:type="gramEnd"/>
      <w:r w:rsidRPr="009658C3">
        <w:rPr>
          <w:rFonts w:ascii="Calibri" w:hAnsi="Calibri" w:cs="Calibri"/>
          <w:color w:val="000000" w:themeColor="text1"/>
          <w:lang w:val="en-US"/>
        </w:rPr>
        <w:t xml:space="preserve"> </w:t>
      </w:r>
      <w:proofErr w:type="spellStart"/>
      <w:r w:rsidRPr="009658C3">
        <w:rPr>
          <w:rFonts w:ascii="Calibri" w:hAnsi="Calibri" w:cs="Calibri"/>
          <w:color w:val="000000" w:themeColor="text1"/>
          <w:lang w:val="en-US"/>
        </w:rPr>
        <w:t>multiome</w:t>
      </w:r>
      <w:proofErr w:type="spellEnd"/>
      <w:r w:rsidRPr="009658C3">
        <w:rPr>
          <w:rFonts w:ascii="Calibri" w:hAnsi="Calibri" w:cs="Calibri"/>
          <w:color w:val="000000" w:themeColor="text1"/>
          <w:lang w:val="en-US"/>
        </w:rPr>
        <w:t xml:space="preserve"> dataset). Two scenarios were defined: first, if a predicted fate could not be distinguished from the </w:t>
      </w:r>
      <w:proofErr w:type="gramStart"/>
      <w:r w:rsidRPr="009658C3">
        <w:rPr>
          <w:rFonts w:ascii="Calibri" w:hAnsi="Calibri" w:cs="Calibri"/>
          <w:color w:val="000000" w:themeColor="text1"/>
          <w:lang w:val="en-US"/>
        </w:rPr>
        <w:t>true identity</w:t>
      </w:r>
      <w:proofErr w:type="gramEnd"/>
      <w:r w:rsidRPr="009658C3">
        <w:rPr>
          <w:rFonts w:ascii="Calibri" w:hAnsi="Calibri" w:cs="Calibri"/>
          <w:color w:val="000000" w:themeColor="text1"/>
          <w:lang w:val="en-US"/>
        </w:rPr>
        <w:t xml:space="preserve"> based on transcriptional features, the cell was assigned to the same identity. Conversely, if the predicted fate could be confidently discriminated from the </w:t>
      </w:r>
      <w:proofErr w:type="gramStart"/>
      <w:r w:rsidRPr="009658C3">
        <w:rPr>
          <w:rFonts w:ascii="Calibri" w:hAnsi="Calibri" w:cs="Calibri"/>
          <w:color w:val="000000" w:themeColor="text1"/>
          <w:lang w:val="en-US"/>
        </w:rPr>
        <w:t>true identity</w:t>
      </w:r>
      <w:proofErr w:type="gramEnd"/>
      <w:r w:rsidRPr="009658C3">
        <w:rPr>
          <w:rFonts w:ascii="Calibri" w:hAnsi="Calibri" w:cs="Calibri"/>
          <w:color w:val="000000" w:themeColor="text1"/>
          <w:lang w:val="en-US"/>
        </w:rPr>
        <w:t xml:space="preserve">, we inferred that </w:t>
      </w:r>
      <w:proofErr w:type="spellStart"/>
      <w:r w:rsidRPr="009658C3">
        <w:rPr>
          <w:rStyle w:val="Strong"/>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did not specify the cell as belonging to the predicted fate. This framework produced classification loss scores that quantified the predictive confidence of</w:t>
      </w:r>
      <w:r w:rsidRPr="009658C3">
        <w:rPr>
          <w:rStyle w:val="Strong"/>
          <w:rFonts w:ascii="Calibri" w:hAnsi="Calibri" w:cs="Calibri"/>
          <w:color w:val="000000" w:themeColor="text1"/>
          <w:lang w:val="en-US"/>
        </w:rPr>
        <w:t xml:space="preserve"> rollback analysis</w:t>
      </w:r>
      <w:r w:rsidRPr="009658C3">
        <w:rPr>
          <w:rFonts w:ascii="Calibri" w:hAnsi="Calibri" w:cs="Calibri"/>
          <w:color w:val="000000" w:themeColor="text1"/>
          <w:lang w:val="en-US"/>
        </w:rPr>
        <w:t>, thereby enabling evaluation of the model’s performance in capturing early fate bias.</w:t>
      </w:r>
    </w:p>
    <w:p w14:paraId="1CEDDE23" w14:textId="77777777" w:rsidR="008515C4" w:rsidRPr="00624F7B" w:rsidRDefault="008515C4" w:rsidP="008515C4">
      <w:pPr>
        <w:pStyle w:val="Heading3"/>
        <w:jc w:val="both"/>
        <w:rPr>
          <w:rFonts w:asciiTheme="majorHAnsi" w:hAnsiTheme="majorHAnsi" w:cstheme="majorHAnsi"/>
          <w:sz w:val="24"/>
          <w:szCs w:val="24"/>
        </w:rPr>
      </w:pPr>
      <w:r w:rsidRPr="00624F7B">
        <w:rPr>
          <w:rStyle w:val="Strong"/>
          <w:rFonts w:asciiTheme="majorHAnsi" w:hAnsiTheme="majorHAnsi" w:cstheme="majorHAnsi"/>
          <w:color w:val="000000" w:themeColor="text1"/>
          <w:sz w:val="24"/>
          <w:szCs w:val="24"/>
        </w:rPr>
        <w:t>Gene Set Enrichment Analysis Using ESCAPE</w:t>
      </w:r>
    </w:p>
    <w:p w14:paraId="6C6FAB4B" w14:textId="77777777" w:rsidR="008515C4" w:rsidRPr="009658C3" w:rsidRDefault="008515C4" w:rsidP="008515C4">
      <w:pPr>
        <w:jc w:val="both"/>
        <w:rPr>
          <w:rFonts w:ascii="Calibri" w:hAnsi="Calibri" w:cs="Calibri"/>
          <w:color w:val="000000" w:themeColor="text1"/>
          <w:lang w:val="en-US"/>
        </w:rPr>
      </w:pPr>
      <w:r w:rsidRPr="009658C3">
        <w:rPr>
          <w:rFonts w:ascii="Calibri" w:hAnsi="Calibri" w:cs="Calibri"/>
          <w:color w:val="000000" w:themeColor="text1"/>
        </w:rPr>
        <w:t xml:space="preserve">To interrogate transcriptional heterogeneity and quantify the enrichment of gene expression signatures at the single-cell level, we employed the ESCAPE (Enrichment of Single Cell Analysis by Pathway Expression) framework (Borcherding et al., Bioconductor, https://bioconductor.org/packages/escape). ESCAPE is a single-cell gene set enrichment analysis (GSEA) tool specifically designed to leverage the high dimensionality and variability inherent to </w:t>
      </w:r>
      <w:proofErr w:type="spellStart"/>
      <w:r w:rsidRPr="009658C3">
        <w:rPr>
          <w:rFonts w:ascii="Calibri" w:hAnsi="Calibri" w:cs="Calibri"/>
          <w:color w:val="000000" w:themeColor="text1"/>
        </w:rPr>
        <w:t>scRNA</w:t>
      </w:r>
      <w:proofErr w:type="spellEnd"/>
      <w:r w:rsidRPr="009658C3">
        <w:rPr>
          <w:rFonts w:ascii="Calibri" w:hAnsi="Calibri" w:cs="Calibri"/>
          <w:color w:val="000000" w:themeColor="text1"/>
        </w:rPr>
        <w:t>-seq data. By integrating predefined gene sets or custom marker lists, ESCAPE calculates enrichment scores for individual cells, enabling sensitive detection of transcriptional programs and cellular states within heterogeneous populations. In our study, we applied ESCAPE to assess whether the transcriptional profiles of predicted “KO-like” subsets reflected expected lineage biases. Enrichment was calculated using canonical marker genes representative of progenitor-like exhausted T cells (</w:t>
      </w:r>
      <w:proofErr w:type="spellStart"/>
      <w:r w:rsidRPr="009658C3">
        <w:rPr>
          <w:rFonts w:ascii="Calibri" w:hAnsi="Calibri" w:cs="Calibri"/>
          <w:color w:val="000000" w:themeColor="text1"/>
        </w:rPr>
        <w:t>Tpex</w:t>
      </w:r>
      <w:proofErr w:type="spellEnd"/>
      <w:r w:rsidRPr="009658C3">
        <w:rPr>
          <w:rFonts w:ascii="Calibri" w:hAnsi="Calibri" w:cs="Calibri"/>
          <w:color w:val="000000" w:themeColor="text1"/>
        </w:rPr>
        <w:t xml:space="preserve">: </w:t>
      </w:r>
      <w:r w:rsidRPr="009658C3">
        <w:rPr>
          <w:rStyle w:val="Emphasis"/>
          <w:rFonts w:ascii="Calibri" w:hAnsi="Calibri" w:cs="Calibri"/>
          <w:color w:val="000000" w:themeColor="text1"/>
        </w:rPr>
        <w:t xml:space="preserve">Tcf7, Slamf6, </w:t>
      </w:r>
      <w:proofErr w:type="spellStart"/>
      <w:r w:rsidRPr="009658C3">
        <w:rPr>
          <w:rStyle w:val="Emphasis"/>
          <w:rFonts w:ascii="Calibri" w:hAnsi="Calibri" w:cs="Calibri"/>
          <w:color w:val="000000" w:themeColor="text1"/>
        </w:rPr>
        <w:t>Myb</w:t>
      </w:r>
      <w:proofErr w:type="spellEnd"/>
      <w:r w:rsidRPr="009658C3">
        <w:rPr>
          <w:rStyle w:val="Emphasis"/>
          <w:rFonts w:ascii="Calibri" w:hAnsi="Calibri" w:cs="Calibri"/>
          <w:color w:val="000000" w:themeColor="text1"/>
        </w:rPr>
        <w:t>, Sell, Bach2</w:t>
      </w:r>
      <w:r w:rsidRPr="009658C3">
        <w:rPr>
          <w:rFonts w:ascii="Calibri" w:hAnsi="Calibri" w:cs="Calibri"/>
          <w:color w:val="000000" w:themeColor="text1"/>
        </w:rPr>
        <w:t xml:space="preserve">) and terminally exhausted T cells (Tex: </w:t>
      </w:r>
      <w:r w:rsidRPr="009658C3">
        <w:rPr>
          <w:rStyle w:val="Emphasis"/>
          <w:rFonts w:ascii="Calibri" w:hAnsi="Calibri" w:cs="Calibri"/>
          <w:color w:val="000000" w:themeColor="text1"/>
        </w:rPr>
        <w:t xml:space="preserve">Havcr2, Pdcd1, Entpd1, Cd38, Cd244a, Cxcr6, </w:t>
      </w:r>
      <w:proofErr w:type="spellStart"/>
      <w:r w:rsidRPr="009658C3">
        <w:rPr>
          <w:rStyle w:val="Emphasis"/>
          <w:rFonts w:ascii="Calibri" w:hAnsi="Calibri" w:cs="Calibri"/>
          <w:color w:val="000000" w:themeColor="text1"/>
        </w:rPr>
        <w:t>Ifng</w:t>
      </w:r>
      <w:proofErr w:type="spellEnd"/>
      <w:r w:rsidRPr="009658C3">
        <w:rPr>
          <w:rFonts w:ascii="Calibri" w:hAnsi="Calibri" w:cs="Calibri"/>
          <w:color w:val="000000" w:themeColor="text1"/>
        </w:rPr>
        <w:t>). These analyses allowed us to systematically compare enrichment patterns across subsets and gain insights into the differentiation status and functional states of the populations under investigation.</w:t>
      </w:r>
    </w:p>
    <w:p w14:paraId="4CC836B0" w14:textId="77777777" w:rsidR="008515C4" w:rsidRPr="009658C3" w:rsidRDefault="008515C4" w:rsidP="008515C4">
      <w:pPr>
        <w:pStyle w:val="Heading2"/>
        <w:pBdr>
          <w:bottom w:val="single" w:sz="4" w:space="1" w:color="auto"/>
        </w:pBdr>
        <w:jc w:val="both"/>
        <w:rPr>
          <w:rFonts w:ascii="Calibri" w:hAnsi="Calibri" w:cs="Calibri"/>
          <w:b/>
          <w:bCs/>
          <w:color w:val="000000" w:themeColor="text1"/>
          <w:sz w:val="28"/>
          <w:szCs w:val="28"/>
          <w:lang w:val="en-US"/>
        </w:rPr>
      </w:pPr>
      <w:r w:rsidRPr="009658C3">
        <w:rPr>
          <w:rFonts w:ascii="Calibri" w:hAnsi="Calibri" w:cs="Calibri"/>
          <w:b/>
          <w:bCs/>
          <w:color w:val="000000" w:themeColor="text1"/>
          <w:sz w:val="28"/>
          <w:szCs w:val="28"/>
          <w:lang w:val="en-US"/>
        </w:rPr>
        <w:t>REFERENCES</w:t>
      </w:r>
    </w:p>
    <w:p w14:paraId="4177CA89" w14:textId="77777777" w:rsidR="00631694" w:rsidRPr="00631694" w:rsidRDefault="008515C4" w:rsidP="00631694">
      <w:pPr>
        <w:pStyle w:val="Bibliography"/>
        <w:rPr>
          <w:lang w:val="en-US"/>
        </w:rPr>
      </w:pPr>
      <w:r w:rsidRPr="009658C3">
        <w:rPr>
          <w:rFonts w:ascii="Calibri" w:hAnsi="Calibri" w:cs="Calibri"/>
          <w:b/>
          <w:bCs/>
          <w:color w:val="000000" w:themeColor="text1"/>
          <w:lang w:val="en-US"/>
        </w:rPr>
        <w:fldChar w:fldCharType="begin"/>
      </w:r>
      <w:r>
        <w:rPr>
          <w:rFonts w:ascii="Calibri" w:hAnsi="Calibri" w:cs="Calibri"/>
          <w:b/>
          <w:bCs/>
          <w:color w:val="000000" w:themeColor="text1"/>
          <w:lang w:val="en-US"/>
        </w:rPr>
        <w:instrText xml:space="preserve"> ADDIN ZOTERO_BIBL {"uncited":[],"omitted":[],"custom":[]} CSL_BIBLIOGRAPHY </w:instrText>
      </w:r>
      <w:r w:rsidRPr="009658C3">
        <w:rPr>
          <w:rFonts w:ascii="Calibri" w:hAnsi="Calibri" w:cs="Calibri"/>
          <w:b/>
          <w:bCs/>
          <w:color w:val="000000" w:themeColor="text1"/>
          <w:lang w:val="en-US"/>
        </w:rPr>
        <w:fldChar w:fldCharType="separate"/>
      </w:r>
      <w:r w:rsidR="00631694" w:rsidRPr="00631694">
        <w:rPr>
          <w:lang w:val="en-US"/>
        </w:rPr>
        <w:t>1.</w:t>
      </w:r>
      <w:r w:rsidR="00631694" w:rsidRPr="00631694">
        <w:rPr>
          <w:lang w:val="en-US"/>
        </w:rPr>
        <w:tab/>
        <w:t xml:space="preserve">Chen, H., Liu, Z., Shu, Q. &amp; Zhou, B. Cell Fate Determination and Lineage Tracing: Technological Evolution and Multidimensional Applications. </w:t>
      </w:r>
      <w:r w:rsidR="00631694" w:rsidRPr="00631694">
        <w:rPr>
          <w:i/>
          <w:iCs/>
          <w:lang w:val="en-US"/>
        </w:rPr>
        <w:t>Adv. Sci.</w:t>
      </w:r>
      <w:r w:rsidR="00631694" w:rsidRPr="00631694">
        <w:rPr>
          <w:lang w:val="en-US"/>
        </w:rPr>
        <w:t xml:space="preserve"> </w:t>
      </w:r>
      <w:r w:rsidR="00631694" w:rsidRPr="00631694">
        <w:rPr>
          <w:b/>
          <w:bCs/>
          <w:lang w:val="en-US"/>
        </w:rPr>
        <w:t>12</w:t>
      </w:r>
      <w:r w:rsidR="00631694" w:rsidRPr="00631694">
        <w:rPr>
          <w:lang w:val="en-US"/>
        </w:rPr>
        <w:t>, e07183 (2025).</w:t>
      </w:r>
    </w:p>
    <w:p w14:paraId="2BA1D0A6" w14:textId="77777777" w:rsidR="00631694" w:rsidRPr="00631694" w:rsidRDefault="00631694" w:rsidP="00631694">
      <w:pPr>
        <w:pStyle w:val="Bibliography"/>
        <w:rPr>
          <w:lang w:val="en-US"/>
        </w:rPr>
      </w:pPr>
      <w:r w:rsidRPr="00631694">
        <w:rPr>
          <w:lang w:val="en-US"/>
        </w:rPr>
        <w:lastRenderedPageBreak/>
        <w:t>2.</w:t>
      </w:r>
      <w:r w:rsidRPr="00631694">
        <w:rPr>
          <w:lang w:val="en-US"/>
        </w:rPr>
        <w:tab/>
        <w:t xml:space="preserve">Moris, N., Pina, C. &amp; Arias, A. M. Transition states and cell fate decisions in epigenetic landscapes. </w:t>
      </w:r>
      <w:r w:rsidRPr="00631694">
        <w:rPr>
          <w:i/>
          <w:iCs/>
          <w:lang w:val="en-US"/>
        </w:rPr>
        <w:t>Nat. Rev. Genet.</w:t>
      </w:r>
      <w:r w:rsidRPr="00631694">
        <w:rPr>
          <w:lang w:val="en-US"/>
        </w:rPr>
        <w:t xml:space="preserve"> </w:t>
      </w:r>
      <w:r w:rsidRPr="00631694">
        <w:rPr>
          <w:b/>
          <w:bCs/>
          <w:lang w:val="en-US"/>
        </w:rPr>
        <w:t>17</w:t>
      </w:r>
      <w:r w:rsidRPr="00631694">
        <w:rPr>
          <w:lang w:val="en-US"/>
        </w:rPr>
        <w:t>, 693–703 (2016).</w:t>
      </w:r>
    </w:p>
    <w:p w14:paraId="79CE32D6" w14:textId="77777777" w:rsidR="00631694" w:rsidRPr="00631694" w:rsidRDefault="00631694" w:rsidP="00631694">
      <w:pPr>
        <w:pStyle w:val="Bibliography"/>
        <w:rPr>
          <w:lang w:val="en-US"/>
        </w:rPr>
      </w:pPr>
      <w:r w:rsidRPr="00631694">
        <w:rPr>
          <w:lang w:val="en-US"/>
        </w:rPr>
        <w:t>3.</w:t>
      </w:r>
      <w:r w:rsidRPr="00631694">
        <w:rPr>
          <w:lang w:val="en-US"/>
        </w:rPr>
        <w:tab/>
        <w:t xml:space="preserve">Victora, G. D. &amp; Nussenzweig, M. C. Germinal Centers. </w:t>
      </w:r>
      <w:r w:rsidRPr="00631694">
        <w:rPr>
          <w:i/>
          <w:iCs/>
          <w:lang w:val="en-US"/>
        </w:rPr>
        <w:t>Annu. Rev. Immunol.</w:t>
      </w:r>
      <w:r w:rsidRPr="00631694">
        <w:rPr>
          <w:lang w:val="en-US"/>
        </w:rPr>
        <w:t xml:space="preserve"> </w:t>
      </w:r>
      <w:r w:rsidRPr="00631694">
        <w:rPr>
          <w:b/>
          <w:bCs/>
          <w:lang w:val="en-US"/>
        </w:rPr>
        <w:t>40</w:t>
      </w:r>
      <w:r w:rsidRPr="00631694">
        <w:rPr>
          <w:lang w:val="en-US"/>
        </w:rPr>
        <w:t>, 413–442 (2022).</w:t>
      </w:r>
    </w:p>
    <w:p w14:paraId="76814755" w14:textId="77777777" w:rsidR="00631694" w:rsidRPr="00631694" w:rsidRDefault="00631694" w:rsidP="00631694">
      <w:pPr>
        <w:pStyle w:val="Bibliography"/>
        <w:rPr>
          <w:lang w:val="en-US"/>
        </w:rPr>
      </w:pPr>
      <w:r w:rsidRPr="00631694">
        <w:rPr>
          <w:lang w:val="en-US"/>
        </w:rPr>
        <w:t>4.</w:t>
      </w:r>
      <w:r w:rsidRPr="00631694">
        <w:rPr>
          <w:lang w:val="en-US"/>
        </w:rPr>
        <w:tab/>
        <w:t xml:space="preserve">Sciammas, R. </w:t>
      </w:r>
      <w:r w:rsidRPr="00631694">
        <w:rPr>
          <w:i/>
          <w:iCs/>
          <w:lang w:val="en-US"/>
        </w:rPr>
        <w:t>et al.</w:t>
      </w:r>
      <w:r w:rsidRPr="00631694">
        <w:rPr>
          <w:lang w:val="en-US"/>
        </w:rPr>
        <w:t xml:space="preserve"> An incoherent regulatory network architecture that orchestrates B cell diversification in response to antigen signaling. </w:t>
      </w:r>
      <w:r w:rsidRPr="00631694">
        <w:rPr>
          <w:i/>
          <w:iCs/>
          <w:lang w:val="en-US"/>
        </w:rPr>
        <w:t>Mol. Syst. Biol.</w:t>
      </w:r>
      <w:r w:rsidRPr="00631694">
        <w:rPr>
          <w:lang w:val="en-US"/>
        </w:rPr>
        <w:t xml:space="preserve"> </w:t>
      </w:r>
      <w:r w:rsidRPr="00631694">
        <w:rPr>
          <w:b/>
          <w:bCs/>
          <w:lang w:val="en-US"/>
        </w:rPr>
        <w:t>7</w:t>
      </w:r>
      <w:r w:rsidRPr="00631694">
        <w:rPr>
          <w:lang w:val="en-US"/>
        </w:rPr>
        <w:t>, 495 (2011).</w:t>
      </w:r>
    </w:p>
    <w:p w14:paraId="589A7101" w14:textId="77777777" w:rsidR="00631694" w:rsidRPr="00631694" w:rsidRDefault="00631694" w:rsidP="00631694">
      <w:pPr>
        <w:pStyle w:val="Bibliography"/>
        <w:rPr>
          <w:lang w:val="en-US"/>
        </w:rPr>
      </w:pPr>
      <w:r w:rsidRPr="00631694">
        <w:rPr>
          <w:lang w:val="en-US"/>
        </w:rPr>
        <w:t>5.</w:t>
      </w:r>
      <w:r w:rsidRPr="00631694">
        <w:rPr>
          <w:lang w:val="en-US"/>
        </w:rPr>
        <w:tab/>
        <w:t xml:space="preserve">Laslo, P. </w:t>
      </w:r>
      <w:r w:rsidRPr="00631694">
        <w:rPr>
          <w:i/>
          <w:iCs/>
          <w:lang w:val="en-US"/>
        </w:rPr>
        <w:t>et al.</w:t>
      </w:r>
      <w:r w:rsidRPr="00631694">
        <w:rPr>
          <w:lang w:val="en-US"/>
        </w:rPr>
        <w:t xml:space="preserve"> Multilineage Transcriptional Priming and Determination of Alternate Hematopoietic Cell Fates. </w:t>
      </w:r>
      <w:r w:rsidRPr="00631694">
        <w:rPr>
          <w:i/>
          <w:iCs/>
          <w:lang w:val="en-US"/>
        </w:rPr>
        <w:t>Cell</w:t>
      </w:r>
      <w:r w:rsidRPr="00631694">
        <w:rPr>
          <w:lang w:val="en-US"/>
        </w:rPr>
        <w:t xml:space="preserve"> </w:t>
      </w:r>
      <w:r w:rsidRPr="00631694">
        <w:rPr>
          <w:b/>
          <w:bCs/>
          <w:lang w:val="en-US"/>
        </w:rPr>
        <w:t>126</w:t>
      </w:r>
      <w:r w:rsidRPr="00631694">
        <w:rPr>
          <w:lang w:val="en-US"/>
        </w:rPr>
        <w:t>, 755–766 (2006).</w:t>
      </w:r>
    </w:p>
    <w:p w14:paraId="37EE0735" w14:textId="77777777" w:rsidR="00631694" w:rsidRPr="00631694" w:rsidRDefault="00631694" w:rsidP="00631694">
      <w:pPr>
        <w:pStyle w:val="Bibliography"/>
        <w:rPr>
          <w:lang w:val="en-US"/>
        </w:rPr>
      </w:pPr>
      <w:r w:rsidRPr="00631694">
        <w:rPr>
          <w:lang w:val="en-US"/>
        </w:rPr>
        <w:t>6.</w:t>
      </w:r>
      <w:r w:rsidRPr="00631694">
        <w:rPr>
          <w:lang w:val="en-US"/>
        </w:rPr>
        <w:tab/>
        <w:t xml:space="preserve">Singh, H., Medina, K. L. &amp; Pongubala, J. M. R. Contingent gene regulatory networks and B cell fate specification. </w:t>
      </w:r>
      <w:r w:rsidRPr="00631694">
        <w:rPr>
          <w:i/>
          <w:iCs/>
          <w:lang w:val="en-US"/>
        </w:rPr>
        <w:t>Proc. Natl. Acad. Sci.</w:t>
      </w:r>
      <w:r w:rsidRPr="00631694">
        <w:rPr>
          <w:lang w:val="en-US"/>
        </w:rPr>
        <w:t xml:space="preserve"> </w:t>
      </w:r>
      <w:r w:rsidRPr="00631694">
        <w:rPr>
          <w:b/>
          <w:bCs/>
          <w:lang w:val="en-US"/>
        </w:rPr>
        <w:t>102</w:t>
      </w:r>
      <w:r w:rsidRPr="00631694">
        <w:rPr>
          <w:lang w:val="en-US"/>
        </w:rPr>
        <w:t>, 4949–4953 (2005).</w:t>
      </w:r>
    </w:p>
    <w:p w14:paraId="41975FE9" w14:textId="77777777" w:rsidR="00631694" w:rsidRPr="00631694" w:rsidRDefault="00631694" w:rsidP="00631694">
      <w:pPr>
        <w:pStyle w:val="Bibliography"/>
        <w:rPr>
          <w:lang w:val="en-US"/>
        </w:rPr>
      </w:pPr>
      <w:r w:rsidRPr="00631694">
        <w:rPr>
          <w:lang w:val="en-US"/>
        </w:rPr>
        <w:t>7.</w:t>
      </w:r>
      <w:r w:rsidRPr="00631694">
        <w:rPr>
          <w:lang w:val="en-US"/>
        </w:rPr>
        <w:tab/>
        <w:t>Kingma, D. P. &amp; Welling, M. Auto-Encoding Variational Bayes. Preprint at https://doi.org/10.48550/ARXIV.1312.6114 (2013).</w:t>
      </w:r>
    </w:p>
    <w:p w14:paraId="67473772" w14:textId="77777777" w:rsidR="00631694" w:rsidRPr="00631694" w:rsidRDefault="00631694" w:rsidP="00631694">
      <w:pPr>
        <w:pStyle w:val="Bibliography"/>
        <w:rPr>
          <w:lang w:val="en-US"/>
        </w:rPr>
      </w:pPr>
      <w:r w:rsidRPr="00631694">
        <w:rPr>
          <w:lang w:val="en-US"/>
        </w:rPr>
        <w:t>8.</w:t>
      </w:r>
      <w:r w:rsidRPr="00631694">
        <w:rPr>
          <w:lang w:val="en-US"/>
        </w:rPr>
        <w:tab/>
        <w:t xml:space="preserve">Huang, C. Y. &amp; Ferrell, J. E. Ultrasensitivity in the mitogen-activated protein kinase cascade. </w:t>
      </w:r>
      <w:r w:rsidRPr="00631694">
        <w:rPr>
          <w:i/>
          <w:iCs/>
          <w:lang w:val="en-US"/>
        </w:rPr>
        <w:t>Proc. Natl. Acad. Sci.</w:t>
      </w:r>
      <w:r w:rsidRPr="00631694">
        <w:rPr>
          <w:lang w:val="en-US"/>
        </w:rPr>
        <w:t xml:space="preserve"> </w:t>
      </w:r>
      <w:r w:rsidRPr="00631694">
        <w:rPr>
          <w:b/>
          <w:bCs/>
          <w:lang w:val="en-US"/>
        </w:rPr>
        <w:t>93</w:t>
      </w:r>
      <w:r w:rsidRPr="00631694">
        <w:rPr>
          <w:lang w:val="en-US"/>
        </w:rPr>
        <w:t>, 10078–10083 (1996).</w:t>
      </w:r>
    </w:p>
    <w:p w14:paraId="32270D65" w14:textId="77777777" w:rsidR="00631694" w:rsidRPr="00631694" w:rsidRDefault="00631694" w:rsidP="00631694">
      <w:pPr>
        <w:pStyle w:val="Bibliography"/>
        <w:rPr>
          <w:lang w:val="en-US"/>
        </w:rPr>
      </w:pPr>
      <w:r w:rsidRPr="00631694">
        <w:rPr>
          <w:lang w:val="en-US"/>
        </w:rPr>
        <w:t>9.</w:t>
      </w:r>
      <w:r w:rsidRPr="00631694">
        <w:rPr>
          <w:lang w:val="en-US"/>
        </w:rPr>
        <w:tab/>
        <w:t xml:space="preserve">Tyson, J. J. Modeling the cell division cycle: cdc2 and cyclin interactions. </w:t>
      </w:r>
      <w:r w:rsidRPr="00631694">
        <w:rPr>
          <w:i/>
          <w:iCs/>
          <w:lang w:val="en-US"/>
        </w:rPr>
        <w:t>Proc. Natl. Acad. Sci.</w:t>
      </w:r>
      <w:r w:rsidRPr="00631694">
        <w:rPr>
          <w:lang w:val="en-US"/>
        </w:rPr>
        <w:t xml:space="preserve"> </w:t>
      </w:r>
      <w:r w:rsidRPr="00631694">
        <w:rPr>
          <w:b/>
          <w:bCs/>
          <w:lang w:val="en-US"/>
        </w:rPr>
        <w:t>88</w:t>
      </w:r>
      <w:r w:rsidRPr="00631694">
        <w:rPr>
          <w:lang w:val="en-US"/>
        </w:rPr>
        <w:t>, 7328–7332 (1991).</w:t>
      </w:r>
    </w:p>
    <w:p w14:paraId="1F39B4A2" w14:textId="77777777" w:rsidR="00631694" w:rsidRPr="00631694" w:rsidRDefault="00631694" w:rsidP="00631694">
      <w:pPr>
        <w:pStyle w:val="Bibliography"/>
        <w:rPr>
          <w:lang w:val="en-US"/>
        </w:rPr>
      </w:pPr>
      <w:r w:rsidRPr="00631694">
        <w:rPr>
          <w:lang w:val="en-US"/>
        </w:rPr>
        <w:t>10.</w:t>
      </w:r>
      <w:r w:rsidRPr="00631694">
        <w:rPr>
          <w:lang w:val="en-US"/>
        </w:rPr>
        <w:tab/>
        <w:t xml:space="preserve">Brigandt, I. Systems biology and the integration of mechanistic explanation and mathematical explanation. </w:t>
      </w:r>
      <w:r w:rsidRPr="00631694">
        <w:rPr>
          <w:i/>
          <w:iCs/>
          <w:lang w:val="en-US"/>
        </w:rPr>
        <w:t>Stud. Hist. Philos. Sci. Part C Stud. Hist. Philos. Biol. Biomed. Sci.</w:t>
      </w:r>
      <w:r w:rsidRPr="00631694">
        <w:rPr>
          <w:lang w:val="en-US"/>
        </w:rPr>
        <w:t xml:space="preserve"> </w:t>
      </w:r>
      <w:r w:rsidRPr="00631694">
        <w:rPr>
          <w:b/>
          <w:bCs/>
          <w:lang w:val="en-US"/>
        </w:rPr>
        <w:t>44</w:t>
      </w:r>
      <w:r w:rsidRPr="00631694">
        <w:rPr>
          <w:lang w:val="en-US"/>
        </w:rPr>
        <w:t>, 477–492 (2013).</w:t>
      </w:r>
    </w:p>
    <w:p w14:paraId="03D375A2" w14:textId="77777777" w:rsidR="00631694" w:rsidRPr="00631694" w:rsidRDefault="00631694" w:rsidP="00631694">
      <w:pPr>
        <w:pStyle w:val="Bibliography"/>
        <w:rPr>
          <w:lang w:val="en-US"/>
        </w:rPr>
      </w:pPr>
      <w:r w:rsidRPr="00631694">
        <w:rPr>
          <w:lang w:val="en-US"/>
        </w:rPr>
        <w:t>11.</w:t>
      </w:r>
      <w:r w:rsidRPr="00631694">
        <w:rPr>
          <w:lang w:val="en-US"/>
        </w:rPr>
        <w:tab/>
        <w:t xml:space="preserve">Kehrer, K., Weiser, M. &amp; Conrad, T. Hybrid PDE–ODE models for efficient simulation of infection spread in epidemiology. </w:t>
      </w:r>
      <w:r w:rsidRPr="00631694">
        <w:rPr>
          <w:i/>
          <w:iCs/>
          <w:lang w:val="en-US"/>
        </w:rPr>
        <w:t>Proc. R. Soc. Math. Phys. Eng. Sci.</w:t>
      </w:r>
      <w:r w:rsidRPr="00631694">
        <w:rPr>
          <w:lang w:val="en-US"/>
        </w:rPr>
        <w:t xml:space="preserve"> </w:t>
      </w:r>
      <w:r w:rsidRPr="00631694">
        <w:rPr>
          <w:b/>
          <w:bCs/>
          <w:lang w:val="en-US"/>
        </w:rPr>
        <w:t>481</w:t>
      </w:r>
      <w:r w:rsidRPr="00631694">
        <w:rPr>
          <w:lang w:val="en-US"/>
        </w:rPr>
        <w:t>, 20240421 (2025).</w:t>
      </w:r>
    </w:p>
    <w:p w14:paraId="625485F7" w14:textId="77777777" w:rsidR="00631694" w:rsidRPr="00631694" w:rsidRDefault="00631694" w:rsidP="00631694">
      <w:pPr>
        <w:pStyle w:val="Bibliography"/>
        <w:rPr>
          <w:lang w:val="en-US"/>
        </w:rPr>
      </w:pPr>
      <w:r w:rsidRPr="00631694">
        <w:rPr>
          <w:lang w:val="en-US"/>
        </w:rPr>
        <w:t>12.</w:t>
      </w:r>
      <w:r w:rsidRPr="00631694">
        <w:rPr>
          <w:lang w:val="en-US"/>
        </w:rPr>
        <w:tab/>
        <w:t xml:space="preserve">Maus, C., Rybacki, S. &amp; Uhrmacher, A. M. Rule-based multi-level modeling of cell biological systems. </w:t>
      </w:r>
      <w:r w:rsidRPr="00631694">
        <w:rPr>
          <w:i/>
          <w:iCs/>
          <w:lang w:val="en-US"/>
        </w:rPr>
        <w:t>BMC Syst. Biol.</w:t>
      </w:r>
      <w:r w:rsidRPr="00631694">
        <w:rPr>
          <w:lang w:val="en-US"/>
        </w:rPr>
        <w:t xml:space="preserve"> </w:t>
      </w:r>
      <w:r w:rsidRPr="00631694">
        <w:rPr>
          <w:b/>
          <w:bCs/>
          <w:lang w:val="en-US"/>
        </w:rPr>
        <w:t>5</w:t>
      </w:r>
      <w:r w:rsidRPr="00631694">
        <w:rPr>
          <w:lang w:val="en-US"/>
        </w:rPr>
        <w:t>, 166 (2011).</w:t>
      </w:r>
    </w:p>
    <w:p w14:paraId="5FA444D2" w14:textId="77777777" w:rsidR="00631694" w:rsidRPr="00631694" w:rsidRDefault="00631694" w:rsidP="00631694">
      <w:pPr>
        <w:pStyle w:val="Bibliography"/>
        <w:rPr>
          <w:lang w:val="en-US"/>
        </w:rPr>
      </w:pPr>
      <w:r w:rsidRPr="00631694">
        <w:rPr>
          <w:lang w:val="en-US"/>
        </w:rPr>
        <w:t>13.</w:t>
      </w:r>
      <w:r w:rsidRPr="00631694">
        <w:rPr>
          <w:lang w:val="en-US"/>
        </w:rPr>
        <w:tab/>
        <w:t xml:space="preserve">Chylek, L. A. </w:t>
      </w:r>
      <w:r w:rsidRPr="00631694">
        <w:rPr>
          <w:i/>
          <w:iCs/>
          <w:lang w:val="en-US"/>
        </w:rPr>
        <w:t>et al.</w:t>
      </w:r>
      <w:r w:rsidRPr="00631694">
        <w:rPr>
          <w:lang w:val="en-US"/>
        </w:rPr>
        <w:t xml:space="preserve"> Rule</w:t>
      </w:r>
      <w:r w:rsidRPr="00631694">
        <w:rPr>
          <w:rFonts w:ascii="Cambria Math" w:hAnsi="Cambria Math" w:cs="Cambria Math"/>
          <w:lang w:val="en-US"/>
        </w:rPr>
        <w:t>‐</w:t>
      </w:r>
      <w:r w:rsidRPr="00631694">
        <w:rPr>
          <w:lang w:val="en-US"/>
        </w:rPr>
        <w:t xml:space="preserve">based modeling: a computational approach for studying biomolecular site dynamics in cell signaling systems. </w:t>
      </w:r>
      <w:r w:rsidRPr="00631694">
        <w:rPr>
          <w:i/>
          <w:iCs/>
          <w:lang w:val="en-US"/>
        </w:rPr>
        <w:t>WIREs Syst. Biol. Med.</w:t>
      </w:r>
      <w:r w:rsidRPr="00631694">
        <w:rPr>
          <w:lang w:val="en-US"/>
        </w:rPr>
        <w:t xml:space="preserve"> </w:t>
      </w:r>
      <w:r w:rsidRPr="00631694">
        <w:rPr>
          <w:b/>
          <w:bCs/>
          <w:lang w:val="en-US"/>
        </w:rPr>
        <w:t>6</w:t>
      </w:r>
      <w:r w:rsidRPr="00631694">
        <w:rPr>
          <w:lang w:val="en-US"/>
        </w:rPr>
        <w:t>, 13–36 (2014).</w:t>
      </w:r>
    </w:p>
    <w:p w14:paraId="3BF1224D" w14:textId="77777777" w:rsidR="00631694" w:rsidRPr="00631694" w:rsidRDefault="00631694" w:rsidP="00631694">
      <w:pPr>
        <w:pStyle w:val="Bibliography"/>
        <w:rPr>
          <w:lang w:val="en-US"/>
        </w:rPr>
      </w:pPr>
      <w:r w:rsidRPr="00631694">
        <w:rPr>
          <w:lang w:val="en-US"/>
        </w:rPr>
        <w:t>14.</w:t>
      </w:r>
      <w:r w:rsidRPr="00631694">
        <w:rPr>
          <w:lang w:val="en-US"/>
        </w:rPr>
        <w:tab/>
        <w:t>An, G., Mi, Q., Dutta</w:t>
      </w:r>
      <w:r w:rsidRPr="00631694">
        <w:rPr>
          <w:rFonts w:ascii="Cambria Math" w:hAnsi="Cambria Math" w:cs="Cambria Math"/>
          <w:lang w:val="en-US"/>
        </w:rPr>
        <w:t>‐</w:t>
      </w:r>
      <w:r w:rsidRPr="00631694">
        <w:rPr>
          <w:lang w:val="en-US"/>
        </w:rPr>
        <w:t>Moscato, J. &amp; Vodovotz, Y. Agent</w:t>
      </w:r>
      <w:r w:rsidRPr="00631694">
        <w:rPr>
          <w:rFonts w:ascii="Cambria Math" w:hAnsi="Cambria Math" w:cs="Cambria Math"/>
          <w:lang w:val="en-US"/>
        </w:rPr>
        <w:t>‐</w:t>
      </w:r>
      <w:r w:rsidRPr="00631694">
        <w:rPr>
          <w:lang w:val="en-US"/>
        </w:rPr>
        <w:t xml:space="preserve">based models in translational systems biology. </w:t>
      </w:r>
      <w:r w:rsidRPr="00631694">
        <w:rPr>
          <w:i/>
          <w:iCs/>
          <w:lang w:val="en-US"/>
        </w:rPr>
        <w:t>WIREs Syst. Biol. Med.</w:t>
      </w:r>
      <w:r w:rsidRPr="00631694">
        <w:rPr>
          <w:lang w:val="en-US"/>
        </w:rPr>
        <w:t xml:space="preserve"> </w:t>
      </w:r>
      <w:r w:rsidRPr="00631694">
        <w:rPr>
          <w:b/>
          <w:bCs/>
          <w:lang w:val="en-US"/>
        </w:rPr>
        <w:t>1</w:t>
      </w:r>
      <w:r w:rsidRPr="00631694">
        <w:rPr>
          <w:lang w:val="en-US"/>
        </w:rPr>
        <w:t>, 159–171 (2009).</w:t>
      </w:r>
    </w:p>
    <w:p w14:paraId="2CBDC109" w14:textId="77777777" w:rsidR="00631694" w:rsidRPr="00631694" w:rsidRDefault="00631694" w:rsidP="00631694">
      <w:pPr>
        <w:pStyle w:val="Bibliography"/>
        <w:rPr>
          <w:lang w:val="en-US"/>
        </w:rPr>
      </w:pPr>
      <w:r w:rsidRPr="00631694">
        <w:rPr>
          <w:lang w:val="en-US"/>
        </w:rPr>
        <w:t>15.</w:t>
      </w:r>
      <w:r w:rsidRPr="00631694">
        <w:rPr>
          <w:lang w:val="en-US"/>
        </w:rPr>
        <w:tab/>
        <w:t>Soheilypour, M. &amp; Mofrad, M. R. K. Agent</w:t>
      </w:r>
      <w:r w:rsidRPr="00631694">
        <w:rPr>
          <w:rFonts w:ascii="Cambria Math" w:hAnsi="Cambria Math" w:cs="Cambria Math"/>
          <w:lang w:val="en-US"/>
        </w:rPr>
        <w:t>‐</w:t>
      </w:r>
      <w:r w:rsidRPr="00631694">
        <w:rPr>
          <w:lang w:val="en-US"/>
        </w:rPr>
        <w:t xml:space="preserve">Based Modeling in Molecular Systems Biology. </w:t>
      </w:r>
      <w:r w:rsidRPr="00631694">
        <w:rPr>
          <w:i/>
          <w:iCs/>
          <w:lang w:val="en-US"/>
        </w:rPr>
        <w:t>BioEssays</w:t>
      </w:r>
      <w:r w:rsidRPr="00631694">
        <w:rPr>
          <w:lang w:val="en-US"/>
        </w:rPr>
        <w:t xml:space="preserve"> </w:t>
      </w:r>
      <w:r w:rsidRPr="00631694">
        <w:rPr>
          <w:b/>
          <w:bCs/>
          <w:lang w:val="en-US"/>
        </w:rPr>
        <w:t>40</w:t>
      </w:r>
      <w:r w:rsidRPr="00631694">
        <w:rPr>
          <w:lang w:val="en-US"/>
        </w:rPr>
        <w:t>, 1800020 (2018).</w:t>
      </w:r>
    </w:p>
    <w:p w14:paraId="06A340AD" w14:textId="77777777" w:rsidR="00631694" w:rsidRPr="00631694" w:rsidRDefault="00631694" w:rsidP="00631694">
      <w:pPr>
        <w:pStyle w:val="Bibliography"/>
        <w:rPr>
          <w:lang w:val="en-US"/>
        </w:rPr>
      </w:pPr>
      <w:r w:rsidRPr="00631694">
        <w:rPr>
          <w:lang w:val="en-US"/>
        </w:rPr>
        <w:lastRenderedPageBreak/>
        <w:t>16.</w:t>
      </w:r>
      <w:r w:rsidRPr="00631694">
        <w:rPr>
          <w:lang w:val="en-US"/>
        </w:rPr>
        <w:tab/>
        <w:t xml:space="preserve">Johnson, J. A. I. </w:t>
      </w:r>
      <w:r w:rsidRPr="00631694">
        <w:rPr>
          <w:i/>
          <w:iCs/>
          <w:lang w:val="en-US"/>
        </w:rPr>
        <w:t>et al.</w:t>
      </w:r>
      <w:r w:rsidRPr="00631694">
        <w:rPr>
          <w:lang w:val="en-US"/>
        </w:rPr>
        <w:t xml:space="preserve"> Human interpretable grammar encodes multicellular systems biology models to democratize virtual cell laboratories. </w:t>
      </w:r>
      <w:r w:rsidRPr="00631694">
        <w:rPr>
          <w:i/>
          <w:iCs/>
          <w:lang w:val="en-US"/>
        </w:rPr>
        <w:t>Cell</w:t>
      </w:r>
      <w:r w:rsidRPr="00631694">
        <w:rPr>
          <w:lang w:val="en-US"/>
        </w:rPr>
        <w:t xml:space="preserve"> </w:t>
      </w:r>
      <w:r w:rsidRPr="00631694">
        <w:rPr>
          <w:b/>
          <w:bCs/>
          <w:lang w:val="en-US"/>
        </w:rPr>
        <w:t>188</w:t>
      </w:r>
      <w:r w:rsidRPr="00631694">
        <w:rPr>
          <w:lang w:val="en-US"/>
        </w:rPr>
        <w:t>, 4711-4733.e37 (2025).</w:t>
      </w:r>
    </w:p>
    <w:p w14:paraId="3FF4EE7C" w14:textId="77777777" w:rsidR="00631694" w:rsidRPr="00631694" w:rsidRDefault="00631694" w:rsidP="00631694">
      <w:pPr>
        <w:pStyle w:val="Bibliography"/>
        <w:rPr>
          <w:lang w:val="en-US"/>
        </w:rPr>
      </w:pPr>
      <w:r w:rsidRPr="00631694">
        <w:rPr>
          <w:lang w:val="en-US"/>
        </w:rPr>
        <w:t>17.</w:t>
      </w:r>
      <w:r w:rsidRPr="00631694">
        <w:rPr>
          <w:lang w:val="en-US"/>
        </w:rPr>
        <w:tab/>
        <w:t xml:space="preserve">Kamimoto, K. </w:t>
      </w:r>
      <w:r w:rsidRPr="00631694">
        <w:rPr>
          <w:i/>
          <w:iCs/>
          <w:lang w:val="en-US"/>
        </w:rPr>
        <w:t>et al.</w:t>
      </w:r>
      <w:r w:rsidRPr="00631694">
        <w:rPr>
          <w:lang w:val="en-US"/>
        </w:rPr>
        <w:t xml:space="preserve"> Dissecting cell identity via network inference and in silico gene perturbation. </w:t>
      </w:r>
      <w:r w:rsidRPr="00631694">
        <w:rPr>
          <w:i/>
          <w:iCs/>
          <w:lang w:val="en-US"/>
        </w:rPr>
        <w:t>Nature</w:t>
      </w:r>
      <w:r w:rsidRPr="00631694">
        <w:rPr>
          <w:lang w:val="en-US"/>
        </w:rPr>
        <w:t xml:space="preserve"> </w:t>
      </w:r>
      <w:r w:rsidRPr="00631694">
        <w:rPr>
          <w:b/>
          <w:bCs/>
          <w:lang w:val="en-US"/>
        </w:rPr>
        <w:t>614</w:t>
      </w:r>
      <w:r w:rsidRPr="00631694">
        <w:rPr>
          <w:lang w:val="en-US"/>
        </w:rPr>
        <w:t>, 742–751 (2023).</w:t>
      </w:r>
    </w:p>
    <w:p w14:paraId="326DE962" w14:textId="77777777" w:rsidR="00631694" w:rsidRPr="00631694" w:rsidRDefault="00631694" w:rsidP="00631694">
      <w:pPr>
        <w:pStyle w:val="Bibliography"/>
        <w:rPr>
          <w:lang w:val="en-US"/>
        </w:rPr>
      </w:pPr>
      <w:r w:rsidRPr="00631694">
        <w:rPr>
          <w:lang w:val="en-US"/>
        </w:rPr>
        <w:t>18.</w:t>
      </w:r>
      <w:r w:rsidRPr="00631694">
        <w:rPr>
          <w:lang w:val="en-US"/>
        </w:rPr>
        <w:tab/>
        <w:t xml:space="preserve">Wang, L. </w:t>
      </w:r>
      <w:r w:rsidRPr="00631694">
        <w:rPr>
          <w:i/>
          <w:iCs/>
          <w:lang w:val="en-US"/>
        </w:rPr>
        <w:t>et al.</w:t>
      </w:r>
      <w:r w:rsidRPr="00631694">
        <w:rPr>
          <w:lang w:val="en-US"/>
        </w:rPr>
        <w:t xml:space="preserve"> Dictys: dynamic gene regulatory network dissects developmental continuum with single-cell multiomics. </w:t>
      </w:r>
      <w:r w:rsidRPr="00631694">
        <w:rPr>
          <w:i/>
          <w:iCs/>
          <w:lang w:val="en-US"/>
        </w:rPr>
        <w:t>Nat. Methods</w:t>
      </w:r>
      <w:r w:rsidRPr="00631694">
        <w:rPr>
          <w:lang w:val="en-US"/>
        </w:rPr>
        <w:t xml:space="preserve"> </w:t>
      </w:r>
      <w:r w:rsidRPr="00631694">
        <w:rPr>
          <w:b/>
          <w:bCs/>
          <w:lang w:val="en-US"/>
        </w:rPr>
        <w:t>20</w:t>
      </w:r>
      <w:r w:rsidRPr="00631694">
        <w:rPr>
          <w:lang w:val="en-US"/>
        </w:rPr>
        <w:t>, 1368–1378 (2023).</w:t>
      </w:r>
    </w:p>
    <w:p w14:paraId="3D9F2261" w14:textId="77777777" w:rsidR="00631694" w:rsidRPr="00631694" w:rsidRDefault="00631694" w:rsidP="00631694">
      <w:pPr>
        <w:pStyle w:val="Bibliography"/>
        <w:rPr>
          <w:lang w:val="en-US"/>
        </w:rPr>
      </w:pPr>
      <w:r w:rsidRPr="00631694">
        <w:rPr>
          <w:lang w:val="en-US"/>
        </w:rPr>
        <w:t>19.</w:t>
      </w:r>
      <w:r w:rsidRPr="00631694">
        <w:rPr>
          <w:lang w:val="en-US"/>
        </w:rPr>
        <w:tab/>
        <w:t xml:space="preserve">Bravo González-Blas, C. </w:t>
      </w:r>
      <w:r w:rsidRPr="00631694">
        <w:rPr>
          <w:i/>
          <w:iCs/>
          <w:lang w:val="en-US"/>
        </w:rPr>
        <w:t>et al.</w:t>
      </w:r>
      <w:r w:rsidRPr="00631694">
        <w:rPr>
          <w:lang w:val="en-US"/>
        </w:rPr>
        <w:t xml:space="preserve"> SCENIC+: single-cell multiomic inference of enhancers and gene regulatory networks. </w:t>
      </w:r>
      <w:r w:rsidRPr="00631694">
        <w:rPr>
          <w:i/>
          <w:iCs/>
          <w:lang w:val="en-US"/>
        </w:rPr>
        <w:t>Nat. Methods</w:t>
      </w:r>
      <w:r w:rsidRPr="00631694">
        <w:rPr>
          <w:lang w:val="en-US"/>
        </w:rPr>
        <w:t xml:space="preserve"> </w:t>
      </w:r>
      <w:r w:rsidRPr="00631694">
        <w:rPr>
          <w:b/>
          <w:bCs/>
          <w:lang w:val="en-US"/>
        </w:rPr>
        <w:t>20</w:t>
      </w:r>
      <w:r w:rsidRPr="00631694">
        <w:rPr>
          <w:lang w:val="en-US"/>
        </w:rPr>
        <w:t>, 1355–1367 (2023).</w:t>
      </w:r>
    </w:p>
    <w:p w14:paraId="1CF6AB8C" w14:textId="77777777" w:rsidR="00631694" w:rsidRPr="00631694" w:rsidRDefault="00631694" w:rsidP="00631694">
      <w:pPr>
        <w:pStyle w:val="Bibliography"/>
        <w:rPr>
          <w:lang w:val="en-US"/>
        </w:rPr>
      </w:pPr>
      <w:r w:rsidRPr="00631694">
        <w:rPr>
          <w:lang w:val="en-US"/>
        </w:rPr>
        <w:t>20.</w:t>
      </w:r>
      <w:r w:rsidRPr="00631694">
        <w:rPr>
          <w:lang w:val="en-US"/>
        </w:rPr>
        <w:tab/>
        <w:t xml:space="preserve">Zhang, J. </w:t>
      </w:r>
      <w:r w:rsidRPr="00631694">
        <w:rPr>
          <w:i/>
          <w:iCs/>
          <w:lang w:val="en-US"/>
        </w:rPr>
        <w:t>et al.</w:t>
      </w:r>
      <w:r w:rsidRPr="00631694">
        <w:rPr>
          <w:lang w:val="en-US"/>
        </w:rPr>
        <w:t xml:space="preserve"> Combining mechanistic and machine learning models for predictive engineering and optimization of tryptophan metabolism. </w:t>
      </w:r>
      <w:r w:rsidRPr="00631694">
        <w:rPr>
          <w:i/>
          <w:iCs/>
          <w:lang w:val="en-US"/>
        </w:rPr>
        <w:t>Nat. Commun.</w:t>
      </w:r>
      <w:r w:rsidRPr="00631694">
        <w:rPr>
          <w:lang w:val="en-US"/>
        </w:rPr>
        <w:t xml:space="preserve"> </w:t>
      </w:r>
      <w:r w:rsidRPr="00631694">
        <w:rPr>
          <w:b/>
          <w:bCs/>
          <w:lang w:val="en-US"/>
        </w:rPr>
        <w:t>11</w:t>
      </w:r>
      <w:r w:rsidRPr="00631694">
        <w:rPr>
          <w:lang w:val="en-US"/>
        </w:rPr>
        <w:t>, 4880 (2020).</w:t>
      </w:r>
    </w:p>
    <w:p w14:paraId="3E1FD833" w14:textId="77777777" w:rsidR="00631694" w:rsidRPr="00631694" w:rsidRDefault="00631694" w:rsidP="00631694">
      <w:pPr>
        <w:pStyle w:val="Bibliography"/>
        <w:rPr>
          <w:lang w:val="en-US"/>
        </w:rPr>
      </w:pPr>
      <w:r w:rsidRPr="00631694">
        <w:rPr>
          <w:lang w:val="en-US"/>
        </w:rPr>
        <w:t>21.</w:t>
      </w:r>
      <w:r w:rsidRPr="00631694">
        <w:rPr>
          <w:lang w:val="en-US"/>
        </w:rPr>
        <w:tab/>
        <w:t xml:space="preserve">Achar, S. R. </w:t>
      </w:r>
      <w:r w:rsidRPr="00631694">
        <w:rPr>
          <w:i/>
          <w:iCs/>
          <w:lang w:val="en-US"/>
        </w:rPr>
        <w:t>et al.</w:t>
      </w:r>
      <w:r w:rsidRPr="00631694">
        <w:rPr>
          <w:lang w:val="en-US"/>
        </w:rPr>
        <w:t xml:space="preserve"> Universal antigen encoding of T cell activation from high-dimensional cytokine dynamics. </w:t>
      </w:r>
      <w:r w:rsidRPr="00631694">
        <w:rPr>
          <w:i/>
          <w:iCs/>
          <w:lang w:val="en-US"/>
        </w:rPr>
        <w:t>Science</w:t>
      </w:r>
      <w:r w:rsidRPr="00631694">
        <w:rPr>
          <w:lang w:val="en-US"/>
        </w:rPr>
        <w:t xml:space="preserve"> </w:t>
      </w:r>
      <w:r w:rsidRPr="00631694">
        <w:rPr>
          <w:b/>
          <w:bCs/>
          <w:lang w:val="en-US"/>
        </w:rPr>
        <w:t>376</w:t>
      </w:r>
      <w:r w:rsidRPr="00631694">
        <w:rPr>
          <w:lang w:val="en-US"/>
        </w:rPr>
        <w:t>, 880–884 (2022).</w:t>
      </w:r>
    </w:p>
    <w:p w14:paraId="66B5FB29" w14:textId="77777777" w:rsidR="00631694" w:rsidRPr="00631694" w:rsidRDefault="00631694" w:rsidP="00631694">
      <w:pPr>
        <w:pStyle w:val="Bibliography"/>
        <w:rPr>
          <w:lang w:val="en-US"/>
        </w:rPr>
      </w:pPr>
      <w:r w:rsidRPr="00631694">
        <w:rPr>
          <w:lang w:val="en-US"/>
        </w:rPr>
        <w:t>22.</w:t>
      </w:r>
      <w:r w:rsidRPr="00631694">
        <w:rPr>
          <w:lang w:val="en-US"/>
        </w:rPr>
        <w:tab/>
        <w:t xml:space="preserve">Rahimikollu, J. </w:t>
      </w:r>
      <w:r w:rsidRPr="00631694">
        <w:rPr>
          <w:i/>
          <w:iCs/>
          <w:lang w:val="en-US"/>
        </w:rPr>
        <w:t>et al.</w:t>
      </w:r>
      <w:r w:rsidRPr="00631694">
        <w:rPr>
          <w:lang w:val="en-US"/>
        </w:rPr>
        <w:t xml:space="preserve"> SLIDE: Significant Latent Factor Interaction Discovery and Exploration across biological domains. </w:t>
      </w:r>
      <w:r w:rsidRPr="00631694">
        <w:rPr>
          <w:i/>
          <w:iCs/>
          <w:lang w:val="en-US"/>
        </w:rPr>
        <w:t>Nat. Methods</w:t>
      </w:r>
      <w:r w:rsidRPr="00631694">
        <w:rPr>
          <w:lang w:val="en-US"/>
        </w:rPr>
        <w:t xml:space="preserve"> </w:t>
      </w:r>
      <w:r w:rsidRPr="00631694">
        <w:rPr>
          <w:b/>
          <w:bCs/>
          <w:lang w:val="en-US"/>
        </w:rPr>
        <w:t>21</w:t>
      </w:r>
      <w:r w:rsidRPr="00631694">
        <w:rPr>
          <w:lang w:val="en-US"/>
        </w:rPr>
        <w:t>, 835–845 (2024).</w:t>
      </w:r>
    </w:p>
    <w:p w14:paraId="6E713D8A" w14:textId="77777777" w:rsidR="00631694" w:rsidRPr="00631694" w:rsidRDefault="00631694" w:rsidP="00631694">
      <w:pPr>
        <w:pStyle w:val="Bibliography"/>
        <w:rPr>
          <w:lang w:val="en-US"/>
        </w:rPr>
      </w:pPr>
      <w:r w:rsidRPr="00631694">
        <w:rPr>
          <w:lang w:val="en-US"/>
        </w:rPr>
        <w:t>23.</w:t>
      </w:r>
      <w:r w:rsidRPr="00631694">
        <w:rPr>
          <w:lang w:val="en-US"/>
        </w:rPr>
        <w:tab/>
        <w:t xml:space="preserve">Hu, M. </w:t>
      </w:r>
      <w:r w:rsidRPr="00631694">
        <w:rPr>
          <w:i/>
          <w:iCs/>
          <w:lang w:val="en-US"/>
        </w:rPr>
        <w:t>et al.</w:t>
      </w:r>
      <w:r w:rsidRPr="00631694">
        <w:rPr>
          <w:lang w:val="en-US"/>
        </w:rPr>
        <w:t xml:space="preserve"> Evaluation of large language models for discovery of gene set function. </w:t>
      </w:r>
      <w:r w:rsidRPr="00631694">
        <w:rPr>
          <w:i/>
          <w:iCs/>
          <w:lang w:val="en-US"/>
        </w:rPr>
        <w:t>Res. Sq.</w:t>
      </w:r>
      <w:r w:rsidRPr="00631694">
        <w:rPr>
          <w:lang w:val="en-US"/>
        </w:rPr>
        <w:t xml:space="preserve"> rs.3.rs-3270331 (2023) doi:10.21203/rs.3.rs-3270331/v1.</w:t>
      </w:r>
    </w:p>
    <w:p w14:paraId="0952DBAF" w14:textId="77777777" w:rsidR="00631694" w:rsidRPr="00631694" w:rsidRDefault="00631694" w:rsidP="00631694">
      <w:pPr>
        <w:pStyle w:val="Bibliography"/>
        <w:rPr>
          <w:lang w:val="en-US"/>
        </w:rPr>
      </w:pPr>
      <w:r w:rsidRPr="00631694">
        <w:rPr>
          <w:lang w:val="en-US"/>
        </w:rPr>
        <w:t>24.</w:t>
      </w:r>
      <w:r w:rsidRPr="00631694">
        <w:rPr>
          <w:lang w:val="en-US"/>
        </w:rPr>
        <w:tab/>
        <w:t xml:space="preserve">Nutt, S. L., Hodgkin, P. D., Tarlinton, D. M. &amp; Corcoran, L. M. The generation of antibody-secreting plasma cells. </w:t>
      </w:r>
      <w:r w:rsidRPr="00631694">
        <w:rPr>
          <w:i/>
          <w:iCs/>
          <w:lang w:val="en-US"/>
        </w:rPr>
        <w:t>Nat. Rev. Immunol.</w:t>
      </w:r>
      <w:r w:rsidRPr="00631694">
        <w:rPr>
          <w:lang w:val="en-US"/>
        </w:rPr>
        <w:t xml:space="preserve"> </w:t>
      </w:r>
      <w:r w:rsidRPr="00631694">
        <w:rPr>
          <w:b/>
          <w:bCs/>
          <w:lang w:val="en-US"/>
        </w:rPr>
        <w:t>15</w:t>
      </w:r>
      <w:r w:rsidRPr="00631694">
        <w:rPr>
          <w:lang w:val="en-US"/>
        </w:rPr>
        <w:t>, 160–171 (2015).</w:t>
      </w:r>
    </w:p>
    <w:p w14:paraId="4AC2887D" w14:textId="77777777" w:rsidR="00631694" w:rsidRPr="00631694" w:rsidRDefault="00631694" w:rsidP="00631694">
      <w:pPr>
        <w:pStyle w:val="Bibliography"/>
        <w:rPr>
          <w:lang w:val="en-US"/>
        </w:rPr>
      </w:pPr>
      <w:r w:rsidRPr="00631694">
        <w:rPr>
          <w:lang w:val="en-US"/>
        </w:rPr>
        <w:t>25.</w:t>
      </w:r>
      <w:r w:rsidRPr="00631694">
        <w:rPr>
          <w:lang w:val="en-US"/>
        </w:rPr>
        <w:tab/>
        <w:t xml:space="preserve">Elsner, R. A. &amp; Shlomchik, M. J. Germinal Center and Extrafollicular B Cell Responses in Vaccination, Immunity, and Autoimmunity. </w:t>
      </w:r>
      <w:r w:rsidRPr="00631694">
        <w:rPr>
          <w:i/>
          <w:iCs/>
          <w:lang w:val="en-US"/>
        </w:rPr>
        <w:t>Immunity</w:t>
      </w:r>
      <w:r w:rsidRPr="00631694">
        <w:rPr>
          <w:lang w:val="en-US"/>
        </w:rPr>
        <w:t xml:space="preserve"> </w:t>
      </w:r>
      <w:r w:rsidRPr="00631694">
        <w:rPr>
          <w:b/>
          <w:bCs/>
          <w:lang w:val="en-US"/>
        </w:rPr>
        <w:t>53</w:t>
      </w:r>
      <w:r w:rsidRPr="00631694">
        <w:rPr>
          <w:lang w:val="en-US"/>
        </w:rPr>
        <w:t>, 1136–1150 (2020).</w:t>
      </w:r>
    </w:p>
    <w:p w14:paraId="23FAFAEE" w14:textId="77777777" w:rsidR="00631694" w:rsidRPr="00631694" w:rsidRDefault="00631694" w:rsidP="00631694">
      <w:pPr>
        <w:pStyle w:val="Bibliography"/>
        <w:rPr>
          <w:lang w:val="en-US"/>
        </w:rPr>
      </w:pPr>
      <w:r w:rsidRPr="00631694">
        <w:rPr>
          <w:lang w:val="en-US"/>
        </w:rPr>
        <w:t>26.</w:t>
      </w:r>
      <w:r w:rsidRPr="00631694">
        <w:rPr>
          <w:lang w:val="en-US"/>
        </w:rPr>
        <w:tab/>
        <w:t xml:space="preserve">Pease, N. A. </w:t>
      </w:r>
      <w:r w:rsidRPr="00631694">
        <w:rPr>
          <w:i/>
          <w:iCs/>
          <w:lang w:val="en-US"/>
        </w:rPr>
        <w:t>et al.</w:t>
      </w:r>
      <w:r w:rsidRPr="00631694">
        <w:rPr>
          <w:lang w:val="en-US"/>
        </w:rPr>
        <w:t xml:space="preserve"> Cell cycle-coupled transcriptional network orchestrates human B cell fate bifurcation. Preprint at https://doi.org/10.1101/2025.04.23.649973 (2025).</w:t>
      </w:r>
    </w:p>
    <w:p w14:paraId="6E7935EE" w14:textId="77777777" w:rsidR="00631694" w:rsidRPr="00631694" w:rsidRDefault="00631694" w:rsidP="00631694">
      <w:pPr>
        <w:pStyle w:val="Bibliography"/>
        <w:rPr>
          <w:lang w:val="en-US"/>
        </w:rPr>
      </w:pPr>
      <w:r w:rsidRPr="00631694">
        <w:rPr>
          <w:lang w:val="en-US"/>
        </w:rPr>
        <w:t>27.</w:t>
      </w:r>
      <w:r w:rsidRPr="00631694">
        <w:rPr>
          <w:lang w:val="en-US"/>
        </w:rPr>
        <w:tab/>
        <w:t>OpenAI. (2025). ChatGPT5.1 [Large language model]. https://chat.openai.com/.</w:t>
      </w:r>
    </w:p>
    <w:p w14:paraId="3B16D184" w14:textId="77777777" w:rsidR="00631694" w:rsidRPr="00631694" w:rsidRDefault="00631694" w:rsidP="00631694">
      <w:pPr>
        <w:pStyle w:val="Bibliography"/>
        <w:rPr>
          <w:lang w:val="en-US"/>
        </w:rPr>
      </w:pPr>
      <w:r w:rsidRPr="00631694">
        <w:rPr>
          <w:lang w:val="en-US"/>
        </w:rPr>
        <w:t>28.</w:t>
      </w:r>
      <w:r w:rsidRPr="00631694">
        <w:rPr>
          <w:lang w:val="en-US"/>
        </w:rPr>
        <w:tab/>
        <w:t xml:space="preserve">Cattoretti, G. </w:t>
      </w:r>
      <w:r w:rsidRPr="00631694">
        <w:rPr>
          <w:i/>
          <w:iCs/>
          <w:lang w:val="en-US"/>
        </w:rPr>
        <w:t>et al.</w:t>
      </w:r>
      <w:r w:rsidRPr="00631694">
        <w:rPr>
          <w:lang w:val="en-US"/>
        </w:rPr>
        <w:t xml:space="preserve"> PRDM1/Blimp</w:t>
      </w:r>
      <w:r w:rsidRPr="00631694">
        <w:rPr>
          <w:rFonts w:ascii="Cambria Math" w:hAnsi="Cambria Math" w:cs="Cambria Math"/>
          <w:lang w:val="en-US"/>
        </w:rPr>
        <w:t>‐</w:t>
      </w:r>
      <w:r w:rsidRPr="00631694">
        <w:rPr>
          <w:lang w:val="en-US"/>
        </w:rPr>
        <w:t>1 is expressed in human B</w:t>
      </w:r>
      <w:r w:rsidRPr="00631694">
        <w:rPr>
          <w:rFonts w:ascii="Cambria Math" w:hAnsi="Cambria Math" w:cs="Cambria Math"/>
          <w:lang w:val="en-US"/>
        </w:rPr>
        <w:t>‐</w:t>
      </w:r>
      <w:r w:rsidRPr="00631694">
        <w:rPr>
          <w:lang w:val="en-US"/>
        </w:rPr>
        <w:t xml:space="preserve">lymphocytes committed to the plasma cell lineage. </w:t>
      </w:r>
      <w:r w:rsidRPr="00631694">
        <w:rPr>
          <w:i/>
          <w:iCs/>
          <w:lang w:val="en-US"/>
        </w:rPr>
        <w:t>J. Pathol.</w:t>
      </w:r>
      <w:r w:rsidRPr="00631694">
        <w:rPr>
          <w:lang w:val="en-US"/>
        </w:rPr>
        <w:t xml:space="preserve"> </w:t>
      </w:r>
      <w:r w:rsidRPr="00631694">
        <w:rPr>
          <w:b/>
          <w:bCs/>
          <w:lang w:val="en-US"/>
        </w:rPr>
        <w:t>206</w:t>
      </w:r>
      <w:r w:rsidRPr="00631694">
        <w:rPr>
          <w:lang w:val="en-US"/>
        </w:rPr>
        <w:t>, 76–86 (2005).</w:t>
      </w:r>
    </w:p>
    <w:p w14:paraId="757077B6" w14:textId="77777777" w:rsidR="00631694" w:rsidRPr="00631694" w:rsidRDefault="00631694" w:rsidP="00631694">
      <w:pPr>
        <w:pStyle w:val="Bibliography"/>
        <w:rPr>
          <w:lang w:val="en-US"/>
        </w:rPr>
      </w:pPr>
      <w:r w:rsidRPr="00631694">
        <w:rPr>
          <w:lang w:val="en-US"/>
        </w:rPr>
        <w:t>29.</w:t>
      </w:r>
      <w:r w:rsidRPr="00631694">
        <w:rPr>
          <w:lang w:val="en-US"/>
        </w:rPr>
        <w:tab/>
        <w:t xml:space="preserve">Recaldin, T. &amp; Fear, D. J. Transcription factors regulating B cell fate in the germinal centre. </w:t>
      </w:r>
      <w:r w:rsidRPr="00631694">
        <w:rPr>
          <w:i/>
          <w:iCs/>
          <w:lang w:val="en-US"/>
        </w:rPr>
        <w:t>Clin. Exp. Immunol.</w:t>
      </w:r>
      <w:r w:rsidRPr="00631694">
        <w:rPr>
          <w:lang w:val="en-US"/>
        </w:rPr>
        <w:t xml:space="preserve"> </w:t>
      </w:r>
      <w:r w:rsidRPr="00631694">
        <w:rPr>
          <w:b/>
          <w:bCs/>
          <w:lang w:val="en-US"/>
        </w:rPr>
        <w:t>183</w:t>
      </w:r>
      <w:r w:rsidRPr="00631694">
        <w:rPr>
          <w:lang w:val="en-US"/>
        </w:rPr>
        <w:t>, 65–75 (2015).</w:t>
      </w:r>
    </w:p>
    <w:p w14:paraId="76AD7B3F" w14:textId="77777777" w:rsidR="00631694" w:rsidRPr="00631694" w:rsidRDefault="00631694" w:rsidP="00631694">
      <w:pPr>
        <w:pStyle w:val="Bibliography"/>
        <w:rPr>
          <w:lang w:val="en-US"/>
        </w:rPr>
      </w:pPr>
      <w:r w:rsidRPr="00631694">
        <w:rPr>
          <w:lang w:val="en-US"/>
        </w:rPr>
        <w:lastRenderedPageBreak/>
        <w:t>30.</w:t>
      </w:r>
      <w:r w:rsidRPr="00631694">
        <w:rPr>
          <w:lang w:val="en-US"/>
        </w:rPr>
        <w:tab/>
        <w:t xml:space="preserve">Cocco, M. </w:t>
      </w:r>
      <w:r w:rsidRPr="00631694">
        <w:rPr>
          <w:i/>
          <w:iCs/>
          <w:lang w:val="en-US"/>
        </w:rPr>
        <w:t>et al.</w:t>
      </w:r>
      <w:r w:rsidRPr="00631694">
        <w:rPr>
          <w:lang w:val="en-US"/>
        </w:rPr>
        <w:t xml:space="preserve"> A dichotomy of gene regulatory associations during the activated B-cell to plasmablast transition. </w:t>
      </w:r>
      <w:r w:rsidRPr="00631694">
        <w:rPr>
          <w:i/>
          <w:iCs/>
          <w:lang w:val="en-US"/>
        </w:rPr>
        <w:t>Life Sci. Alliance</w:t>
      </w:r>
      <w:r w:rsidRPr="00631694">
        <w:rPr>
          <w:lang w:val="en-US"/>
        </w:rPr>
        <w:t xml:space="preserve"> </w:t>
      </w:r>
      <w:r w:rsidRPr="00631694">
        <w:rPr>
          <w:b/>
          <w:bCs/>
          <w:lang w:val="en-US"/>
        </w:rPr>
        <w:t>3</w:t>
      </w:r>
      <w:r w:rsidRPr="00631694">
        <w:rPr>
          <w:lang w:val="en-US"/>
        </w:rPr>
        <w:t>, e202000654 (2020).</w:t>
      </w:r>
    </w:p>
    <w:p w14:paraId="785E2315" w14:textId="77777777" w:rsidR="00631694" w:rsidRPr="00631694" w:rsidRDefault="00631694" w:rsidP="00631694">
      <w:pPr>
        <w:pStyle w:val="Bibliography"/>
        <w:rPr>
          <w:lang w:val="en-US"/>
        </w:rPr>
      </w:pPr>
      <w:r w:rsidRPr="00631694">
        <w:rPr>
          <w:lang w:val="en-US"/>
        </w:rPr>
        <w:t>31.</w:t>
      </w:r>
      <w:r w:rsidRPr="00631694">
        <w:rPr>
          <w:lang w:val="en-US"/>
        </w:rPr>
        <w:tab/>
        <w:t xml:space="preserve">Lau, L. C., Manakkat Vijay, G. K., Hall, D. R. &amp; Singh, H. Non-canonical unfolded protein response transcription factor CREB3L2 regulates survival of long-lived plasma cells. </w:t>
      </w:r>
      <w:r w:rsidRPr="00631694">
        <w:rPr>
          <w:i/>
          <w:iCs/>
          <w:lang w:val="en-US"/>
        </w:rPr>
        <w:t>J. Immunol.</w:t>
      </w:r>
      <w:r w:rsidRPr="00631694">
        <w:rPr>
          <w:lang w:val="en-US"/>
        </w:rPr>
        <w:t xml:space="preserve"> </w:t>
      </w:r>
      <w:r w:rsidRPr="00631694">
        <w:rPr>
          <w:b/>
          <w:bCs/>
          <w:lang w:val="en-US"/>
        </w:rPr>
        <w:t>210</w:t>
      </w:r>
      <w:r w:rsidRPr="00631694">
        <w:rPr>
          <w:lang w:val="en-US"/>
        </w:rPr>
        <w:t>, 162.09-162.09 (2023).</w:t>
      </w:r>
    </w:p>
    <w:p w14:paraId="4E74DEEE" w14:textId="77777777" w:rsidR="00631694" w:rsidRPr="00631694" w:rsidRDefault="00631694" w:rsidP="00631694">
      <w:pPr>
        <w:pStyle w:val="Bibliography"/>
        <w:rPr>
          <w:lang w:val="en-US"/>
        </w:rPr>
      </w:pPr>
      <w:r w:rsidRPr="00631694">
        <w:rPr>
          <w:lang w:val="en-US"/>
        </w:rPr>
        <w:t>32.</w:t>
      </w:r>
      <w:r w:rsidRPr="00631694">
        <w:rPr>
          <w:lang w:val="en-US"/>
        </w:rPr>
        <w:tab/>
        <w:t xml:space="preserve">Morman, R. E., Schweickert, P. G., Konieczny, S. F. &amp; Taparowsky, E. J. BATF regulates the expression of </w:t>
      </w:r>
      <w:r w:rsidRPr="00631694">
        <w:rPr>
          <w:i/>
          <w:iCs/>
          <w:lang w:val="en-US"/>
        </w:rPr>
        <w:t>Nfil3</w:t>
      </w:r>
      <w:r w:rsidRPr="00631694">
        <w:rPr>
          <w:lang w:val="en-US"/>
        </w:rPr>
        <w:t xml:space="preserve"> , </w:t>
      </w:r>
      <w:r w:rsidRPr="00631694">
        <w:rPr>
          <w:i/>
          <w:iCs/>
          <w:lang w:val="en-US"/>
        </w:rPr>
        <w:t>Wnt10a</w:t>
      </w:r>
      <w:r w:rsidRPr="00631694">
        <w:rPr>
          <w:lang w:val="en-US"/>
        </w:rPr>
        <w:t xml:space="preserve"> and </w:t>
      </w:r>
      <w:r w:rsidRPr="00631694">
        <w:rPr>
          <w:i/>
          <w:iCs/>
          <w:lang w:val="en-US"/>
        </w:rPr>
        <w:t>miR155hg</w:t>
      </w:r>
      <w:r w:rsidRPr="00631694">
        <w:rPr>
          <w:lang w:val="en-US"/>
        </w:rPr>
        <w:t xml:space="preserve"> for efficient induction of antibody class switch recombination in mice. </w:t>
      </w:r>
      <w:r w:rsidRPr="00631694">
        <w:rPr>
          <w:i/>
          <w:iCs/>
          <w:lang w:val="en-US"/>
        </w:rPr>
        <w:t>Eur. J. Immunol.</w:t>
      </w:r>
      <w:r w:rsidRPr="00631694">
        <w:rPr>
          <w:lang w:val="en-US"/>
        </w:rPr>
        <w:t xml:space="preserve"> </w:t>
      </w:r>
      <w:r w:rsidRPr="00631694">
        <w:rPr>
          <w:b/>
          <w:bCs/>
          <w:lang w:val="en-US"/>
        </w:rPr>
        <w:t>48</w:t>
      </w:r>
      <w:r w:rsidRPr="00631694">
        <w:rPr>
          <w:lang w:val="en-US"/>
        </w:rPr>
        <w:t>, 1492–1505 (2018).</w:t>
      </w:r>
    </w:p>
    <w:p w14:paraId="74992580" w14:textId="77777777" w:rsidR="00631694" w:rsidRPr="00631694" w:rsidRDefault="00631694" w:rsidP="00631694">
      <w:pPr>
        <w:pStyle w:val="Bibliography"/>
        <w:rPr>
          <w:lang w:val="en-US"/>
        </w:rPr>
      </w:pPr>
      <w:r w:rsidRPr="00631694">
        <w:rPr>
          <w:lang w:val="en-US"/>
        </w:rPr>
        <w:t>33.</w:t>
      </w:r>
      <w:r w:rsidRPr="00631694">
        <w:rPr>
          <w:lang w:val="en-US"/>
        </w:rPr>
        <w:tab/>
        <w:t xml:space="preserve">Muto, A. </w:t>
      </w:r>
      <w:r w:rsidRPr="00631694">
        <w:rPr>
          <w:i/>
          <w:iCs/>
          <w:lang w:val="en-US"/>
        </w:rPr>
        <w:t>et al.</w:t>
      </w:r>
      <w:r w:rsidRPr="00631694">
        <w:rPr>
          <w:lang w:val="en-US"/>
        </w:rPr>
        <w:t xml:space="preserve"> Bach2 represses plasma cell gene regulatory network in B cells to promote antibody class switch. </w:t>
      </w:r>
      <w:r w:rsidRPr="00631694">
        <w:rPr>
          <w:i/>
          <w:iCs/>
          <w:lang w:val="en-US"/>
        </w:rPr>
        <w:t>EMBO J.</w:t>
      </w:r>
      <w:r w:rsidRPr="00631694">
        <w:rPr>
          <w:lang w:val="en-US"/>
        </w:rPr>
        <w:t xml:space="preserve"> </w:t>
      </w:r>
      <w:r w:rsidRPr="00631694">
        <w:rPr>
          <w:b/>
          <w:bCs/>
          <w:lang w:val="en-US"/>
        </w:rPr>
        <w:t>29</w:t>
      </w:r>
      <w:r w:rsidRPr="00631694">
        <w:rPr>
          <w:lang w:val="en-US"/>
        </w:rPr>
        <w:t>, 4048–4061 (2010).</w:t>
      </w:r>
    </w:p>
    <w:p w14:paraId="3240A5EC" w14:textId="77777777" w:rsidR="00631694" w:rsidRPr="00631694" w:rsidRDefault="00631694" w:rsidP="00631694">
      <w:pPr>
        <w:pStyle w:val="Bibliography"/>
        <w:rPr>
          <w:lang w:val="en-US"/>
        </w:rPr>
      </w:pPr>
      <w:r w:rsidRPr="00631694">
        <w:rPr>
          <w:lang w:val="en-US"/>
        </w:rPr>
        <w:t>34.</w:t>
      </w:r>
      <w:r w:rsidRPr="00631694">
        <w:rPr>
          <w:lang w:val="en-US"/>
        </w:rPr>
        <w:tab/>
        <w:t xml:space="preserve">Roy, K., Chakraborty, M., Kumar, A., Manna, A. K. &amp; Roy, N. S. The NFκB signaling system in the generation of B-cell subsets: from germinal center B cells to memory B cells and plasma cells. </w:t>
      </w:r>
      <w:r w:rsidRPr="00631694">
        <w:rPr>
          <w:i/>
          <w:iCs/>
          <w:lang w:val="en-US"/>
        </w:rPr>
        <w:t>Front. Immunol.</w:t>
      </w:r>
      <w:r w:rsidRPr="00631694">
        <w:rPr>
          <w:lang w:val="en-US"/>
        </w:rPr>
        <w:t xml:space="preserve"> </w:t>
      </w:r>
      <w:r w:rsidRPr="00631694">
        <w:rPr>
          <w:b/>
          <w:bCs/>
          <w:lang w:val="en-US"/>
        </w:rPr>
        <w:t>14</w:t>
      </w:r>
      <w:r w:rsidRPr="00631694">
        <w:rPr>
          <w:lang w:val="en-US"/>
        </w:rPr>
        <w:t>, 1185597 (2023).</w:t>
      </w:r>
    </w:p>
    <w:p w14:paraId="752A237A" w14:textId="77777777" w:rsidR="00631694" w:rsidRPr="00631694" w:rsidRDefault="00631694" w:rsidP="00631694">
      <w:pPr>
        <w:pStyle w:val="Bibliography"/>
        <w:rPr>
          <w:lang w:val="en-US"/>
        </w:rPr>
      </w:pPr>
      <w:r w:rsidRPr="00631694">
        <w:rPr>
          <w:lang w:val="en-US"/>
        </w:rPr>
        <w:t>35.</w:t>
      </w:r>
      <w:r w:rsidRPr="00631694">
        <w:rPr>
          <w:lang w:val="en-US"/>
        </w:rPr>
        <w:tab/>
        <w:t xml:space="preserve">Liao, M. &amp; Wang, J. Tcf12 balances the reconstitution and differentiation capacity of hematopoietic stem cell. </w:t>
      </w:r>
      <w:r w:rsidRPr="00631694">
        <w:rPr>
          <w:i/>
          <w:iCs/>
          <w:lang w:val="en-US"/>
        </w:rPr>
        <w:t>Blood Sci.</w:t>
      </w:r>
      <w:r w:rsidRPr="00631694">
        <w:rPr>
          <w:lang w:val="en-US"/>
        </w:rPr>
        <w:t xml:space="preserve"> </w:t>
      </w:r>
      <w:r w:rsidRPr="00631694">
        <w:rPr>
          <w:b/>
          <w:bCs/>
          <w:lang w:val="en-US"/>
        </w:rPr>
        <w:t>3</w:t>
      </w:r>
      <w:r w:rsidRPr="00631694">
        <w:rPr>
          <w:lang w:val="en-US"/>
        </w:rPr>
        <w:t>, 14–19 (2021).</w:t>
      </w:r>
    </w:p>
    <w:p w14:paraId="6C9FE9DE" w14:textId="77777777" w:rsidR="00631694" w:rsidRPr="00631694" w:rsidRDefault="00631694" w:rsidP="00631694">
      <w:pPr>
        <w:pStyle w:val="Bibliography"/>
        <w:rPr>
          <w:lang w:val="en-US"/>
        </w:rPr>
      </w:pPr>
      <w:r w:rsidRPr="00631694">
        <w:rPr>
          <w:lang w:val="en-US"/>
        </w:rPr>
        <w:t>36.</w:t>
      </w:r>
      <w:r w:rsidRPr="00631694">
        <w:rPr>
          <w:lang w:val="en-US"/>
        </w:rPr>
        <w:tab/>
        <w:t xml:space="preserve">Pliner, H. A. </w:t>
      </w:r>
      <w:r w:rsidRPr="00631694">
        <w:rPr>
          <w:i/>
          <w:iCs/>
          <w:lang w:val="en-US"/>
        </w:rPr>
        <w:t>et al.</w:t>
      </w:r>
      <w:r w:rsidRPr="00631694">
        <w:rPr>
          <w:lang w:val="en-US"/>
        </w:rPr>
        <w:t xml:space="preserve"> Cicero Predicts cis-Regulatory DNA Interactions from Single-Cell Chromatin Accessibility Data. </w:t>
      </w:r>
      <w:r w:rsidRPr="00631694">
        <w:rPr>
          <w:i/>
          <w:iCs/>
          <w:lang w:val="en-US"/>
        </w:rPr>
        <w:t>Mol. Cell</w:t>
      </w:r>
      <w:r w:rsidRPr="00631694">
        <w:rPr>
          <w:lang w:val="en-US"/>
        </w:rPr>
        <w:t xml:space="preserve"> </w:t>
      </w:r>
      <w:r w:rsidRPr="00631694">
        <w:rPr>
          <w:b/>
          <w:bCs/>
          <w:lang w:val="en-US"/>
        </w:rPr>
        <w:t>71</w:t>
      </w:r>
      <w:r w:rsidRPr="00631694">
        <w:rPr>
          <w:lang w:val="en-US"/>
        </w:rPr>
        <w:t>, 858-871.e8 (2018).</w:t>
      </w:r>
    </w:p>
    <w:p w14:paraId="4DDBCEE0" w14:textId="77777777" w:rsidR="00631694" w:rsidRPr="00631694" w:rsidRDefault="00631694" w:rsidP="00631694">
      <w:pPr>
        <w:pStyle w:val="Bibliography"/>
        <w:rPr>
          <w:lang w:val="en-US"/>
        </w:rPr>
      </w:pPr>
      <w:r w:rsidRPr="00631694">
        <w:rPr>
          <w:lang w:val="en-US"/>
        </w:rPr>
        <w:t>37.</w:t>
      </w:r>
      <w:r w:rsidRPr="00631694">
        <w:rPr>
          <w:lang w:val="en-US"/>
        </w:rPr>
        <w:tab/>
        <w:t xml:space="preserve">Zander, R. &amp; Cui, W. Exhausted CD8+ T cells face a developmental fork in the road. </w:t>
      </w:r>
      <w:r w:rsidRPr="00631694">
        <w:rPr>
          <w:i/>
          <w:iCs/>
          <w:lang w:val="en-US"/>
        </w:rPr>
        <w:t>Trends Immunol.</w:t>
      </w:r>
      <w:r w:rsidRPr="00631694">
        <w:rPr>
          <w:lang w:val="en-US"/>
        </w:rPr>
        <w:t xml:space="preserve"> </w:t>
      </w:r>
      <w:r w:rsidRPr="00631694">
        <w:rPr>
          <w:b/>
          <w:bCs/>
          <w:lang w:val="en-US"/>
        </w:rPr>
        <w:t>44</w:t>
      </w:r>
      <w:r w:rsidRPr="00631694">
        <w:rPr>
          <w:lang w:val="en-US"/>
        </w:rPr>
        <w:t>, 276–286 (2023).</w:t>
      </w:r>
    </w:p>
    <w:p w14:paraId="049C5081" w14:textId="77777777" w:rsidR="00631694" w:rsidRPr="00631694" w:rsidRDefault="00631694" w:rsidP="00631694">
      <w:pPr>
        <w:pStyle w:val="Bibliography"/>
        <w:rPr>
          <w:lang w:val="en-US"/>
        </w:rPr>
      </w:pPr>
      <w:r w:rsidRPr="00631694">
        <w:rPr>
          <w:lang w:val="en-US"/>
        </w:rPr>
        <w:t>38.</w:t>
      </w:r>
      <w:r w:rsidRPr="00631694">
        <w:rPr>
          <w:lang w:val="en-US"/>
        </w:rPr>
        <w:tab/>
        <w:t xml:space="preserve">Zhang, J., Lei, F. &amp; Tan, H. The development of CD8 T-cell exhaustion heterogeneity and the therapeutic potentials in cancer. </w:t>
      </w:r>
      <w:r w:rsidRPr="00631694">
        <w:rPr>
          <w:i/>
          <w:iCs/>
          <w:lang w:val="en-US"/>
        </w:rPr>
        <w:t>Front. Immunol.</w:t>
      </w:r>
      <w:r w:rsidRPr="00631694">
        <w:rPr>
          <w:lang w:val="en-US"/>
        </w:rPr>
        <w:t xml:space="preserve"> </w:t>
      </w:r>
      <w:r w:rsidRPr="00631694">
        <w:rPr>
          <w:b/>
          <w:bCs/>
          <w:lang w:val="en-US"/>
        </w:rPr>
        <w:t>14</w:t>
      </w:r>
      <w:r w:rsidRPr="00631694">
        <w:rPr>
          <w:lang w:val="en-US"/>
        </w:rPr>
        <w:t>, 1166128 (2023).</w:t>
      </w:r>
    </w:p>
    <w:p w14:paraId="7BC91244" w14:textId="77777777" w:rsidR="00631694" w:rsidRPr="00631694" w:rsidRDefault="00631694" w:rsidP="00631694">
      <w:pPr>
        <w:pStyle w:val="Bibliography"/>
        <w:rPr>
          <w:lang w:val="en-US"/>
        </w:rPr>
      </w:pPr>
      <w:r w:rsidRPr="00631694">
        <w:rPr>
          <w:lang w:val="en-US"/>
        </w:rPr>
        <w:t>39.</w:t>
      </w:r>
      <w:r w:rsidRPr="00631694">
        <w:rPr>
          <w:lang w:val="en-US"/>
        </w:rPr>
        <w:tab/>
        <w:t xml:space="preserve">Daniel, B. </w:t>
      </w:r>
      <w:r w:rsidRPr="00631694">
        <w:rPr>
          <w:i/>
          <w:iCs/>
          <w:lang w:val="en-US"/>
        </w:rPr>
        <w:t>et al.</w:t>
      </w:r>
      <w:r w:rsidRPr="00631694">
        <w:rPr>
          <w:lang w:val="en-US"/>
        </w:rPr>
        <w:t xml:space="preserve"> Divergent clonal differentiation trajectories of T cell exhaustion. </w:t>
      </w:r>
      <w:r w:rsidRPr="00631694">
        <w:rPr>
          <w:i/>
          <w:iCs/>
          <w:lang w:val="en-US"/>
        </w:rPr>
        <w:t>Nat. Immunol.</w:t>
      </w:r>
      <w:r w:rsidRPr="00631694">
        <w:rPr>
          <w:lang w:val="en-US"/>
        </w:rPr>
        <w:t xml:space="preserve"> </w:t>
      </w:r>
      <w:r w:rsidRPr="00631694">
        <w:rPr>
          <w:b/>
          <w:bCs/>
          <w:lang w:val="en-US"/>
        </w:rPr>
        <w:t>23</w:t>
      </w:r>
      <w:r w:rsidRPr="00631694">
        <w:rPr>
          <w:lang w:val="en-US"/>
        </w:rPr>
        <w:t>, 1614–1627 (2022).</w:t>
      </w:r>
    </w:p>
    <w:p w14:paraId="6BCEBDC0" w14:textId="77777777" w:rsidR="00631694" w:rsidRPr="00631694" w:rsidRDefault="00631694" w:rsidP="00631694">
      <w:pPr>
        <w:pStyle w:val="Bibliography"/>
        <w:rPr>
          <w:lang w:val="en-US"/>
        </w:rPr>
      </w:pPr>
      <w:r w:rsidRPr="00631694">
        <w:rPr>
          <w:lang w:val="en-US"/>
        </w:rPr>
        <w:t>40.</w:t>
      </w:r>
      <w:r w:rsidRPr="00631694">
        <w:rPr>
          <w:lang w:val="en-US"/>
        </w:rPr>
        <w:tab/>
        <w:t xml:space="preserve">Seo, H. </w:t>
      </w:r>
      <w:r w:rsidRPr="00631694">
        <w:rPr>
          <w:i/>
          <w:iCs/>
          <w:lang w:val="en-US"/>
        </w:rPr>
        <w:t>et al.</w:t>
      </w:r>
      <w:r w:rsidRPr="00631694">
        <w:rPr>
          <w:lang w:val="en-US"/>
        </w:rPr>
        <w:t xml:space="preserve"> TOX and TOX2 transcription factors cooperate with NR4A transcription factors to impose CD8</w:t>
      </w:r>
      <w:r w:rsidRPr="00631694">
        <w:rPr>
          <w:vertAlign w:val="superscript"/>
          <w:lang w:val="en-US"/>
        </w:rPr>
        <w:t>+</w:t>
      </w:r>
      <w:r w:rsidRPr="00631694">
        <w:rPr>
          <w:lang w:val="en-US"/>
        </w:rPr>
        <w:t xml:space="preserve"> T cell exhaustion. </w:t>
      </w:r>
      <w:r w:rsidRPr="00631694">
        <w:rPr>
          <w:i/>
          <w:iCs/>
          <w:lang w:val="en-US"/>
        </w:rPr>
        <w:t>Proc. Natl. Acad. Sci.</w:t>
      </w:r>
      <w:r w:rsidRPr="00631694">
        <w:rPr>
          <w:lang w:val="en-US"/>
        </w:rPr>
        <w:t xml:space="preserve"> </w:t>
      </w:r>
      <w:r w:rsidRPr="00631694">
        <w:rPr>
          <w:b/>
          <w:bCs/>
          <w:lang w:val="en-US"/>
        </w:rPr>
        <w:t>116</w:t>
      </w:r>
      <w:r w:rsidRPr="00631694">
        <w:rPr>
          <w:lang w:val="en-US"/>
        </w:rPr>
        <w:t>, 12410–12415 (2019).</w:t>
      </w:r>
    </w:p>
    <w:p w14:paraId="7552631C" w14:textId="77777777" w:rsidR="00631694" w:rsidRPr="00631694" w:rsidRDefault="00631694" w:rsidP="00631694">
      <w:pPr>
        <w:pStyle w:val="Bibliography"/>
        <w:rPr>
          <w:lang w:val="en-US"/>
        </w:rPr>
      </w:pPr>
      <w:r w:rsidRPr="00631694">
        <w:rPr>
          <w:lang w:val="en-US"/>
        </w:rPr>
        <w:t>41.</w:t>
      </w:r>
      <w:r w:rsidRPr="00631694">
        <w:rPr>
          <w:lang w:val="en-US"/>
        </w:rPr>
        <w:tab/>
        <w:t xml:space="preserve">Kao, C. </w:t>
      </w:r>
      <w:r w:rsidRPr="00631694">
        <w:rPr>
          <w:i/>
          <w:iCs/>
          <w:lang w:val="en-US"/>
        </w:rPr>
        <w:t>et al.</w:t>
      </w:r>
      <w:r w:rsidRPr="00631694">
        <w:rPr>
          <w:lang w:val="en-US"/>
        </w:rPr>
        <w:t xml:space="preserve"> Transcription factor T-bet represses expression of the inhibitory receptor PD-1 and sustains virus-specific CD8+ T cell responses during chronic infection. </w:t>
      </w:r>
      <w:r w:rsidRPr="00631694">
        <w:rPr>
          <w:i/>
          <w:iCs/>
          <w:lang w:val="en-US"/>
        </w:rPr>
        <w:t>Nat. Immunol.</w:t>
      </w:r>
      <w:r w:rsidRPr="00631694">
        <w:rPr>
          <w:lang w:val="en-US"/>
        </w:rPr>
        <w:t xml:space="preserve"> </w:t>
      </w:r>
      <w:r w:rsidRPr="00631694">
        <w:rPr>
          <w:b/>
          <w:bCs/>
          <w:lang w:val="en-US"/>
        </w:rPr>
        <w:t>12</w:t>
      </w:r>
      <w:r w:rsidRPr="00631694">
        <w:rPr>
          <w:lang w:val="en-US"/>
        </w:rPr>
        <w:t>, 663–671 (2011).</w:t>
      </w:r>
    </w:p>
    <w:p w14:paraId="74B12CD1" w14:textId="77777777" w:rsidR="00631694" w:rsidRPr="00631694" w:rsidRDefault="00631694" w:rsidP="00631694">
      <w:pPr>
        <w:pStyle w:val="Bibliography"/>
        <w:rPr>
          <w:lang w:val="en-US"/>
        </w:rPr>
      </w:pPr>
      <w:r w:rsidRPr="00631694">
        <w:rPr>
          <w:lang w:val="en-US"/>
        </w:rPr>
        <w:lastRenderedPageBreak/>
        <w:t>42.</w:t>
      </w:r>
      <w:r w:rsidRPr="00631694">
        <w:rPr>
          <w:lang w:val="en-US"/>
        </w:rPr>
        <w:tab/>
        <w:t xml:space="preserve">Lynn, R. C. </w:t>
      </w:r>
      <w:r w:rsidRPr="00631694">
        <w:rPr>
          <w:i/>
          <w:iCs/>
          <w:lang w:val="en-US"/>
        </w:rPr>
        <w:t>et al.</w:t>
      </w:r>
      <w:r w:rsidRPr="00631694">
        <w:rPr>
          <w:lang w:val="en-US"/>
        </w:rPr>
        <w:t xml:space="preserve"> c-Jun overexpression in CAR T cells induces exhaustion resistance. </w:t>
      </w:r>
      <w:r w:rsidRPr="00631694">
        <w:rPr>
          <w:i/>
          <w:iCs/>
          <w:lang w:val="en-US"/>
        </w:rPr>
        <w:t>Nature</w:t>
      </w:r>
      <w:r w:rsidRPr="00631694">
        <w:rPr>
          <w:lang w:val="en-US"/>
        </w:rPr>
        <w:t xml:space="preserve"> </w:t>
      </w:r>
      <w:r w:rsidRPr="00631694">
        <w:rPr>
          <w:b/>
          <w:bCs/>
          <w:lang w:val="en-US"/>
        </w:rPr>
        <w:t>576</w:t>
      </w:r>
      <w:r w:rsidRPr="00631694">
        <w:rPr>
          <w:lang w:val="en-US"/>
        </w:rPr>
        <w:t>, 293–300 (2019).</w:t>
      </w:r>
    </w:p>
    <w:p w14:paraId="4C1153AC" w14:textId="77777777" w:rsidR="00631694" w:rsidRPr="00631694" w:rsidRDefault="00631694" w:rsidP="00631694">
      <w:pPr>
        <w:pStyle w:val="Bibliography"/>
        <w:rPr>
          <w:lang w:val="en-US"/>
        </w:rPr>
      </w:pPr>
      <w:r w:rsidRPr="00631694">
        <w:rPr>
          <w:lang w:val="en-US"/>
        </w:rPr>
        <w:t>43.</w:t>
      </w:r>
      <w:r w:rsidRPr="00631694">
        <w:rPr>
          <w:lang w:val="en-US"/>
        </w:rPr>
        <w:tab/>
        <w:t xml:space="preserve">Malin, J. </w:t>
      </w:r>
      <w:r w:rsidRPr="00631694">
        <w:rPr>
          <w:i/>
          <w:iCs/>
          <w:lang w:val="en-US"/>
        </w:rPr>
        <w:t>et al.</w:t>
      </w:r>
      <w:r w:rsidRPr="00631694">
        <w:rPr>
          <w:lang w:val="en-US"/>
        </w:rPr>
        <w:t xml:space="preserve"> Expression of the transcription factor Klf6 by thymic epithelial cells is required for thymus development. </w:t>
      </w:r>
      <w:r w:rsidRPr="00631694">
        <w:rPr>
          <w:i/>
          <w:iCs/>
          <w:lang w:val="en-US"/>
        </w:rPr>
        <w:t>Sci. Adv.</w:t>
      </w:r>
      <w:r w:rsidRPr="00631694">
        <w:rPr>
          <w:lang w:val="en-US"/>
        </w:rPr>
        <w:t xml:space="preserve"> </w:t>
      </w:r>
      <w:r w:rsidRPr="00631694">
        <w:rPr>
          <w:b/>
          <w:bCs/>
          <w:lang w:val="en-US"/>
        </w:rPr>
        <w:t>9</w:t>
      </w:r>
      <w:r w:rsidRPr="00631694">
        <w:rPr>
          <w:lang w:val="en-US"/>
        </w:rPr>
        <w:t>, eadg8126 (2023).</w:t>
      </w:r>
    </w:p>
    <w:p w14:paraId="4FC3D02A" w14:textId="77777777" w:rsidR="00631694" w:rsidRPr="00631694" w:rsidRDefault="00631694" w:rsidP="00631694">
      <w:pPr>
        <w:pStyle w:val="Bibliography"/>
        <w:rPr>
          <w:lang w:val="en-US"/>
        </w:rPr>
      </w:pPr>
      <w:r w:rsidRPr="00631694">
        <w:rPr>
          <w:lang w:val="en-US"/>
        </w:rPr>
        <w:t>44.</w:t>
      </w:r>
      <w:r w:rsidRPr="00631694">
        <w:rPr>
          <w:lang w:val="en-US"/>
        </w:rPr>
        <w:tab/>
        <w:t xml:space="preserve">Yin, P. </w:t>
      </w:r>
      <w:r w:rsidRPr="00631694">
        <w:rPr>
          <w:i/>
          <w:iCs/>
          <w:lang w:val="en-US"/>
        </w:rPr>
        <w:t>et al.</w:t>
      </w:r>
      <w:r w:rsidRPr="00631694">
        <w:rPr>
          <w:lang w:val="en-US"/>
        </w:rPr>
        <w:t xml:space="preserve"> Enhanced FOS expression improves tumor clearance and resists exhaustion in NR4A3-deficient CAR T cells under chronic antigen exposure. </w:t>
      </w:r>
      <w:r w:rsidRPr="00631694">
        <w:rPr>
          <w:i/>
          <w:iCs/>
          <w:lang w:val="en-US"/>
        </w:rPr>
        <w:t>Sci. Adv.</w:t>
      </w:r>
      <w:r w:rsidRPr="00631694">
        <w:rPr>
          <w:lang w:val="en-US"/>
        </w:rPr>
        <w:t xml:space="preserve"> </w:t>
      </w:r>
      <w:r w:rsidRPr="00631694">
        <w:rPr>
          <w:b/>
          <w:bCs/>
          <w:lang w:val="en-US"/>
        </w:rPr>
        <w:t>11</w:t>
      </w:r>
      <w:r w:rsidRPr="00631694">
        <w:rPr>
          <w:lang w:val="en-US"/>
        </w:rPr>
        <w:t>, eadw3571 (2025).</w:t>
      </w:r>
    </w:p>
    <w:p w14:paraId="2615BD91" w14:textId="77777777" w:rsidR="00631694" w:rsidRPr="00631694" w:rsidRDefault="00631694" w:rsidP="00631694">
      <w:pPr>
        <w:pStyle w:val="Bibliography"/>
        <w:rPr>
          <w:lang w:val="en-US"/>
        </w:rPr>
      </w:pPr>
      <w:r w:rsidRPr="00631694">
        <w:rPr>
          <w:lang w:val="en-US"/>
        </w:rPr>
        <w:t>45.</w:t>
      </w:r>
      <w:r w:rsidRPr="00631694">
        <w:rPr>
          <w:lang w:val="en-US"/>
        </w:rPr>
        <w:tab/>
        <w:t xml:space="preserve">Wu, B., Koehler, A. N. &amp; Westcott, P. M. K. New opportunities to overcome T cell dysfunction: the role of transcription factors and how to target them. </w:t>
      </w:r>
      <w:r w:rsidRPr="00631694">
        <w:rPr>
          <w:i/>
          <w:iCs/>
          <w:lang w:val="en-US"/>
        </w:rPr>
        <w:t>Trends Biochem. Sci.</w:t>
      </w:r>
      <w:r w:rsidRPr="00631694">
        <w:rPr>
          <w:lang w:val="en-US"/>
        </w:rPr>
        <w:t xml:space="preserve"> </w:t>
      </w:r>
      <w:r w:rsidRPr="00631694">
        <w:rPr>
          <w:b/>
          <w:bCs/>
          <w:lang w:val="en-US"/>
        </w:rPr>
        <w:t>49</w:t>
      </w:r>
      <w:r w:rsidRPr="00631694">
        <w:rPr>
          <w:lang w:val="en-US"/>
        </w:rPr>
        <w:t>, 1014–1029 (2024).</w:t>
      </w:r>
    </w:p>
    <w:p w14:paraId="2B162324" w14:textId="77777777" w:rsidR="00631694" w:rsidRPr="00631694" w:rsidRDefault="00631694" w:rsidP="00631694">
      <w:pPr>
        <w:pStyle w:val="Bibliography"/>
        <w:rPr>
          <w:lang w:val="en-US"/>
        </w:rPr>
      </w:pPr>
      <w:r w:rsidRPr="00631694">
        <w:rPr>
          <w:lang w:val="en-US"/>
        </w:rPr>
        <w:t>46.</w:t>
      </w:r>
      <w:r w:rsidRPr="00631694">
        <w:rPr>
          <w:lang w:val="en-US"/>
        </w:rPr>
        <w:tab/>
        <w:t xml:space="preserve">Robert, C., Prista Von Bonhorst, F., Dupont, G., Gonze, D. &amp; De Decker, Y. Role of tristability in the robustness of the differentiation mechanism. </w:t>
      </w:r>
      <w:r w:rsidRPr="00631694">
        <w:rPr>
          <w:i/>
          <w:iCs/>
          <w:lang w:val="en-US"/>
        </w:rPr>
        <w:t>PLOS ONE</w:t>
      </w:r>
      <w:r w:rsidRPr="00631694">
        <w:rPr>
          <w:lang w:val="en-US"/>
        </w:rPr>
        <w:t xml:space="preserve"> </w:t>
      </w:r>
      <w:r w:rsidRPr="00631694">
        <w:rPr>
          <w:b/>
          <w:bCs/>
          <w:lang w:val="en-US"/>
        </w:rPr>
        <w:t>20</w:t>
      </w:r>
      <w:r w:rsidRPr="00631694">
        <w:rPr>
          <w:lang w:val="en-US"/>
        </w:rPr>
        <w:t>, e0316666 (2025).</w:t>
      </w:r>
    </w:p>
    <w:p w14:paraId="0B4EF027" w14:textId="77777777" w:rsidR="00631694" w:rsidRPr="00631694" w:rsidRDefault="00631694" w:rsidP="00631694">
      <w:pPr>
        <w:pStyle w:val="Bibliography"/>
        <w:rPr>
          <w:lang w:val="en-US"/>
        </w:rPr>
      </w:pPr>
      <w:r w:rsidRPr="00631694">
        <w:rPr>
          <w:lang w:val="en-US"/>
        </w:rPr>
        <w:t>47.</w:t>
      </w:r>
      <w:r w:rsidRPr="00631694">
        <w:rPr>
          <w:lang w:val="en-US"/>
        </w:rPr>
        <w:tab/>
        <w:t xml:space="preserve">Ghobrial, A., Flick, N., Daly, R., Hoffman, M. &amp; Milcarek, C. ELL2 Influences Transcription Elongation, Splicing, Ig Secretion and Growth. </w:t>
      </w:r>
      <w:r w:rsidRPr="00631694">
        <w:rPr>
          <w:i/>
          <w:iCs/>
          <w:lang w:val="en-US"/>
        </w:rPr>
        <w:t>J. Mucosal Immunol. Res.</w:t>
      </w:r>
      <w:r w:rsidRPr="00631694">
        <w:rPr>
          <w:lang w:val="en-US"/>
        </w:rPr>
        <w:t xml:space="preserve"> </w:t>
      </w:r>
      <w:r w:rsidRPr="00631694">
        <w:rPr>
          <w:b/>
          <w:bCs/>
          <w:lang w:val="en-US"/>
        </w:rPr>
        <w:t>3</w:t>
      </w:r>
      <w:r w:rsidRPr="00631694">
        <w:rPr>
          <w:lang w:val="en-US"/>
        </w:rPr>
        <w:t>, 112 (2019).</w:t>
      </w:r>
    </w:p>
    <w:p w14:paraId="6E5FB400" w14:textId="77777777" w:rsidR="00631694" w:rsidRPr="00631694" w:rsidRDefault="00631694" w:rsidP="00631694">
      <w:pPr>
        <w:pStyle w:val="Bibliography"/>
        <w:rPr>
          <w:lang w:val="en-US"/>
        </w:rPr>
      </w:pPr>
      <w:r w:rsidRPr="00631694">
        <w:rPr>
          <w:lang w:val="en-US"/>
        </w:rPr>
        <w:t>48.</w:t>
      </w:r>
      <w:r w:rsidRPr="00631694">
        <w:rPr>
          <w:lang w:val="en-US"/>
        </w:rPr>
        <w:tab/>
        <w:t xml:space="preserve">Swift, J. &amp; Coruzzi, G. M. A matter of time - How transient transcription factor interactions create dynamic gene regulatory networks. </w:t>
      </w:r>
      <w:r w:rsidRPr="00631694">
        <w:rPr>
          <w:i/>
          <w:iCs/>
          <w:lang w:val="en-US"/>
        </w:rPr>
        <w:t>Biochim. Biophys. Acta Gene Regul. Mech.</w:t>
      </w:r>
      <w:r w:rsidRPr="00631694">
        <w:rPr>
          <w:lang w:val="en-US"/>
        </w:rPr>
        <w:t xml:space="preserve"> </w:t>
      </w:r>
      <w:r w:rsidRPr="00631694">
        <w:rPr>
          <w:b/>
          <w:bCs/>
          <w:lang w:val="en-US"/>
        </w:rPr>
        <w:t>1860</w:t>
      </w:r>
      <w:r w:rsidRPr="00631694">
        <w:rPr>
          <w:lang w:val="en-US"/>
        </w:rPr>
        <w:t>, 75–83 (2017).</w:t>
      </w:r>
    </w:p>
    <w:p w14:paraId="688947CD" w14:textId="77777777" w:rsidR="00631694" w:rsidRPr="00631694" w:rsidRDefault="00631694" w:rsidP="00631694">
      <w:pPr>
        <w:pStyle w:val="Bibliography"/>
        <w:rPr>
          <w:lang w:val="en-US"/>
        </w:rPr>
      </w:pPr>
      <w:r w:rsidRPr="00631694">
        <w:rPr>
          <w:lang w:val="en-US"/>
        </w:rPr>
        <w:t>49.</w:t>
      </w:r>
      <w:r w:rsidRPr="00631694">
        <w:rPr>
          <w:lang w:val="en-US"/>
        </w:rPr>
        <w:tab/>
        <w:t xml:space="preserve">Liu, A. </w:t>
      </w:r>
      <w:r w:rsidRPr="00631694">
        <w:rPr>
          <w:i/>
          <w:iCs/>
          <w:lang w:val="en-US"/>
        </w:rPr>
        <w:t>et al.</w:t>
      </w:r>
      <w:r w:rsidRPr="00631694">
        <w:rPr>
          <w:lang w:val="en-US"/>
        </w:rPr>
        <w:t xml:space="preserve"> Cell Fate Programming by Transcription Factors and Epigenetic Machinery in Stomatal Development. </w:t>
      </w:r>
      <w:r w:rsidRPr="00631694">
        <w:rPr>
          <w:i/>
          <w:iCs/>
          <w:lang w:val="en-US"/>
        </w:rPr>
        <w:t>BioRxiv Prepr. Serv. Biol.</w:t>
      </w:r>
      <w:r w:rsidRPr="00631694">
        <w:rPr>
          <w:lang w:val="en-US"/>
        </w:rPr>
        <w:t xml:space="preserve"> 2023.08.23.554515 (2023) doi:10.1101/2023.08.23.554515.</w:t>
      </w:r>
    </w:p>
    <w:p w14:paraId="75948193" w14:textId="77777777" w:rsidR="00631694" w:rsidRPr="00631694" w:rsidRDefault="00631694" w:rsidP="00631694">
      <w:pPr>
        <w:pStyle w:val="Bibliography"/>
        <w:rPr>
          <w:lang w:val="en-US"/>
        </w:rPr>
      </w:pPr>
      <w:r w:rsidRPr="00631694">
        <w:rPr>
          <w:lang w:val="en-US"/>
        </w:rPr>
        <w:t>50.</w:t>
      </w:r>
      <w:r w:rsidRPr="00631694">
        <w:rPr>
          <w:lang w:val="en-US"/>
        </w:rPr>
        <w:tab/>
        <w:t xml:space="preserve">Espinoza, D. A. </w:t>
      </w:r>
      <w:r w:rsidRPr="00631694">
        <w:rPr>
          <w:i/>
          <w:iCs/>
          <w:lang w:val="en-US"/>
        </w:rPr>
        <w:t>et al.</w:t>
      </w:r>
      <w:r w:rsidRPr="00631694">
        <w:rPr>
          <w:lang w:val="en-US"/>
        </w:rPr>
        <w:t xml:space="preserve"> Distinct stage-specific transcriptional states of B cells derived from human tonsillar tissue. </w:t>
      </w:r>
      <w:r w:rsidRPr="00631694">
        <w:rPr>
          <w:i/>
          <w:iCs/>
          <w:lang w:val="en-US"/>
        </w:rPr>
        <w:t>JCI Insight</w:t>
      </w:r>
      <w:r w:rsidRPr="00631694">
        <w:rPr>
          <w:lang w:val="en-US"/>
        </w:rPr>
        <w:t xml:space="preserve"> </w:t>
      </w:r>
      <w:r w:rsidRPr="00631694">
        <w:rPr>
          <w:b/>
          <w:bCs/>
          <w:lang w:val="en-US"/>
        </w:rPr>
        <w:t>8</w:t>
      </w:r>
      <w:r w:rsidRPr="00631694">
        <w:rPr>
          <w:lang w:val="en-US"/>
        </w:rPr>
        <w:t>, e155199 (2023).</w:t>
      </w:r>
    </w:p>
    <w:p w14:paraId="5D3BD924" w14:textId="77777777" w:rsidR="00631694" w:rsidRPr="00631694" w:rsidRDefault="00631694" w:rsidP="00631694">
      <w:pPr>
        <w:pStyle w:val="Bibliography"/>
        <w:rPr>
          <w:lang w:val="en-US"/>
        </w:rPr>
      </w:pPr>
      <w:r w:rsidRPr="00631694">
        <w:rPr>
          <w:lang w:val="en-US"/>
        </w:rPr>
        <w:t>51.</w:t>
      </w:r>
      <w:r w:rsidRPr="00631694">
        <w:rPr>
          <w:lang w:val="en-US"/>
        </w:rPr>
        <w:tab/>
        <w:t xml:space="preserve">Horiuchi, S. </w:t>
      </w:r>
      <w:r w:rsidRPr="00631694">
        <w:rPr>
          <w:i/>
          <w:iCs/>
          <w:lang w:val="en-US"/>
        </w:rPr>
        <w:t>et al.</w:t>
      </w:r>
      <w:r w:rsidRPr="00631694">
        <w:rPr>
          <w:lang w:val="en-US"/>
        </w:rPr>
        <w:t xml:space="preserve"> SpiB regulates the expression of B-cell-related genes and increases the longevity of memory B cells. </w:t>
      </w:r>
      <w:r w:rsidRPr="00631694">
        <w:rPr>
          <w:i/>
          <w:iCs/>
          <w:lang w:val="en-US"/>
        </w:rPr>
        <w:t>Front. Immunol.</w:t>
      </w:r>
      <w:r w:rsidRPr="00631694">
        <w:rPr>
          <w:lang w:val="en-US"/>
        </w:rPr>
        <w:t xml:space="preserve"> </w:t>
      </w:r>
      <w:r w:rsidRPr="00631694">
        <w:rPr>
          <w:b/>
          <w:bCs/>
          <w:lang w:val="en-US"/>
        </w:rPr>
        <w:t>14</w:t>
      </w:r>
      <w:r w:rsidRPr="00631694">
        <w:rPr>
          <w:lang w:val="en-US"/>
        </w:rPr>
        <w:t>, 1250719 (2023).</w:t>
      </w:r>
    </w:p>
    <w:p w14:paraId="5C0613EA" w14:textId="77777777" w:rsidR="00631694" w:rsidRPr="00631694" w:rsidRDefault="00631694" w:rsidP="00631694">
      <w:pPr>
        <w:pStyle w:val="Bibliography"/>
        <w:rPr>
          <w:lang w:val="en-US"/>
        </w:rPr>
      </w:pPr>
      <w:r w:rsidRPr="00631694">
        <w:rPr>
          <w:lang w:val="en-US"/>
        </w:rPr>
        <w:t>52.</w:t>
      </w:r>
      <w:r w:rsidRPr="00631694">
        <w:rPr>
          <w:lang w:val="en-US"/>
        </w:rPr>
        <w:tab/>
        <w:t xml:space="preserve">Musa, J., Aynaud, M.-M., Mirabeau, O., Delattre, O. &amp; Grünewald, T. G. MYBL2 (B-Myb): a central regulator of cell proliferation, cell survival and differentiation involved in tumorigenesis. </w:t>
      </w:r>
      <w:r w:rsidRPr="00631694">
        <w:rPr>
          <w:i/>
          <w:iCs/>
          <w:lang w:val="en-US"/>
        </w:rPr>
        <w:t>Cell Death Dis.</w:t>
      </w:r>
      <w:r w:rsidRPr="00631694">
        <w:rPr>
          <w:lang w:val="en-US"/>
        </w:rPr>
        <w:t xml:space="preserve"> </w:t>
      </w:r>
      <w:r w:rsidRPr="00631694">
        <w:rPr>
          <w:b/>
          <w:bCs/>
          <w:lang w:val="en-US"/>
        </w:rPr>
        <w:t>8</w:t>
      </w:r>
      <w:r w:rsidRPr="00631694">
        <w:rPr>
          <w:lang w:val="en-US"/>
        </w:rPr>
        <w:t>, e2895 (2017).</w:t>
      </w:r>
    </w:p>
    <w:p w14:paraId="7036F00A" w14:textId="77777777" w:rsidR="00631694" w:rsidRPr="00631694" w:rsidRDefault="00631694" w:rsidP="00631694">
      <w:pPr>
        <w:pStyle w:val="Bibliography"/>
        <w:rPr>
          <w:lang w:val="en-US"/>
        </w:rPr>
      </w:pPr>
      <w:r w:rsidRPr="00631694">
        <w:rPr>
          <w:lang w:val="en-US"/>
        </w:rPr>
        <w:t>53.</w:t>
      </w:r>
      <w:r w:rsidRPr="00631694">
        <w:rPr>
          <w:lang w:val="en-US"/>
        </w:rPr>
        <w:tab/>
        <w:t xml:space="preserve">Tamayo, E., Alvarez, P. &amp; Merino, R. TGFβ Superfamily Members as Regulators of B Cell Development and Function-Implications for Autoimmunity. </w:t>
      </w:r>
      <w:r w:rsidRPr="00631694">
        <w:rPr>
          <w:i/>
          <w:iCs/>
          <w:lang w:val="en-US"/>
        </w:rPr>
        <w:t>Int. J. Mol. Sci.</w:t>
      </w:r>
      <w:r w:rsidRPr="00631694">
        <w:rPr>
          <w:lang w:val="en-US"/>
        </w:rPr>
        <w:t xml:space="preserve"> </w:t>
      </w:r>
      <w:r w:rsidRPr="00631694">
        <w:rPr>
          <w:b/>
          <w:bCs/>
          <w:lang w:val="en-US"/>
        </w:rPr>
        <w:t>19</w:t>
      </w:r>
      <w:r w:rsidRPr="00631694">
        <w:rPr>
          <w:lang w:val="en-US"/>
        </w:rPr>
        <w:t>, 3928 (2018).</w:t>
      </w:r>
    </w:p>
    <w:p w14:paraId="06A3AF64" w14:textId="77777777" w:rsidR="00631694" w:rsidRPr="00631694" w:rsidRDefault="00631694" w:rsidP="00631694">
      <w:pPr>
        <w:pStyle w:val="Bibliography"/>
        <w:rPr>
          <w:lang w:val="en-US"/>
        </w:rPr>
      </w:pPr>
      <w:r w:rsidRPr="00631694">
        <w:rPr>
          <w:lang w:val="en-US"/>
        </w:rPr>
        <w:t>54.</w:t>
      </w:r>
      <w:r w:rsidRPr="00631694">
        <w:rPr>
          <w:lang w:val="en-US"/>
        </w:rPr>
        <w:tab/>
        <w:t xml:space="preserve">Pappu, R. </w:t>
      </w:r>
      <w:r w:rsidRPr="00631694">
        <w:rPr>
          <w:i/>
          <w:iCs/>
          <w:lang w:val="en-US"/>
        </w:rPr>
        <w:t>et al.</w:t>
      </w:r>
      <w:r w:rsidRPr="00631694">
        <w:rPr>
          <w:lang w:val="en-US"/>
        </w:rPr>
        <w:t xml:space="preserve"> Requirement for B Cell Linker Protein (BLNK) in B Cell Development. </w:t>
      </w:r>
      <w:r w:rsidRPr="00631694">
        <w:rPr>
          <w:i/>
          <w:iCs/>
          <w:lang w:val="en-US"/>
        </w:rPr>
        <w:t>Science</w:t>
      </w:r>
      <w:r w:rsidRPr="00631694">
        <w:rPr>
          <w:lang w:val="en-US"/>
        </w:rPr>
        <w:t xml:space="preserve"> </w:t>
      </w:r>
      <w:r w:rsidRPr="00631694">
        <w:rPr>
          <w:b/>
          <w:bCs/>
          <w:lang w:val="en-US"/>
        </w:rPr>
        <w:t>286</w:t>
      </w:r>
      <w:r w:rsidRPr="00631694">
        <w:rPr>
          <w:lang w:val="en-US"/>
        </w:rPr>
        <w:t>, 1949–1954 (1999).</w:t>
      </w:r>
    </w:p>
    <w:p w14:paraId="508C3744" w14:textId="77777777" w:rsidR="00631694" w:rsidRPr="00631694" w:rsidRDefault="00631694" w:rsidP="00631694">
      <w:pPr>
        <w:pStyle w:val="Bibliography"/>
        <w:rPr>
          <w:lang w:val="en-US"/>
        </w:rPr>
      </w:pPr>
      <w:r w:rsidRPr="00631694">
        <w:rPr>
          <w:lang w:val="en-US"/>
        </w:rPr>
        <w:lastRenderedPageBreak/>
        <w:t>55.</w:t>
      </w:r>
      <w:r w:rsidRPr="00631694">
        <w:rPr>
          <w:lang w:val="en-US"/>
        </w:rPr>
        <w:tab/>
        <w:t xml:space="preserve">Leu, C.-M. Nck, a missing adaptor between the B-cell receptor complex and the BCAP/PI3K/Akt pathway. </w:t>
      </w:r>
      <w:r w:rsidRPr="00631694">
        <w:rPr>
          <w:i/>
          <w:iCs/>
          <w:lang w:val="en-US"/>
        </w:rPr>
        <w:t>Cell. Mol. Immunol.</w:t>
      </w:r>
      <w:r w:rsidRPr="00631694">
        <w:rPr>
          <w:lang w:val="en-US"/>
        </w:rPr>
        <w:t xml:space="preserve"> </w:t>
      </w:r>
      <w:r w:rsidRPr="00631694">
        <w:rPr>
          <w:b/>
          <w:bCs/>
          <w:lang w:val="en-US"/>
        </w:rPr>
        <w:t>11</w:t>
      </w:r>
      <w:r w:rsidRPr="00631694">
        <w:rPr>
          <w:lang w:val="en-US"/>
        </w:rPr>
        <w:t>, 120–122 (2014).</w:t>
      </w:r>
    </w:p>
    <w:p w14:paraId="2E30FE6D" w14:textId="77777777" w:rsidR="00631694" w:rsidRPr="00631694" w:rsidRDefault="00631694" w:rsidP="00631694">
      <w:pPr>
        <w:pStyle w:val="Bibliography"/>
        <w:rPr>
          <w:lang w:val="en-US"/>
        </w:rPr>
      </w:pPr>
      <w:r w:rsidRPr="00631694">
        <w:rPr>
          <w:lang w:val="en-US"/>
        </w:rPr>
        <w:t>56.</w:t>
      </w:r>
      <w:r w:rsidRPr="00631694">
        <w:rPr>
          <w:lang w:val="en-US"/>
        </w:rPr>
        <w:tab/>
        <w:t xml:space="preserve">Dovat, S. </w:t>
      </w:r>
      <w:r w:rsidRPr="00631694">
        <w:rPr>
          <w:i/>
          <w:iCs/>
          <w:lang w:val="en-US"/>
        </w:rPr>
        <w:t>et al.</w:t>
      </w:r>
      <w:r w:rsidRPr="00631694">
        <w:rPr>
          <w:lang w:val="en-US"/>
        </w:rPr>
        <w:t xml:space="preserve"> Transgenic Expression of Helios in B Lineage Cells Alters B Cell Properties and Promotes Lymphomagenesis. </w:t>
      </w:r>
      <w:r w:rsidRPr="00631694">
        <w:rPr>
          <w:i/>
          <w:iCs/>
          <w:lang w:val="en-US"/>
        </w:rPr>
        <w:t>J. Immunol.</w:t>
      </w:r>
      <w:r w:rsidRPr="00631694">
        <w:rPr>
          <w:lang w:val="en-US"/>
        </w:rPr>
        <w:t xml:space="preserve"> </w:t>
      </w:r>
      <w:r w:rsidRPr="00631694">
        <w:rPr>
          <w:b/>
          <w:bCs/>
          <w:lang w:val="en-US"/>
        </w:rPr>
        <w:t>175</w:t>
      </w:r>
      <w:r w:rsidRPr="00631694">
        <w:rPr>
          <w:lang w:val="en-US"/>
        </w:rPr>
        <w:t>, 3508–3515 (2005).</w:t>
      </w:r>
    </w:p>
    <w:p w14:paraId="289D6375" w14:textId="77777777" w:rsidR="00631694" w:rsidRPr="00631694" w:rsidRDefault="00631694" w:rsidP="00631694">
      <w:pPr>
        <w:pStyle w:val="Bibliography"/>
        <w:rPr>
          <w:lang w:val="en-US"/>
        </w:rPr>
      </w:pPr>
      <w:r w:rsidRPr="00631694">
        <w:rPr>
          <w:lang w:val="en-US"/>
        </w:rPr>
        <w:t>57.</w:t>
      </w:r>
      <w:r w:rsidRPr="00631694">
        <w:rPr>
          <w:lang w:val="en-US"/>
        </w:rPr>
        <w:tab/>
        <w:t xml:space="preserve">Tanigaki, K., Kuroda, K., Han, H. &amp; Honjo, T. Regulation of B cell development by Notch/RBP-J signaling. </w:t>
      </w:r>
      <w:r w:rsidRPr="00631694">
        <w:rPr>
          <w:i/>
          <w:iCs/>
          <w:lang w:val="en-US"/>
        </w:rPr>
        <w:t>Semin. Immunol.</w:t>
      </w:r>
      <w:r w:rsidRPr="00631694">
        <w:rPr>
          <w:lang w:val="en-US"/>
        </w:rPr>
        <w:t xml:space="preserve"> </w:t>
      </w:r>
      <w:r w:rsidRPr="00631694">
        <w:rPr>
          <w:b/>
          <w:bCs/>
          <w:lang w:val="en-US"/>
        </w:rPr>
        <w:t>15</w:t>
      </w:r>
      <w:r w:rsidRPr="00631694">
        <w:rPr>
          <w:lang w:val="en-US"/>
        </w:rPr>
        <w:t>, 113–119 (2003).</w:t>
      </w:r>
    </w:p>
    <w:p w14:paraId="38FD3A66" w14:textId="77777777" w:rsidR="00631694" w:rsidRPr="00631694" w:rsidRDefault="00631694" w:rsidP="00631694">
      <w:pPr>
        <w:pStyle w:val="Bibliography"/>
        <w:rPr>
          <w:lang w:val="en-US"/>
        </w:rPr>
      </w:pPr>
      <w:r w:rsidRPr="00631694">
        <w:rPr>
          <w:lang w:val="en-US"/>
        </w:rPr>
        <w:t>58.</w:t>
      </w:r>
      <w:r w:rsidRPr="00631694">
        <w:rPr>
          <w:lang w:val="en-US"/>
        </w:rPr>
        <w:tab/>
        <w:t xml:space="preserve">Lambert, S. A. </w:t>
      </w:r>
      <w:r w:rsidRPr="00631694">
        <w:rPr>
          <w:i/>
          <w:iCs/>
          <w:lang w:val="en-US"/>
        </w:rPr>
        <w:t>et al.</w:t>
      </w:r>
      <w:r w:rsidRPr="00631694">
        <w:rPr>
          <w:lang w:val="en-US"/>
        </w:rPr>
        <w:t xml:space="preserve"> The human transcription factors. </w:t>
      </w:r>
      <w:r w:rsidRPr="00631694">
        <w:rPr>
          <w:i/>
          <w:iCs/>
          <w:lang w:val="en-US"/>
        </w:rPr>
        <w:t>Cell</w:t>
      </w:r>
      <w:r w:rsidRPr="00631694">
        <w:rPr>
          <w:lang w:val="en-US"/>
        </w:rPr>
        <w:t xml:space="preserve"> </w:t>
      </w:r>
      <w:r w:rsidRPr="00631694">
        <w:rPr>
          <w:b/>
          <w:bCs/>
          <w:lang w:val="en-US"/>
        </w:rPr>
        <w:t>172</w:t>
      </w:r>
      <w:r w:rsidRPr="00631694">
        <w:rPr>
          <w:lang w:val="en-US"/>
        </w:rPr>
        <w:t>, 650–665 (2018).</w:t>
      </w:r>
    </w:p>
    <w:p w14:paraId="65B62C0D" w14:textId="77777777" w:rsidR="00631694" w:rsidRPr="00631694" w:rsidRDefault="00631694" w:rsidP="00631694">
      <w:pPr>
        <w:pStyle w:val="Bibliography"/>
        <w:rPr>
          <w:lang w:val="en-US"/>
        </w:rPr>
      </w:pPr>
      <w:r w:rsidRPr="00631694">
        <w:rPr>
          <w:lang w:val="en-US"/>
        </w:rPr>
        <w:t>59.</w:t>
      </w:r>
      <w:r w:rsidRPr="00631694">
        <w:rPr>
          <w:lang w:val="en-US"/>
        </w:rPr>
        <w:tab/>
        <w:t xml:space="preserve">Zhou, P. </w:t>
      </w:r>
      <w:r w:rsidRPr="00631694">
        <w:rPr>
          <w:i/>
          <w:iCs/>
          <w:lang w:val="en-US"/>
        </w:rPr>
        <w:t>et al.</w:t>
      </w:r>
      <w:r w:rsidRPr="00631694">
        <w:rPr>
          <w:lang w:val="en-US"/>
        </w:rPr>
        <w:t xml:space="preserve"> Single-cell CRISPR screens in vivo map T cell fate regulomes in cancer. </w:t>
      </w:r>
      <w:r w:rsidRPr="00631694">
        <w:rPr>
          <w:i/>
          <w:iCs/>
          <w:lang w:val="en-US"/>
        </w:rPr>
        <w:t>Nature</w:t>
      </w:r>
      <w:r w:rsidRPr="00631694">
        <w:rPr>
          <w:lang w:val="en-US"/>
        </w:rPr>
        <w:t xml:space="preserve"> </w:t>
      </w:r>
      <w:r w:rsidRPr="00631694">
        <w:rPr>
          <w:b/>
          <w:bCs/>
          <w:lang w:val="en-US"/>
        </w:rPr>
        <w:t>624</w:t>
      </w:r>
      <w:r w:rsidRPr="00631694">
        <w:rPr>
          <w:lang w:val="en-US"/>
        </w:rPr>
        <w:t>, 154–163 (2023).</w:t>
      </w:r>
    </w:p>
    <w:p w14:paraId="18C4D620" w14:textId="77777777" w:rsidR="00631694" w:rsidRPr="00631694" w:rsidRDefault="00631694" w:rsidP="00631694">
      <w:pPr>
        <w:pStyle w:val="Bibliography"/>
        <w:rPr>
          <w:lang w:val="en-US"/>
        </w:rPr>
      </w:pPr>
      <w:r w:rsidRPr="00631694">
        <w:rPr>
          <w:lang w:val="en-US"/>
        </w:rPr>
        <w:t>60.</w:t>
      </w:r>
      <w:r w:rsidRPr="00631694">
        <w:rPr>
          <w:lang w:val="en-US"/>
        </w:rPr>
        <w:tab/>
        <w:t xml:space="preserve">Kallies, A., Zehn, D. &amp; Utzschneider, D. T. Precursor exhausted T cells: key to successful immunotherapy? </w:t>
      </w:r>
      <w:r w:rsidRPr="00631694">
        <w:rPr>
          <w:i/>
          <w:iCs/>
          <w:lang w:val="en-US"/>
        </w:rPr>
        <w:t>Nat. Rev. Immunol.</w:t>
      </w:r>
      <w:r w:rsidRPr="00631694">
        <w:rPr>
          <w:lang w:val="en-US"/>
        </w:rPr>
        <w:t xml:space="preserve"> </w:t>
      </w:r>
      <w:r w:rsidRPr="00631694">
        <w:rPr>
          <w:b/>
          <w:bCs/>
          <w:lang w:val="en-US"/>
        </w:rPr>
        <w:t>20</w:t>
      </w:r>
      <w:r w:rsidRPr="00631694">
        <w:rPr>
          <w:lang w:val="en-US"/>
        </w:rPr>
        <w:t>, 128–136 (2020).</w:t>
      </w:r>
    </w:p>
    <w:p w14:paraId="52575693" w14:textId="77777777" w:rsidR="00631694" w:rsidRPr="00631694" w:rsidRDefault="00631694" w:rsidP="00631694">
      <w:pPr>
        <w:pStyle w:val="Bibliography"/>
        <w:rPr>
          <w:lang w:val="en-US"/>
        </w:rPr>
      </w:pPr>
      <w:r w:rsidRPr="00631694">
        <w:rPr>
          <w:lang w:val="en-US"/>
        </w:rPr>
        <w:t>61.</w:t>
      </w:r>
      <w:r w:rsidRPr="00631694">
        <w:rPr>
          <w:lang w:val="en-US"/>
        </w:rPr>
        <w:tab/>
        <w:t xml:space="preserve">Han, Y. </w:t>
      </w:r>
      <w:r w:rsidRPr="00631694">
        <w:rPr>
          <w:i/>
          <w:iCs/>
          <w:lang w:val="en-US"/>
        </w:rPr>
        <w:t>et al.</w:t>
      </w:r>
      <w:r w:rsidRPr="00631694">
        <w:rPr>
          <w:lang w:val="en-US"/>
        </w:rPr>
        <w:t xml:space="preserve"> KLRL1, a novel killer cell lectinlike receptor, inhibits natural killer cell cytotoxicity. </w:t>
      </w:r>
      <w:r w:rsidRPr="00631694">
        <w:rPr>
          <w:i/>
          <w:iCs/>
          <w:lang w:val="en-US"/>
        </w:rPr>
        <w:t>Blood</w:t>
      </w:r>
      <w:r w:rsidRPr="00631694">
        <w:rPr>
          <w:lang w:val="en-US"/>
        </w:rPr>
        <w:t xml:space="preserve"> </w:t>
      </w:r>
      <w:r w:rsidRPr="00631694">
        <w:rPr>
          <w:b/>
          <w:bCs/>
          <w:lang w:val="en-US"/>
        </w:rPr>
        <w:t>104</w:t>
      </w:r>
      <w:r w:rsidRPr="00631694">
        <w:rPr>
          <w:lang w:val="en-US"/>
        </w:rPr>
        <w:t>, 2858–2866 (2004).</w:t>
      </w:r>
    </w:p>
    <w:p w14:paraId="7BA13425" w14:textId="77777777" w:rsidR="00631694" w:rsidRPr="00631694" w:rsidRDefault="00631694" w:rsidP="00631694">
      <w:pPr>
        <w:pStyle w:val="Bibliography"/>
        <w:rPr>
          <w:lang w:val="en-US"/>
        </w:rPr>
      </w:pPr>
      <w:r w:rsidRPr="00631694">
        <w:rPr>
          <w:lang w:val="en-US"/>
        </w:rPr>
        <w:t>62.</w:t>
      </w:r>
      <w:r w:rsidRPr="00631694">
        <w:rPr>
          <w:lang w:val="en-US"/>
        </w:rPr>
        <w:tab/>
        <w:t xml:space="preserve">Salmon, A. J. </w:t>
      </w:r>
      <w:r w:rsidRPr="00631694">
        <w:rPr>
          <w:i/>
          <w:iCs/>
          <w:lang w:val="en-US"/>
        </w:rPr>
        <w:t>et al.</w:t>
      </w:r>
      <w:r w:rsidRPr="00631694">
        <w:rPr>
          <w:lang w:val="en-US"/>
        </w:rPr>
        <w:t xml:space="preserve"> BHLHE40 Regulates the T-Cell Effector Function Required for Tumor Microenvironment Remodeling and Immune Checkpoint Therapy Efficacy. </w:t>
      </w:r>
      <w:r w:rsidRPr="00631694">
        <w:rPr>
          <w:i/>
          <w:iCs/>
          <w:lang w:val="en-US"/>
        </w:rPr>
        <w:t>Cancer Immunol. Res.</w:t>
      </w:r>
      <w:r w:rsidRPr="00631694">
        <w:rPr>
          <w:lang w:val="en-US"/>
        </w:rPr>
        <w:t xml:space="preserve"> </w:t>
      </w:r>
      <w:r w:rsidRPr="00631694">
        <w:rPr>
          <w:b/>
          <w:bCs/>
          <w:lang w:val="en-US"/>
        </w:rPr>
        <w:t>10</w:t>
      </w:r>
      <w:r w:rsidRPr="00631694">
        <w:rPr>
          <w:lang w:val="en-US"/>
        </w:rPr>
        <w:t>, 597–611 (2022).</w:t>
      </w:r>
    </w:p>
    <w:p w14:paraId="725A5B1C" w14:textId="77777777" w:rsidR="00631694" w:rsidRPr="00631694" w:rsidRDefault="00631694" w:rsidP="00631694">
      <w:pPr>
        <w:pStyle w:val="Bibliography"/>
        <w:rPr>
          <w:lang w:val="en-US"/>
        </w:rPr>
      </w:pPr>
      <w:r w:rsidRPr="00631694">
        <w:rPr>
          <w:lang w:val="en-US"/>
        </w:rPr>
        <w:t>63.</w:t>
      </w:r>
      <w:r w:rsidRPr="00631694">
        <w:rPr>
          <w:lang w:val="en-US"/>
        </w:rPr>
        <w:tab/>
        <w:t xml:space="preserve">Douanne, T. </w:t>
      </w:r>
      <w:r w:rsidRPr="00631694">
        <w:rPr>
          <w:i/>
          <w:iCs/>
          <w:lang w:val="en-US"/>
        </w:rPr>
        <w:t>et al.</w:t>
      </w:r>
      <w:r w:rsidRPr="00631694">
        <w:rPr>
          <w:lang w:val="en-US"/>
        </w:rPr>
        <w:t xml:space="preserve"> NFIL3 contributes to cytotoxic T lymphocyte-mediated killing. </w:t>
      </w:r>
      <w:r w:rsidRPr="00631694">
        <w:rPr>
          <w:i/>
          <w:iCs/>
          <w:lang w:val="en-US"/>
        </w:rPr>
        <w:t>Open Biol.</w:t>
      </w:r>
      <w:r w:rsidRPr="00631694">
        <w:rPr>
          <w:lang w:val="en-US"/>
        </w:rPr>
        <w:t xml:space="preserve"> </w:t>
      </w:r>
      <w:r w:rsidRPr="00631694">
        <w:rPr>
          <w:b/>
          <w:bCs/>
          <w:lang w:val="en-US"/>
        </w:rPr>
        <w:t>14</w:t>
      </w:r>
      <w:r w:rsidRPr="00631694">
        <w:rPr>
          <w:lang w:val="en-US"/>
        </w:rPr>
        <w:t>, 230456 (2024).</w:t>
      </w:r>
    </w:p>
    <w:p w14:paraId="0F664220" w14:textId="77777777" w:rsidR="00631694" w:rsidRPr="00631694" w:rsidRDefault="00631694" w:rsidP="00631694">
      <w:pPr>
        <w:pStyle w:val="Bibliography"/>
        <w:rPr>
          <w:lang w:val="en-US"/>
        </w:rPr>
      </w:pPr>
      <w:r w:rsidRPr="00631694">
        <w:rPr>
          <w:lang w:val="en-US"/>
        </w:rPr>
        <w:t>64.</w:t>
      </w:r>
      <w:r w:rsidRPr="00631694">
        <w:rPr>
          <w:lang w:val="en-US"/>
        </w:rPr>
        <w:tab/>
        <w:t xml:space="preserve">Reading, S. M. </w:t>
      </w:r>
      <w:r w:rsidRPr="00631694">
        <w:rPr>
          <w:i/>
          <w:iCs/>
          <w:lang w:val="en-US"/>
        </w:rPr>
        <w:t>et al.</w:t>
      </w:r>
      <w:r w:rsidRPr="00631694">
        <w:rPr>
          <w:lang w:val="en-US"/>
        </w:rPr>
        <w:t xml:space="preserve"> Abstract LT02: Regulation of Exhausted CD8+ T cell Differentiation by IKZF Transcription Factors. </w:t>
      </w:r>
      <w:r w:rsidRPr="00631694">
        <w:rPr>
          <w:i/>
          <w:iCs/>
          <w:lang w:val="en-US"/>
        </w:rPr>
        <w:t>Cancer Res.</w:t>
      </w:r>
      <w:r w:rsidRPr="00631694">
        <w:rPr>
          <w:lang w:val="en-US"/>
        </w:rPr>
        <w:t xml:space="preserve"> </w:t>
      </w:r>
      <w:r w:rsidRPr="00631694">
        <w:rPr>
          <w:b/>
          <w:bCs/>
          <w:lang w:val="en-US"/>
        </w:rPr>
        <w:t>84</w:t>
      </w:r>
      <w:r w:rsidRPr="00631694">
        <w:rPr>
          <w:lang w:val="en-US"/>
        </w:rPr>
        <w:t>, LT02–LT02 (2024).</w:t>
      </w:r>
    </w:p>
    <w:p w14:paraId="61039054" w14:textId="77777777" w:rsidR="00631694" w:rsidRPr="00631694" w:rsidRDefault="00631694" w:rsidP="00631694">
      <w:pPr>
        <w:pStyle w:val="Bibliography"/>
        <w:rPr>
          <w:lang w:val="en-US"/>
        </w:rPr>
      </w:pPr>
      <w:r w:rsidRPr="00631694">
        <w:rPr>
          <w:lang w:val="en-US"/>
        </w:rPr>
        <w:t>65.</w:t>
      </w:r>
      <w:r w:rsidRPr="00631694">
        <w:rPr>
          <w:lang w:val="en-US"/>
        </w:rPr>
        <w:tab/>
        <w:t xml:space="preserve">Ahn, E. </w:t>
      </w:r>
      <w:r w:rsidRPr="00631694">
        <w:rPr>
          <w:i/>
          <w:iCs/>
          <w:lang w:val="en-US"/>
        </w:rPr>
        <w:t>et al.</w:t>
      </w:r>
      <w:r w:rsidRPr="00631694">
        <w:rPr>
          <w:lang w:val="en-US"/>
        </w:rPr>
        <w:t xml:space="preserve"> Role of PD-1 during effector CD8 T cell differentiation. </w:t>
      </w:r>
      <w:r w:rsidRPr="00631694">
        <w:rPr>
          <w:i/>
          <w:iCs/>
          <w:lang w:val="en-US"/>
        </w:rPr>
        <w:t>Proc. Natl. Acad. Sci. U. S. A.</w:t>
      </w:r>
      <w:r w:rsidRPr="00631694">
        <w:rPr>
          <w:lang w:val="en-US"/>
        </w:rPr>
        <w:t xml:space="preserve"> </w:t>
      </w:r>
      <w:r w:rsidRPr="00631694">
        <w:rPr>
          <w:b/>
          <w:bCs/>
          <w:lang w:val="en-US"/>
        </w:rPr>
        <w:t>115</w:t>
      </w:r>
      <w:r w:rsidRPr="00631694">
        <w:rPr>
          <w:lang w:val="en-US"/>
        </w:rPr>
        <w:t>, 4749–4754 (2018).</w:t>
      </w:r>
    </w:p>
    <w:p w14:paraId="60C4C406" w14:textId="77777777" w:rsidR="00631694" w:rsidRPr="00631694" w:rsidRDefault="00631694" w:rsidP="00631694">
      <w:pPr>
        <w:pStyle w:val="Bibliography"/>
        <w:rPr>
          <w:lang w:val="en-US"/>
        </w:rPr>
      </w:pPr>
      <w:r w:rsidRPr="00631694">
        <w:rPr>
          <w:lang w:val="en-US"/>
        </w:rPr>
        <w:t>66.</w:t>
      </w:r>
      <w:r w:rsidRPr="00631694">
        <w:rPr>
          <w:lang w:val="en-US"/>
        </w:rPr>
        <w:tab/>
        <w:t xml:space="preserve">Li, H., Yang, D., Hao, M. &amp; Liu, H. Differential expression of HAVCR2 gene in pan-cancer: A potential biomarker for survival and immunotherapy. </w:t>
      </w:r>
      <w:r w:rsidRPr="00631694">
        <w:rPr>
          <w:i/>
          <w:iCs/>
          <w:lang w:val="en-US"/>
        </w:rPr>
        <w:t>Front. Genet.</w:t>
      </w:r>
      <w:r w:rsidRPr="00631694">
        <w:rPr>
          <w:lang w:val="en-US"/>
        </w:rPr>
        <w:t xml:space="preserve"> </w:t>
      </w:r>
      <w:r w:rsidRPr="00631694">
        <w:rPr>
          <w:b/>
          <w:bCs/>
          <w:lang w:val="en-US"/>
        </w:rPr>
        <w:t>13</w:t>
      </w:r>
      <w:r w:rsidRPr="00631694">
        <w:rPr>
          <w:lang w:val="en-US"/>
        </w:rPr>
        <w:t>, 972664 (2022).</w:t>
      </w:r>
    </w:p>
    <w:p w14:paraId="77A10E64" w14:textId="77777777" w:rsidR="00631694" w:rsidRPr="00631694" w:rsidRDefault="00631694" w:rsidP="00631694">
      <w:pPr>
        <w:pStyle w:val="Bibliography"/>
        <w:rPr>
          <w:lang w:val="en-US"/>
        </w:rPr>
      </w:pPr>
      <w:r w:rsidRPr="00631694">
        <w:rPr>
          <w:lang w:val="en-US"/>
        </w:rPr>
        <w:t>67.</w:t>
      </w:r>
      <w:r w:rsidRPr="00631694">
        <w:rPr>
          <w:lang w:val="en-US"/>
        </w:rPr>
        <w:tab/>
        <w:t xml:space="preserve">Sheikh, A. A. &amp; Utzschneider, D. T. IRF2 integrates inflammatory signals to balance T cell exhaustion. </w:t>
      </w:r>
      <w:r w:rsidRPr="00631694">
        <w:rPr>
          <w:i/>
          <w:iCs/>
          <w:lang w:val="en-US"/>
        </w:rPr>
        <w:t>Immunity</w:t>
      </w:r>
      <w:r w:rsidRPr="00631694">
        <w:rPr>
          <w:lang w:val="en-US"/>
        </w:rPr>
        <w:t xml:space="preserve"> </w:t>
      </w:r>
      <w:r w:rsidRPr="00631694">
        <w:rPr>
          <w:b/>
          <w:bCs/>
          <w:lang w:val="en-US"/>
        </w:rPr>
        <w:t>55</w:t>
      </w:r>
      <w:r w:rsidRPr="00631694">
        <w:rPr>
          <w:lang w:val="en-US"/>
        </w:rPr>
        <w:t>, 2225–2227 (2022).</w:t>
      </w:r>
    </w:p>
    <w:p w14:paraId="78B207F6" w14:textId="77777777" w:rsidR="00631694" w:rsidRPr="00631694" w:rsidRDefault="00631694" w:rsidP="00631694">
      <w:pPr>
        <w:pStyle w:val="Bibliography"/>
        <w:rPr>
          <w:lang w:val="en-US"/>
        </w:rPr>
      </w:pPr>
      <w:r w:rsidRPr="00631694">
        <w:rPr>
          <w:lang w:val="en-US"/>
        </w:rPr>
        <w:lastRenderedPageBreak/>
        <w:t>68.</w:t>
      </w:r>
      <w:r w:rsidRPr="00631694">
        <w:rPr>
          <w:lang w:val="en-US"/>
        </w:rPr>
        <w:tab/>
        <w:t xml:space="preserve">Pritzl, C. J. </w:t>
      </w:r>
      <w:r w:rsidRPr="00631694">
        <w:rPr>
          <w:i/>
          <w:iCs/>
          <w:lang w:val="en-US"/>
        </w:rPr>
        <w:t>et al.</w:t>
      </w:r>
      <w:r w:rsidRPr="00631694">
        <w:rPr>
          <w:lang w:val="en-US"/>
        </w:rPr>
        <w:t xml:space="preserve"> IKK2/NFkB signaling controls lung resident CD8+ T cell memory during influenza infection. </w:t>
      </w:r>
      <w:r w:rsidRPr="00631694">
        <w:rPr>
          <w:i/>
          <w:iCs/>
          <w:lang w:val="en-US"/>
        </w:rPr>
        <w:t>Nat. Commun.</w:t>
      </w:r>
      <w:r w:rsidRPr="00631694">
        <w:rPr>
          <w:lang w:val="en-US"/>
        </w:rPr>
        <w:t xml:space="preserve"> </w:t>
      </w:r>
      <w:r w:rsidRPr="00631694">
        <w:rPr>
          <w:b/>
          <w:bCs/>
          <w:lang w:val="en-US"/>
        </w:rPr>
        <w:t>14</w:t>
      </w:r>
      <w:r w:rsidRPr="00631694">
        <w:rPr>
          <w:lang w:val="en-US"/>
        </w:rPr>
        <w:t>, 4331 (2023).</w:t>
      </w:r>
    </w:p>
    <w:p w14:paraId="60E86F76" w14:textId="77777777" w:rsidR="00631694" w:rsidRPr="00631694" w:rsidRDefault="00631694" w:rsidP="00631694">
      <w:pPr>
        <w:pStyle w:val="Bibliography"/>
        <w:rPr>
          <w:lang w:val="en-US"/>
        </w:rPr>
      </w:pPr>
      <w:r w:rsidRPr="00631694">
        <w:rPr>
          <w:lang w:val="en-US"/>
        </w:rPr>
        <w:t>69.</w:t>
      </w:r>
      <w:r w:rsidRPr="00631694">
        <w:rPr>
          <w:lang w:val="en-US"/>
        </w:rPr>
        <w:tab/>
        <w:t xml:space="preserve">Guan, H., Xiong, Q., Xiong, J., Liu, Y. &amp; Zhang, W. CD8+ T cell activation in endometrial cancer: prognostic implications and potential for personalized therapy. </w:t>
      </w:r>
      <w:r w:rsidRPr="00631694">
        <w:rPr>
          <w:i/>
          <w:iCs/>
          <w:lang w:val="en-US"/>
        </w:rPr>
        <w:t>Front. Immunol.</w:t>
      </w:r>
      <w:r w:rsidRPr="00631694">
        <w:rPr>
          <w:lang w:val="en-US"/>
        </w:rPr>
        <w:t xml:space="preserve"> </w:t>
      </w:r>
      <w:r w:rsidRPr="00631694">
        <w:rPr>
          <w:b/>
          <w:bCs/>
          <w:lang w:val="en-US"/>
        </w:rPr>
        <w:t>16</w:t>
      </w:r>
      <w:r w:rsidRPr="00631694">
        <w:rPr>
          <w:lang w:val="en-US"/>
        </w:rPr>
        <w:t>, 1542669 (2025).</w:t>
      </w:r>
    </w:p>
    <w:p w14:paraId="5008EEE3" w14:textId="77777777" w:rsidR="00631694" w:rsidRPr="00631694" w:rsidRDefault="00631694" w:rsidP="00631694">
      <w:pPr>
        <w:pStyle w:val="Bibliography"/>
        <w:rPr>
          <w:lang w:val="en-US"/>
        </w:rPr>
      </w:pPr>
      <w:r w:rsidRPr="00631694">
        <w:rPr>
          <w:lang w:val="en-US"/>
        </w:rPr>
        <w:t>70.</w:t>
      </w:r>
      <w:r w:rsidRPr="00631694">
        <w:rPr>
          <w:lang w:val="en-US"/>
        </w:rPr>
        <w:tab/>
        <w:t xml:space="preserve">Fagerberg, E. </w:t>
      </w:r>
      <w:r w:rsidRPr="00631694">
        <w:rPr>
          <w:i/>
          <w:iCs/>
          <w:lang w:val="en-US"/>
        </w:rPr>
        <w:t>et al.</w:t>
      </w:r>
      <w:r w:rsidRPr="00631694">
        <w:rPr>
          <w:lang w:val="en-US"/>
        </w:rPr>
        <w:t xml:space="preserve"> KLF2 maintains lineage fidelity and suppresses CD8 T cell exhaustion during acute LCMV infection. </w:t>
      </w:r>
      <w:r w:rsidRPr="00631694">
        <w:rPr>
          <w:i/>
          <w:iCs/>
          <w:lang w:val="en-US"/>
        </w:rPr>
        <w:t>Science</w:t>
      </w:r>
      <w:r w:rsidRPr="00631694">
        <w:rPr>
          <w:lang w:val="en-US"/>
        </w:rPr>
        <w:t xml:space="preserve"> </w:t>
      </w:r>
      <w:r w:rsidRPr="00631694">
        <w:rPr>
          <w:b/>
          <w:bCs/>
          <w:lang w:val="en-US"/>
        </w:rPr>
        <w:t>387</w:t>
      </w:r>
      <w:r w:rsidRPr="00631694">
        <w:rPr>
          <w:lang w:val="en-US"/>
        </w:rPr>
        <w:t>, eadn2337 (2025).</w:t>
      </w:r>
    </w:p>
    <w:p w14:paraId="01C15F53" w14:textId="77777777" w:rsidR="00631694" w:rsidRPr="00631694" w:rsidRDefault="00631694" w:rsidP="00631694">
      <w:pPr>
        <w:pStyle w:val="Bibliography"/>
        <w:rPr>
          <w:lang w:val="en-US"/>
        </w:rPr>
      </w:pPr>
      <w:r w:rsidRPr="00631694">
        <w:rPr>
          <w:lang w:val="en-US"/>
        </w:rPr>
        <w:t>71.</w:t>
      </w:r>
      <w:r w:rsidRPr="00631694">
        <w:rPr>
          <w:lang w:val="en-US"/>
        </w:rPr>
        <w:tab/>
        <w:t xml:space="preserve">Rutishauser, R. L. </w:t>
      </w:r>
      <w:r w:rsidRPr="00631694">
        <w:rPr>
          <w:i/>
          <w:iCs/>
          <w:lang w:val="en-US"/>
        </w:rPr>
        <w:t>et al.</w:t>
      </w:r>
      <w:r w:rsidRPr="00631694">
        <w:rPr>
          <w:lang w:val="en-US"/>
        </w:rPr>
        <w:t xml:space="preserve"> Transcriptional Repressor Blimp-1 Promotes CD8+ T Cell Terminal Differentiation and Represses the Acquisition of Central Memory T Cell Properties. </w:t>
      </w:r>
      <w:r w:rsidRPr="00631694">
        <w:rPr>
          <w:i/>
          <w:iCs/>
          <w:lang w:val="en-US"/>
        </w:rPr>
        <w:t>Immunity</w:t>
      </w:r>
      <w:r w:rsidRPr="00631694">
        <w:rPr>
          <w:lang w:val="en-US"/>
        </w:rPr>
        <w:t xml:space="preserve"> </w:t>
      </w:r>
      <w:r w:rsidRPr="00631694">
        <w:rPr>
          <w:b/>
          <w:bCs/>
          <w:lang w:val="en-US"/>
        </w:rPr>
        <w:t>31</w:t>
      </w:r>
      <w:r w:rsidRPr="00631694">
        <w:rPr>
          <w:lang w:val="en-US"/>
        </w:rPr>
        <w:t>, 296–308 (2009).</w:t>
      </w:r>
    </w:p>
    <w:p w14:paraId="727292FE" w14:textId="77777777" w:rsidR="00631694" w:rsidRPr="00631694" w:rsidRDefault="00631694" w:rsidP="00631694">
      <w:pPr>
        <w:pStyle w:val="Bibliography"/>
        <w:rPr>
          <w:lang w:val="en-US"/>
        </w:rPr>
      </w:pPr>
      <w:r w:rsidRPr="00631694">
        <w:rPr>
          <w:lang w:val="en-US"/>
        </w:rPr>
        <w:t>72.</w:t>
      </w:r>
      <w:r w:rsidRPr="00631694">
        <w:rPr>
          <w:lang w:val="en-US"/>
        </w:rPr>
        <w:tab/>
        <w:t xml:space="preserve">Qin, Y. </w:t>
      </w:r>
      <w:r w:rsidRPr="00631694">
        <w:rPr>
          <w:i/>
          <w:iCs/>
          <w:lang w:val="en-US"/>
        </w:rPr>
        <w:t>et al.</w:t>
      </w:r>
      <w:r w:rsidRPr="00631694">
        <w:rPr>
          <w:lang w:val="en-US"/>
        </w:rPr>
        <w:t xml:space="preserve"> CD36 promotes iron accumulation and dysfunction in CD8+ T cells via the p38-CEBPB-TfR1 axis in early-stage hepatocellular carcinoma. </w:t>
      </w:r>
      <w:r w:rsidRPr="00631694">
        <w:rPr>
          <w:i/>
          <w:iCs/>
          <w:lang w:val="en-US"/>
        </w:rPr>
        <w:t>Clin. Mol. Hepatol.</w:t>
      </w:r>
      <w:r w:rsidRPr="00631694">
        <w:rPr>
          <w:lang w:val="en-US"/>
        </w:rPr>
        <w:t xml:space="preserve"> </w:t>
      </w:r>
      <w:r w:rsidRPr="00631694">
        <w:rPr>
          <w:b/>
          <w:bCs/>
          <w:lang w:val="en-US"/>
        </w:rPr>
        <w:t>31</w:t>
      </w:r>
      <w:r w:rsidRPr="00631694">
        <w:rPr>
          <w:lang w:val="en-US"/>
        </w:rPr>
        <w:t>, 960–980 (2025).</w:t>
      </w:r>
    </w:p>
    <w:p w14:paraId="5260A7A7" w14:textId="307E220C" w:rsidR="008515C4" w:rsidRPr="009658C3" w:rsidRDefault="008515C4" w:rsidP="00631694">
      <w:pPr>
        <w:pStyle w:val="Bibliography"/>
        <w:rPr>
          <w:rFonts w:ascii="Calibri" w:hAnsi="Calibri" w:cs="Calibri"/>
          <w:b/>
          <w:bCs/>
          <w:color w:val="000000" w:themeColor="text1"/>
          <w:lang w:val="en-US"/>
        </w:rPr>
      </w:pPr>
      <w:r w:rsidRPr="009658C3">
        <w:rPr>
          <w:rFonts w:ascii="Calibri" w:hAnsi="Calibri" w:cs="Calibri"/>
          <w:b/>
          <w:bCs/>
          <w:color w:val="000000" w:themeColor="text1"/>
          <w:lang w:val="en-US"/>
        </w:rPr>
        <w:fldChar w:fldCharType="end"/>
      </w:r>
    </w:p>
    <w:p w14:paraId="610C9193" w14:textId="77777777" w:rsidR="008515C4" w:rsidRPr="009658C3" w:rsidRDefault="008515C4" w:rsidP="008515C4">
      <w:pPr>
        <w:pStyle w:val="Bibliography"/>
        <w:jc w:val="both"/>
        <w:rPr>
          <w:rFonts w:ascii="Calibri" w:hAnsi="Calibri" w:cs="Calibri"/>
          <w:b/>
          <w:bCs/>
          <w:color w:val="000000" w:themeColor="text1"/>
          <w:lang w:val="en-US"/>
        </w:rPr>
      </w:pPr>
    </w:p>
    <w:p w14:paraId="4736BBD7" w14:textId="5219DCE2" w:rsidR="004F71CE" w:rsidRDefault="004F71CE"/>
    <w:sectPr w:rsidR="004F71CE" w:rsidSect="008515C4">
      <w:headerReference w:type="default" r:id="rId10"/>
      <w:footerReference w:type="default" r:id="rId11"/>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4EAB2" w14:textId="77777777" w:rsidR="00A10061" w:rsidRDefault="00A10061">
      <w:pPr>
        <w:spacing w:line="240" w:lineRule="auto"/>
      </w:pPr>
      <w:r>
        <w:separator/>
      </w:r>
    </w:p>
  </w:endnote>
  <w:endnote w:type="continuationSeparator" w:id="0">
    <w:p w14:paraId="3160851D" w14:textId="77777777" w:rsidR="00A10061" w:rsidRDefault="00A100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65E6" w14:textId="77777777" w:rsidR="008515C4" w:rsidRDefault="00851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9CE7E" w14:textId="77777777" w:rsidR="00A10061" w:rsidRDefault="00A10061">
      <w:pPr>
        <w:spacing w:line="240" w:lineRule="auto"/>
      </w:pPr>
      <w:r>
        <w:separator/>
      </w:r>
    </w:p>
  </w:footnote>
  <w:footnote w:type="continuationSeparator" w:id="0">
    <w:p w14:paraId="17F965F1" w14:textId="77777777" w:rsidR="00A10061" w:rsidRDefault="00A100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3D0E" w14:textId="77777777" w:rsidR="008515C4" w:rsidRDefault="008515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672B0"/>
    <w:multiLevelType w:val="multilevel"/>
    <w:tmpl w:val="4212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96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5C4"/>
    <w:rsid w:val="00002DB5"/>
    <w:rsid w:val="00003B44"/>
    <w:rsid w:val="000040CE"/>
    <w:rsid w:val="00006B08"/>
    <w:rsid w:val="0001153E"/>
    <w:rsid w:val="00017C55"/>
    <w:rsid w:val="000200F0"/>
    <w:rsid w:val="00022E5F"/>
    <w:rsid w:val="000233F4"/>
    <w:rsid w:val="00023A69"/>
    <w:rsid w:val="000278F8"/>
    <w:rsid w:val="000340F7"/>
    <w:rsid w:val="000368F5"/>
    <w:rsid w:val="000403BF"/>
    <w:rsid w:val="00041FAD"/>
    <w:rsid w:val="0005186E"/>
    <w:rsid w:val="0005212F"/>
    <w:rsid w:val="00053981"/>
    <w:rsid w:val="00054458"/>
    <w:rsid w:val="000550D5"/>
    <w:rsid w:val="00056B42"/>
    <w:rsid w:val="00057577"/>
    <w:rsid w:val="00057D7E"/>
    <w:rsid w:val="0006699D"/>
    <w:rsid w:val="000678C8"/>
    <w:rsid w:val="000702EB"/>
    <w:rsid w:val="00074B39"/>
    <w:rsid w:val="00083A84"/>
    <w:rsid w:val="000907DF"/>
    <w:rsid w:val="000A6281"/>
    <w:rsid w:val="000A701D"/>
    <w:rsid w:val="000B22CB"/>
    <w:rsid w:val="000B299A"/>
    <w:rsid w:val="000B7EEE"/>
    <w:rsid w:val="000D59A4"/>
    <w:rsid w:val="000D6858"/>
    <w:rsid w:val="000E09E2"/>
    <w:rsid w:val="000E698C"/>
    <w:rsid w:val="000F6331"/>
    <w:rsid w:val="000F76D1"/>
    <w:rsid w:val="00106FBC"/>
    <w:rsid w:val="0011048D"/>
    <w:rsid w:val="00120CFB"/>
    <w:rsid w:val="00120D34"/>
    <w:rsid w:val="001261BB"/>
    <w:rsid w:val="00126519"/>
    <w:rsid w:val="00126B7D"/>
    <w:rsid w:val="001279C9"/>
    <w:rsid w:val="00131C57"/>
    <w:rsid w:val="00132707"/>
    <w:rsid w:val="00133E56"/>
    <w:rsid w:val="00136244"/>
    <w:rsid w:val="0013692C"/>
    <w:rsid w:val="001378C1"/>
    <w:rsid w:val="001400B6"/>
    <w:rsid w:val="00140392"/>
    <w:rsid w:val="00142FDD"/>
    <w:rsid w:val="00146C76"/>
    <w:rsid w:val="00151BD0"/>
    <w:rsid w:val="00155D90"/>
    <w:rsid w:val="00155DAF"/>
    <w:rsid w:val="00162EDA"/>
    <w:rsid w:val="00167B24"/>
    <w:rsid w:val="00181486"/>
    <w:rsid w:val="001823E2"/>
    <w:rsid w:val="001828F5"/>
    <w:rsid w:val="0018730B"/>
    <w:rsid w:val="00196746"/>
    <w:rsid w:val="00197B61"/>
    <w:rsid w:val="001A34E5"/>
    <w:rsid w:val="001A4EA7"/>
    <w:rsid w:val="001A5B33"/>
    <w:rsid w:val="001B16C3"/>
    <w:rsid w:val="001B1A0F"/>
    <w:rsid w:val="001B1EFF"/>
    <w:rsid w:val="001C3195"/>
    <w:rsid w:val="001C3E06"/>
    <w:rsid w:val="001C78B4"/>
    <w:rsid w:val="001D29F7"/>
    <w:rsid w:val="001D55EF"/>
    <w:rsid w:val="001D79D7"/>
    <w:rsid w:val="001E49AD"/>
    <w:rsid w:val="001E5380"/>
    <w:rsid w:val="00203E30"/>
    <w:rsid w:val="00210342"/>
    <w:rsid w:val="002170ED"/>
    <w:rsid w:val="00224DE1"/>
    <w:rsid w:val="00226441"/>
    <w:rsid w:val="002268DF"/>
    <w:rsid w:val="00226D5D"/>
    <w:rsid w:val="00233005"/>
    <w:rsid w:val="00234108"/>
    <w:rsid w:val="00240EA5"/>
    <w:rsid w:val="00241A22"/>
    <w:rsid w:val="0025451D"/>
    <w:rsid w:val="00260804"/>
    <w:rsid w:val="002612AB"/>
    <w:rsid w:val="00264DC3"/>
    <w:rsid w:val="002652D0"/>
    <w:rsid w:val="00271CD2"/>
    <w:rsid w:val="00272255"/>
    <w:rsid w:val="00273C52"/>
    <w:rsid w:val="002770AD"/>
    <w:rsid w:val="0028298E"/>
    <w:rsid w:val="00286F56"/>
    <w:rsid w:val="002906BE"/>
    <w:rsid w:val="00294F45"/>
    <w:rsid w:val="002B0C0A"/>
    <w:rsid w:val="002B2922"/>
    <w:rsid w:val="002B447A"/>
    <w:rsid w:val="002C2ED5"/>
    <w:rsid w:val="002C3612"/>
    <w:rsid w:val="002C3913"/>
    <w:rsid w:val="002C41AA"/>
    <w:rsid w:val="002C71A8"/>
    <w:rsid w:val="002D2444"/>
    <w:rsid w:val="002D5FF0"/>
    <w:rsid w:val="002E115F"/>
    <w:rsid w:val="002E229A"/>
    <w:rsid w:val="002F01E3"/>
    <w:rsid w:val="002F0EBE"/>
    <w:rsid w:val="002F1CEE"/>
    <w:rsid w:val="002F5131"/>
    <w:rsid w:val="002F5FB7"/>
    <w:rsid w:val="00301F4A"/>
    <w:rsid w:val="00313364"/>
    <w:rsid w:val="00313ECB"/>
    <w:rsid w:val="00316615"/>
    <w:rsid w:val="00326AB6"/>
    <w:rsid w:val="00327839"/>
    <w:rsid w:val="0033002A"/>
    <w:rsid w:val="00346C1C"/>
    <w:rsid w:val="00347A36"/>
    <w:rsid w:val="00356679"/>
    <w:rsid w:val="003605B2"/>
    <w:rsid w:val="00363FCB"/>
    <w:rsid w:val="0036477B"/>
    <w:rsid w:val="00366495"/>
    <w:rsid w:val="00372068"/>
    <w:rsid w:val="00373C79"/>
    <w:rsid w:val="00385673"/>
    <w:rsid w:val="003869E1"/>
    <w:rsid w:val="00390A95"/>
    <w:rsid w:val="00395D24"/>
    <w:rsid w:val="003A072A"/>
    <w:rsid w:val="003B0003"/>
    <w:rsid w:val="003B2ED5"/>
    <w:rsid w:val="003C2228"/>
    <w:rsid w:val="003C754C"/>
    <w:rsid w:val="003D55B3"/>
    <w:rsid w:val="003E0AB9"/>
    <w:rsid w:val="003E1A0A"/>
    <w:rsid w:val="003E7C1C"/>
    <w:rsid w:val="003F1A30"/>
    <w:rsid w:val="00400F26"/>
    <w:rsid w:val="00402FBA"/>
    <w:rsid w:val="0040338A"/>
    <w:rsid w:val="00404081"/>
    <w:rsid w:val="00404960"/>
    <w:rsid w:val="00410B3E"/>
    <w:rsid w:val="00415612"/>
    <w:rsid w:val="0042012C"/>
    <w:rsid w:val="004227BD"/>
    <w:rsid w:val="00425910"/>
    <w:rsid w:val="004305D0"/>
    <w:rsid w:val="00435880"/>
    <w:rsid w:val="0044793E"/>
    <w:rsid w:val="004602B7"/>
    <w:rsid w:val="00482CD9"/>
    <w:rsid w:val="004835C1"/>
    <w:rsid w:val="00491F59"/>
    <w:rsid w:val="00496479"/>
    <w:rsid w:val="00496BAB"/>
    <w:rsid w:val="004A60F9"/>
    <w:rsid w:val="004A6E44"/>
    <w:rsid w:val="004B4CB7"/>
    <w:rsid w:val="004C6E32"/>
    <w:rsid w:val="004D1FFB"/>
    <w:rsid w:val="004E510C"/>
    <w:rsid w:val="004E7CF5"/>
    <w:rsid w:val="004F055A"/>
    <w:rsid w:val="004F2311"/>
    <w:rsid w:val="004F42AB"/>
    <w:rsid w:val="004F6724"/>
    <w:rsid w:val="004F71CE"/>
    <w:rsid w:val="00502EB6"/>
    <w:rsid w:val="00507B6C"/>
    <w:rsid w:val="005147E9"/>
    <w:rsid w:val="005154D3"/>
    <w:rsid w:val="005175DA"/>
    <w:rsid w:val="005264FC"/>
    <w:rsid w:val="0052693C"/>
    <w:rsid w:val="00530229"/>
    <w:rsid w:val="0054329C"/>
    <w:rsid w:val="00543480"/>
    <w:rsid w:val="00544B02"/>
    <w:rsid w:val="00551E14"/>
    <w:rsid w:val="00552D8F"/>
    <w:rsid w:val="00554310"/>
    <w:rsid w:val="0055778A"/>
    <w:rsid w:val="00563D0E"/>
    <w:rsid w:val="00566C4D"/>
    <w:rsid w:val="00567D87"/>
    <w:rsid w:val="00573804"/>
    <w:rsid w:val="005761FA"/>
    <w:rsid w:val="005831B3"/>
    <w:rsid w:val="00583A73"/>
    <w:rsid w:val="00590BB2"/>
    <w:rsid w:val="00594B4B"/>
    <w:rsid w:val="005974AF"/>
    <w:rsid w:val="005A50B0"/>
    <w:rsid w:val="005A5D73"/>
    <w:rsid w:val="005A72BA"/>
    <w:rsid w:val="005C1DA9"/>
    <w:rsid w:val="005D1E93"/>
    <w:rsid w:val="005D200E"/>
    <w:rsid w:val="005D3675"/>
    <w:rsid w:val="005D3DD2"/>
    <w:rsid w:val="005D78ED"/>
    <w:rsid w:val="005F42C4"/>
    <w:rsid w:val="005F7F6F"/>
    <w:rsid w:val="006066F4"/>
    <w:rsid w:val="00611079"/>
    <w:rsid w:val="00622F01"/>
    <w:rsid w:val="0063097A"/>
    <w:rsid w:val="00631694"/>
    <w:rsid w:val="00633DF1"/>
    <w:rsid w:val="006364C2"/>
    <w:rsid w:val="00644806"/>
    <w:rsid w:val="00647082"/>
    <w:rsid w:val="00650772"/>
    <w:rsid w:val="006545B2"/>
    <w:rsid w:val="00670004"/>
    <w:rsid w:val="00673785"/>
    <w:rsid w:val="00683F5E"/>
    <w:rsid w:val="00695000"/>
    <w:rsid w:val="006951D2"/>
    <w:rsid w:val="00696F6A"/>
    <w:rsid w:val="006A43E8"/>
    <w:rsid w:val="006A489F"/>
    <w:rsid w:val="006A7C26"/>
    <w:rsid w:val="006B3270"/>
    <w:rsid w:val="006B6C65"/>
    <w:rsid w:val="006E039E"/>
    <w:rsid w:val="006E1ED6"/>
    <w:rsid w:val="007040E9"/>
    <w:rsid w:val="00705D50"/>
    <w:rsid w:val="00710F61"/>
    <w:rsid w:val="00717E2B"/>
    <w:rsid w:val="0072193A"/>
    <w:rsid w:val="00736D69"/>
    <w:rsid w:val="00743E8B"/>
    <w:rsid w:val="0074625C"/>
    <w:rsid w:val="0075309D"/>
    <w:rsid w:val="00756B78"/>
    <w:rsid w:val="00767947"/>
    <w:rsid w:val="00770268"/>
    <w:rsid w:val="00773293"/>
    <w:rsid w:val="007739C0"/>
    <w:rsid w:val="0077402E"/>
    <w:rsid w:val="00780167"/>
    <w:rsid w:val="00780281"/>
    <w:rsid w:val="00781BAC"/>
    <w:rsid w:val="00781CC0"/>
    <w:rsid w:val="00792CCA"/>
    <w:rsid w:val="0079560B"/>
    <w:rsid w:val="007C0CD8"/>
    <w:rsid w:val="007C1E0C"/>
    <w:rsid w:val="007C4613"/>
    <w:rsid w:val="007C5F15"/>
    <w:rsid w:val="007C6B5A"/>
    <w:rsid w:val="007D2E0F"/>
    <w:rsid w:val="007D7827"/>
    <w:rsid w:val="007E0446"/>
    <w:rsid w:val="007E366A"/>
    <w:rsid w:val="007E48BE"/>
    <w:rsid w:val="007E4CBE"/>
    <w:rsid w:val="007E5003"/>
    <w:rsid w:val="007E7143"/>
    <w:rsid w:val="007F453B"/>
    <w:rsid w:val="008002A7"/>
    <w:rsid w:val="00805137"/>
    <w:rsid w:val="0080733B"/>
    <w:rsid w:val="00814E22"/>
    <w:rsid w:val="00830F8D"/>
    <w:rsid w:val="00831238"/>
    <w:rsid w:val="0083170D"/>
    <w:rsid w:val="00832EB8"/>
    <w:rsid w:val="0083678C"/>
    <w:rsid w:val="008427CF"/>
    <w:rsid w:val="00847E68"/>
    <w:rsid w:val="008515C4"/>
    <w:rsid w:val="00865846"/>
    <w:rsid w:val="00865ADA"/>
    <w:rsid w:val="0086757D"/>
    <w:rsid w:val="00873513"/>
    <w:rsid w:val="00880CA5"/>
    <w:rsid w:val="0088263B"/>
    <w:rsid w:val="008845CC"/>
    <w:rsid w:val="008849F6"/>
    <w:rsid w:val="00896D12"/>
    <w:rsid w:val="00896E7B"/>
    <w:rsid w:val="008A7082"/>
    <w:rsid w:val="008B01FB"/>
    <w:rsid w:val="008B3CD7"/>
    <w:rsid w:val="008B465B"/>
    <w:rsid w:val="008B72D5"/>
    <w:rsid w:val="008C26A5"/>
    <w:rsid w:val="008C4564"/>
    <w:rsid w:val="008D3CDD"/>
    <w:rsid w:val="008E03AC"/>
    <w:rsid w:val="008E243F"/>
    <w:rsid w:val="0090463D"/>
    <w:rsid w:val="00904877"/>
    <w:rsid w:val="00915A43"/>
    <w:rsid w:val="00924813"/>
    <w:rsid w:val="00930E5E"/>
    <w:rsid w:val="00936230"/>
    <w:rsid w:val="00941419"/>
    <w:rsid w:val="009437BF"/>
    <w:rsid w:val="0094446C"/>
    <w:rsid w:val="009478C5"/>
    <w:rsid w:val="00951024"/>
    <w:rsid w:val="00951A31"/>
    <w:rsid w:val="009561A6"/>
    <w:rsid w:val="009623EF"/>
    <w:rsid w:val="00963FCF"/>
    <w:rsid w:val="00965B01"/>
    <w:rsid w:val="00966324"/>
    <w:rsid w:val="0097057A"/>
    <w:rsid w:val="00972F41"/>
    <w:rsid w:val="00976D69"/>
    <w:rsid w:val="00983244"/>
    <w:rsid w:val="009844C3"/>
    <w:rsid w:val="00985FB8"/>
    <w:rsid w:val="0099641E"/>
    <w:rsid w:val="009B1357"/>
    <w:rsid w:val="009B4DCA"/>
    <w:rsid w:val="009C06D1"/>
    <w:rsid w:val="009C1DE8"/>
    <w:rsid w:val="009E5728"/>
    <w:rsid w:val="009E5854"/>
    <w:rsid w:val="009E6201"/>
    <w:rsid w:val="009F39C3"/>
    <w:rsid w:val="00A00123"/>
    <w:rsid w:val="00A022A8"/>
    <w:rsid w:val="00A03503"/>
    <w:rsid w:val="00A03D1F"/>
    <w:rsid w:val="00A05D44"/>
    <w:rsid w:val="00A06183"/>
    <w:rsid w:val="00A10061"/>
    <w:rsid w:val="00A113CC"/>
    <w:rsid w:val="00A1331E"/>
    <w:rsid w:val="00A13E31"/>
    <w:rsid w:val="00A1519D"/>
    <w:rsid w:val="00A24474"/>
    <w:rsid w:val="00A24EFE"/>
    <w:rsid w:val="00A3553E"/>
    <w:rsid w:val="00A40CD7"/>
    <w:rsid w:val="00A5086A"/>
    <w:rsid w:val="00A53C6F"/>
    <w:rsid w:val="00A56901"/>
    <w:rsid w:val="00A57E2E"/>
    <w:rsid w:val="00A62810"/>
    <w:rsid w:val="00A658F9"/>
    <w:rsid w:val="00A67350"/>
    <w:rsid w:val="00A67442"/>
    <w:rsid w:val="00A710C9"/>
    <w:rsid w:val="00A76196"/>
    <w:rsid w:val="00A813B1"/>
    <w:rsid w:val="00A81CED"/>
    <w:rsid w:val="00A81D10"/>
    <w:rsid w:val="00A838C9"/>
    <w:rsid w:val="00A86B63"/>
    <w:rsid w:val="00A91ABC"/>
    <w:rsid w:val="00A9446E"/>
    <w:rsid w:val="00A94CC2"/>
    <w:rsid w:val="00A9646D"/>
    <w:rsid w:val="00AA2D2E"/>
    <w:rsid w:val="00AA3DDE"/>
    <w:rsid w:val="00AA68B0"/>
    <w:rsid w:val="00AB354A"/>
    <w:rsid w:val="00AD6AB0"/>
    <w:rsid w:val="00AD7F6D"/>
    <w:rsid w:val="00AE0183"/>
    <w:rsid w:val="00AE0880"/>
    <w:rsid w:val="00AE2AE5"/>
    <w:rsid w:val="00AF2AC0"/>
    <w:rsid w:val="00AF5B9D"/>
    <w:rsid w:val="00AF6669"/>
    <w:rsid w:val="00B01658"/>
    <w:rsid w:val="00B1442B"/>
    <w:rsid w:val="00B14D0E"/>
    <w:rsid w:val="00B17517"/>
    <w:rsid w:val="00B3547A"/>
    <w:rsid w:val="00B408D3"/>
    <w:rsid w:val="00B4318F"/>
    <w:rsid w:val="00B47397"/>
    <w:rsid w:val="00B5026D"/>
    <w:rsid w:val="00B56853"/>
    <w:rsid w:val="00B6384A"/>
    <w:rsid w:val="00B64514"/>
    <w:rsid w:val="00B65121"/>
    <w:rsid w:val="00B773C1"/>
    <w:rsid w:val="00B84E31"/>
    <w:rsid w:val="00B87D56"/>
    <w:rsid w:val="00B90E50"/>
    <w:rsid w:val="00B97146"/>
    <w:rsid w:val="00BA368B"/>
    <w:rsid w:val="00BB01ED"/>
    <w:rsid w:val="00BB235A"/>
    <w:rsid w:val="00BB4339"/>
    <w:rsid w:val="00BB5AED"/>
    <w:rsid w:val="00BB6ED1"/>
    <w:rsid w:val="00BC0051"/>
    <w:rsid w:val="00BC1EB4"/>
    <w:rsid w:val="00BC6B44"/>
    <w:rsid w:val="00BC6F99"/>
    <w:rsid w:val="00BD05AA"/>
    <w:rsid w:val="00BD6670"/>
    <w:rsid w:val="00BE2831"/>
    <w:rsid w:val="00BF0EB1"/>
    <w:rsid w:val="00BF1394"/>
    <w:rsid w:val="00BF3DDD"/>
    <w:rsid w:val="00C00737"/>
    <w:rsid w:val="00C03E74"/>
    <w:rsid w:val="00C044B9"/>
    <w:rsid w:val="00C1428D"/>
    <w:rsid w:val="00C218F9"/>
    <w:rsid w:val="00C23913"/>
    <w:rsid w:val="00C2575C"/>
    <w:rsid w:val="00C3757C"/>
    <w:rsid w:val="00C4270E"/>
    <w:rsid w:val="00C457B2"/>
    <w:rsid w:val="00C51707"/>
    <w:rsid w:val="00C53521"/>
    <w:rsid w:val="00C54BC2"/>
    <w:rsid w:val="00C6392F"/>
    <w:rsid w:val="00C643C8"/>
    <w:rsid w:val="00C7138B"/>
    <w:rsid w:val="00C7321F"/>
    <w:rsid w:val="00C7714A"/>
    <w:rsid w:val="00C80DF9"/>
    <w:rsid w:val="00C875F9"/>
    <w:rsid w:val="00CB0E86"/>
    <w:rsid w:val="00CB16BC"/>
    <w:rsid w:val="00CC0DE6"/>
    <w:rsid w:val="00CC2FE6"/>
    <w:rsid w:val="00CC603B"/>
    <w:rsid w:val="00CD12FE"/>
    <w:rsid w:val="00CD7D9C"/>
    <w:rsid w:val="00CF05FC"/>
    <w:rsid w:val="00CF5395"/>
    <w:rsid w:val="00D07993"/>
    <w:rsid w:val="00D1278F"/>
    <w:rsid w:val="00D178E4"/>
    <w:rsid w:val="00D27BC7"/>
    <w:rsid w:val="00D3011C"/>
    <w:rsid w:val="00D36A78"/>
    <w:rsid w:val="00D424EE"/>
    <w:rsid w:val="00D43308"/>
    <w:rsid w:val="00D451C6"/>
    <w:rsid w:val="00D46C53"/>
    <w:rsid w:val="00D47063"/>
    <w:rsid w:val="00D61D1A"/>
    <w:rsid w:val="00D622B2"/>
    <w:rsid w:val="00D72B31"/>
    <w:rsid w:val="00D741EB"/>
    <w:rsid w:val="00D75EF3"/>
    <w:rsid w:val="00D95664"/>
    <w:rsid w:val="00D95F67"/>
    <w:rsid w:val="00D976D7"/>
    <w:rsid w:val="00DA52C8"/>
    <w:rsid w:val="00DB05D5"/>
    <w:rsid w:val="00DB07B1"/>
    <w:rsid w:val="00DB2B64"/>
    <w:rsid w:val="00DB5CDD"/>
    <w:rsid w:val="00DC1AAE"/>
    <w:rsid w:val="00DC25DF"/>
    <w:rsid w:val="00DC4B7D"/>
    <w:rsid w:val="00DC6637"/>
    <w:rsid w:val="00DD1673"/>
    <w:rsid w:val="00DF129E"/>
    <w:rsid w:val="00DF5B05"/>
    <w:rsid w:val="00E00EA0"/>
    <w:rsid w:val="00E025E4"/>
    <w:rsid w:val="00E034D0"/>
    <w:rsid w:val="00E06B00"/>
    <w:rsid w:val="00E117DB"/>
    <w:rsid w:val="00E118CC"/>
    <w:rsid w:val="00E14536"/>
    <w:rsid w:val="00E14BE3"/>
    <w:rsid w:val="00E20920"/>
    <w:rsid w:val="00E32261"/>
    <w:rsid w:val="00E32802"/>
    <w:rsid w:val="00E40EC6"/>
    <w:rsid w:val="00E4135F"/>
    <w:rsid w:val="00E46186"/>
    <w:rsid w:val="00E517AD"/>
    <w:rsid w:val="00E52955"/>
    <w:rsid w:val="00E5477C"/>
    <w:rsid w:val="00E551FD"/>
    <w:rsid w:val="00E742CB"/>
    <w:rsid w:val="00E7786C"/>
    <w:rsid w:val="00E828EA"/>
    <w:rsid w:val="00E9664D"/>
    <w:rsid w:val="00EA533C"/>
    <w:rsid w:val="00EA5EFA"/>
    <w:rsid w:val="00EA7D74"/>
    <w:rsid w:val="00EA7F5D"/>
    <w:rsid w:val="00EB6482"/>
    <w:rsid w:val="00ED0A49"/>
    <w:rsid w:val="00ED2846"/>
    <w:rsid w:val="00ED29B7"/>
    <w:rsid w:val="00EE2704"/>
    <w:rsid w:val="00EE4CDE"/>
    <w:rsid w:val="00EF0339"/>
    <w:rsid w:val="00EF4117"/>
    <w:rsid w:val="00EF4B20"/>
    <w:rsid w:val="00EF73DE"/>
    <w:rsid w:val="00EF73E4"/>
    <w:rsid w:val="00F00542"/>
    <w:rsid w:val="00F011FB"/>
    <w:rsid w:val="00F0546B"/>
    <w:rsid w:val="00F0722B"/>
    <w:rsid w:val="00F35D8D"/>
    <w:rsid w:val="00F47E87"/>
    <w:rsid w:val="00F52BE0"/>
    <w:rsid w:val="00F55C72"/>
    <w:rsid w:val="00F62B28"/>
    <w:rsid w:val="00F85CED"/>
    <w:rsid w:val="00F909DE"/>
    <w:rsid w:val="00F920AB"/>
    <w:rsid w:val="00FA4F63"/>
    <w:rsid w:val="00FB07B2"/>
    <w:rsid w:val="00FB77F8"/>
    <w:rsid w:val="00FB7B0E"/>
    <w:rsid w:val="00FC0C5B"/>
    <w:rsid w:val="00FD072C"/>
    <w:rsid w:val="00FD14DB"/>
    <w:rsid w:val="00FD7082"/>
    <w:rsid w:val="00FE3112"/>
    <w:rsid w:val="00FE58AE"/>
    <w:rsid w:val="00FE6453"/>
    <w:rsid w:val="00FF0D11"/>
    <w:rsid w:val="2F61C2E8"/>
    <w:rsid w:val="5B1089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1DB4D4"/>
  <w15:chartTrackingRefBased/>
  <w15:docId w15:val="{D30F3D12-64F2-0B43-83D6-0425FBFF3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5C4"/>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851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1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1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5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5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5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5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1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5C4"/>
    <w:rPr>
      <w:rFonts w:eastAsiaTheme="majorEastAsia" w:cstheme="majorBidi"/>
      <w:color w:val="272727" w:themeColor="text1" w:themeTint="D8"/>
    </w:rPr>
  </w:style>
  <w:style w:type="paragraph" w:styleId="Title">
    <w:name w:val="Title"/>
    <w:basedOn w:val="Normal"/>
    <w:next w:val="Normal"/>
    <w:link w:val="TitleChar"/>
    <w:uiPriority w:val="10"/>
    <w:qFormat/>
    <w:rsid w:val="00851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5C4"/>
    <w:pPr>
      <w:spacing w:before="160"/>
      <w:jc w:val="center"/>
    </w:pPr>
    <w:rPr>
      <w:i/>
      <w:iCs/>
      <w:color w:val="404040" w:themeColor="text1" w:themeTint="BF"/>
    </w:rPr>
  </w:style>
  <w:style w:type="character" w:customStyle="1" w:styleId="QuoteChar">
    <w:name w:val="Quote Char"/>
    <w:basedOn w:val="DefaultParagraphFont"/>
    <w:link w:val="Quote"/>
    <w:uiPriority w:val="29"/>
    <w:rsid w:val="008515C4"/>
    <w:rPr>
      <w:i/>
      <w:iCs/>
      <w:color w:val="404040" w:themeColor="text1" w:themeTint="BF"/>
    </w:rPr>
  </w:style>
  <w:style w:type="paragraph" w:styleId="ListParagraph">
    <w:name w:val="List Paragraph"/>
    <w:basedOn w:val="Normal"/>
    <w:uiPriority w:val="34"/>
    <w:qFormat/>
    <w:rsid w:val="008515C4"/>
    <w:pPr>
      <w:ind w:left="720"/>
      <w:contextualSpacing/>
    </w:pPr>
  </w:style>
  <w:style w:type="character" w:styleId="IntenseEmphasis">
    <w:name w:val="Intense Emphasis"/>
    <w:basedOn w:val="DefaultParagraphFont"/>
    <w:uiPriority w:val="21"/>
    <w:qFormat/>
    <w:rsid w:val="008515C4"/>
    <w:rPr>
      <w:i/>
      <w:iCs/>
      <w:color w:val="0F4761" w:themeColor="accent1" w:themeShade="BF"/>
    </w:rPr>
  </w:style>
  <w:style w:type="paragraph" w:styleId="IntenseQuote">
    <w:name w:val="Intense Quote"/>
    <w:basedOn w:val="Normal"/>
    <w:next w:val="Normal"/>
    <w:link w:val="IntenseQuoteChar"/>
    <w:uiPriority w:val="30"/>
    <w:qFormat/>
    <w:rsid w:val="00851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5C4"/>
    <w:rPr>
      <w:i/>
      <w:iCs/>
      <w:color w:val="0F4761" w:themeColor="accent1" w:themeShade="BF"/>
    </w:rPr>
  </w:style>
  <w:style w:type="character" w:styleId="IntenseReference">
    <w:name w:val="Intense Reference"/>
    <w:basedOn w:val="DefaultParagraphFont"/>
    <w:uiPriority w:val="32"/>
    <w:qFormat/>
    <w:rsid w:val="008515C4"/>
    <w:rPr>
      <w:b/>
      <w:bCs/>
      <w:smallCaps/>
      <w:color w:val="0F4761" w:themeColor="accent1" w:themeShade="BF"/>
      <w:spacing w:val="5"/>
    </w:rPr>
  </w:style>
  <w:style w:type="paragraph" w:styleId="CommentText">
    <w:name w:val="annotation text"/>
    <w:basedOn w:val="Normal"/>
    <w:link w:val="CommentTextChar"/>
    <w:uiPriority w:val="99"/>
    <w:semiHidden/>
    <w:unhideWhenUsed/>
    <w:rsid w:val="008515C4"/>
    <w:pPr>
      <w:spacing w:line="240" w:lineRule="auto"/>
    </w:pPr>
    <w:rPr>
      <w:sz w:val="20"/>
      <w:szCs w:val="20"/>
    </w:rPr>
  </w:style>
  <w:style w:type="character" w:customStyle="1" w:styleId="CommentTextChar">
    <w:name w:val="Comment Text Char"/>
    <w:basedOn w:val="DefaultParagraphFont"/>
    <w:link w:val="CommentText"/>
    <w:uiPriority w:val="99"/>
    <w:semiHidden/>
    <w:rsid w:val="008515C4"/>
    <w:rPr>
      <w:rFonts w:ascii="Arial" w:eastAsia="Arial" w:hAnsi="Arial" w:cs="Arial"/>
      <w:kern w:val="0"/>
      <w:sz w:val="20"/>
      <w:szCs w:val="20"/>
      <w:lang w:val="en"/>
      <w14:ligatures w14:val="none"/>
    </w:rPr>
  </w:style>
  <w:style w:type="character" w:styleId="CommentReference">
    <w:name w:val="annotation reference"/>
    <w:basedOn w:val="DefaultParagraphFont"/>
    <w:uiPriority w:val="99"/>
    <w:semiHidden/>
    <w:unhideWhenUsed/>
    <w:rsid w:val="008515C4"/>
    <w:rPr>
      <w:sz w:val="16"/>
      <w:szCs w:val="16"/>
    </w:rPr>
  </w:style>
  <w:style w:type="character" w:styleId="Strong">
    <w:name w:val="Strong"/>
    <w:basedOn w:val="DefaultParagraphFont"/>
    <w:uiPriority w:val="22"/>
    <w:qFormat/>
    <w:rsid w:val="008515C4"/>
    <w:rPr>
      <w:b/>
      <w:bCs/>
    </w:rPr>
  </w:style>
  <w:style w:type="paragraph" w:styleId="NormalWeb">
    <w:name w:val="Normal (Web)"/>
    <w:basedOn w:val="Normal"/>
    <w:uiPriority w:val="99"/>
    <w:unhideWhenUsed/>
    <w:rsid w:val="008515C4"/>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8515C4"/>
    <w:pPr>
      <w:spacing w:after="0" w:line="240" w:lineRule="auto"/>
    </w:pPr>
    <w:rPr>
      <w:rFonts w:ascii="Arial" w:eastAsia="Arial" w:hAnsi="Arial" w:cs="Arial"/>
      <w:kern w:val="0"/>
      <w:sz w:val="22"/>
      <w:szCs w:val="22"/>
      <w:lang w:val="en"/>
      <w14:ligatures w14:val="none"/>
    </w:rPr>
    <w:tblPr>
      <w:tblInd w:w="0" w:type="nil"/>
      <w:tblCellMar>
        <w:left w:w="0" w:type="dxa"/>
        <w:right w:w="0" w:type="dxa"/>
      </w:tblCellMar>
    </w:tblPr>
  </w:style>
  <w:style w:type="paragraph" w:styleId="Header">
    <w:name w:val="header"/>
    <w:basedOn w:val="Normal"/>
    <w:link w:val="HeaderChar"/>
    <w:uiPriority w:val="99"/>
    <w:unhideWhenUsed/>
    <w:rsid w:val="008515C4"/>
    <w:pPr>
      <w:tabs>
        <w:tab w:val="center" w:pos="4680"/>
        <w:tab w:val="right" w:pos="9360"/>
      </w:tabs>
      <w:spacing w:line="240" w:lineRule="auto"/>
    </w:pPr>
  </w:style>
  <w:style w:type="character" w:customStyle="1" w:styleId="HeaderChar">
    <w:name w:val="Header Char"/>
    <w:basedOn w:val="DefaultParagraphFont"/>
    <w:link w:val="Header"/>
    <w:uiPriority w:val="99"/>
    <w:rsid w:val="008515C4"/>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8515C4"/>
    <w:pPr>
      <w:tabs>
        <w:tab w:val="center" w:pos="4680"/>
        <w:tab w:val="right" w:pos="9360"/>
      </w:tabs>
      <w:spacing w:line="240" w:lineRule="auto"/>
    </w:pPr>
  </w:style>
  <w:style w:type="character" w:customStyle="1" w:styleId="FooterChar">
    <w:name w:val="Footer Char"/>
    <w:basedOn w:val="DefaultParagraphFont"/>
    <w:link w:val="Footer"/>
    <w:uiPriority w:val="99"/>
    <w:rsid w:val="008515C4"/>
    <w:rPr>
      <w:rFonts w:ascii="Arial" w:eastAsia="Arial" w:hAnsi="Arial" w:cs="Arial"/>
      <w:kern w:val="0"/>
      <w:sz w:val="22"/>
      <w:szCs w:val="22"/>
      <w:lang w:val="en"/>
      <w14:ligatures w14:val="none"/>
    </w:rPr>
  </w:style>
  <w:style w:type="character" w:styleId="Hyperlink">
    <w:name w:val="Hyperlink"/>
    <w:basedOn w:val="DefaultParagraphFont"/>
    <w:uiPriority w:val="99"/>
    <w:unhideWhenUsed/>
    <w:rsid w:val="008515C4"/>
    <w:rPr>
      <w:color w:val="467886" w:themeColor="hyperlink"/>
      <w:u w:val="single"/>
    </w:rPr>
  </w:style>
  <w:style w:type="character" w:styleId="UnresolvedMention">
    <w:name w:val="Unresolved Mention"/>
    <w:basedOn w:val="DefaultParagraphFont"/>
    <w:uiPriority w:val="99"/>
    <w:semiHidden/>
    <w:unhideWhenUsed/>
    <w:rsid w:val="008515C4"/>
    <w:rPr>
      <w:color w:val="605E5C"/>
      <w:shd w:val="clear" w:color="auto" w:fill="E1DFDD"/>
    </w:rPr>
  </w:style>
  <w:style w:type="character" w:styleId="PlaceholderText">
    <w:name w:val="Placeholder Text"/>
    <w:basedOn w:val="DefaultParagraphFont"/>
    <w:uiPriority w:val="99"/>
    <w:semiHidden/>
    <w:rsid w:val="008515C4"/>
    <w:rPr>
      <w:color w:val="666666"/>
    </w:rPr>
  </w:style>
  <w:style w:type="paragraph" w:styleId="Revision">
    <w:name w:val="Revision"/>
    <w:hidden/>
    <w:uiPriority w:val="99"/>
    <w:semiHidden/>
    <w:rsid w:val="008515C4"/>
    <w:pPr>
      <w:spacing w:after="0" w:line="240" w:lineRule="auto"/>
    </w:pPr>
    <w:rPr>
      <w:rFonts w:ascii="Arial" w:eastAsia="Arial" w:hAnsi="Arial" w:cs="Arial"/>
      <w:kern w:val="0"/>
      <w:sz w:val="22"/>
      <w:szCs w:val="22"/>
      <w:lang w:val="en"/>
      <w14:ligatures w14:val="none"/>
    </w:rPr>
  </w:style>
  <w:style w:type="paragraph" w:styleId="CommentSubject">
    <w:name w:val="annotation subject"/>
    <w:basedOn w:val="CommentText"/>
    <w:next w:val="CommentText"/>
    <w:link w:val="CommentSubjectChar"/>
    <w:uiPriority w:val="99"/>
    <w:semiHidden/>
    <w:unhideWhenUsed/>
    <w:rsid w:val="008515C4"/>
    <w:rPr>
      <w:b/>
      <w:bCs/>
    </w:rPr>
  </w:style>
  <w:style w:type="character" w:customStyle="1" w:styleId="CommentSubjectChar">
    <w:name w:val="Comment Subject Char"/>
    <w:basedOn w:val="CommentTextChar"/>
    <w:link w:val="CommentSubject"/>
    <w:uiPriority w:val="99"/>
    <w:semiHidden/>
    <w:rsid w:val="008515C4"/>
    <w:rPr>
      <w:rFonts w:ascii="Arial" w:eastAsia="Arial" w:hAnsi="Arial" w:cs="Arial"/>
      <w:b/>
      <w:bCs/>
      <w:kern w:val="0"/>
      <w:sz w:val="20"/>
      <w:szCs w:val="20"/>
      <w:lang w:val="en"/>
      <w14:ligatures w14:val="none"/>
    </w:rPr>
  </w:style>
  <w:style w:type="character" w:styleId="Mention">
    <w:name w:val="Mention"/>
    <w:basedOn w:val="DefaultParagraphFont"/>
    <w:uiPriority w:val="99"/>
    <w:unhideWhenUsed/>
    <w:rsid w:val="008515C4"/>
    <w:rPr>
      <w:color w:val="2B579A"/>
      <w:shd w:val="clear" w:color="auto" w:fill="E1DFDD"/>
    </w:rPr>
  </w:style>
  <w:style w:type="character" w:styleId="Emphasis">
    <w:name w:val="Emphasis"/>
    <w:basedOn w:val="DefaultParagraphFont"/>
    <w:uiPriority w:val="20"/>
    <w:qFormat/>
    <w:rsid w:val="008515C4"/>
    <w:rPr>
      <w:i/>
      <w:iCs/>
    </w:rPr>
  </w:style>
  <w:style w:type="paragraph" w:styleId="z-TopofForm">
    <w:name w:val="HTML Top of Form"/>
    <w:basedOn w:val="Normal"/>
    <w:next w:val="Normal"/>
    <w:link w:val="z-TopofFormChar"/>
    <w:hidden/>
    <w:uiPriority w:val="99"/>
    <w:semiHidden/>
    <w:unhideWhenUsed/>
    <w:rsid w:val="008515C4"/>
    <w:pPr>
      <w:pBdr>
        <w:bottom w:val="single" w:sz="6" w:space="1" w:color="auto"/>
      </w:pBdr>
      <w:spacing w:line="240" w:lineRule="auto"/>
      <w:jc w:val="center"/>
    </w:pPr>
    <w:rPr>
      <w:rFonts w:eastAsia="Times New Roman"/>
      <w:vanish/>
      <w:sz w:val="16"/>
      <w:szCs w:val="16"/>
      <w:lang w:val="en-US"/>
    </w:rPr>
  </w:style>
  <w:style w:type="character" w:customStyle="1" w:styleId="z-TopofFormChar">
    <w:name w:val="z-Top of Form Char"/>
    <w:basedOn w:val="DefaultParagraphFont"/>
    <w:link w:val="z-TopofForm"/>
    <w:uiPriority w:val="99"/>
    <w:semiHidden/>
    <w:rsid w:val="008515C4"/>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515C4"/>
    <w:pPr>
      <w:pBdr>
        <w:top w:val="single" w:sz="6" w:space="1" w:color="auto"/>
      </w:pBdr>
      <w:spacing w:line="240" w:lineRule="auto"/>
      <w:jc w:val="center"/>
    </w:pPr>
    <w:rPr>
      <w:rFonts w:eastAsia="Times New Roman"/>
      <w:vanish/>
      <w:sz w:val="16"/>
      <w:szCs w:val="16"/>
      <w:lang w:val="en-US"/>
    </w:rPr>
  </w:style>
  <w:style w:type="character" w:customStyle="1" w:styleId="z-BottomofFormChar">
    <w:name w:val="z-Bottom of Form Char"/>
    <w:basedOn w:val="DefaultParagraphFont"/>
    <w:link w:val="z-BottomofForm"/>
    <w:uiPriority w:val="99"/>
    <w:semiHidden/>
    <w:rsid w:val="008515C4"/>
    <w:rPr>
      <w:rFonts w:ascii="Arial" w:eastAsia="Times New Roman" w:hAnsi="Arial" w:cs="Arial"/>
      <w:vanish/>
      <w:kern w:val="0"/>
      <w:sz w:val="16"/>
      <w:szCs w:val="16"/>
      <w14:ligatures w14:val="none"/>
    </w:rPr>
  </w:style>
  <w:style w:type="character" w:customStyle="1" w:styleId="dtet0b">
    <w:name w:val="dtet0b"/>
    <w:basedOn w:val="DefaultParagraphFont"/>
    <w:rsid w:val="008515C4"/>
  </w:style>
  <w:style w:type="character" w:customStyle="1" w:styleId="vkekvd">
    <w:name w:val="vkekvd"/>
    <w:basedOn w:val="DefaultParagraphFont"/>
    <w:rsid w:val="008515C4"/>
  </w:style>
  <w:style w:type="character" w:styleId="FollowedHyperlink">
    <w:name w:val="FollowedHyperlink"/>
    <w:basedOn w:val="DefaultParagraphFont"/>
    <w:uiPriority w:val="99"/>
    <w:semiHidden/>
    <w:unhideWhenUsed/>
    <w:rsid w:val="008515C4"/>
    <w:rPr>
      <w:color w:val="96607D" w:themeColor="followedHyperlink"/>
      <w:u w:val="single"/>
    </w:rPr>
  </w:style>
  <w:style w:type="paragraph" w:styleId="HTMLPreformatted">
    <w:name w:val="HTML Preformatted"/>
    <w:basedOn w:val="Normal"/>
    <w:link w:val="HTMLPreformattedChar"/>
    <w:uiPriority w:val="99"/>
    <w:unhideWhenUsed/>
    <w:rsid w:val="00851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8515C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515C4"/>
    <w:rPr>
      <w:rFonts w:ascii="Courier New" w:eastAsia="Times New Roman" w:hAnsi="Courier New" w:cs="Courier New"/>
      <w:sz w:val="20"/>
      <w:szCs w:val="20"/>
    </w:rPr>
  </w:style>
  <w:style w:type="paragraph" w:styleId="Bibliography">
    <w:name w:val="Bibliography"/>
    <w:basedOn w:val="Normal"/>
    <w:next w:val="Normal"/>
    <w:uiPriority w:val="37"/>
    <w:unhideWhenUsed/>
    <w:rsid w:val="008515C4"/>
    <w:pPr>
      <w:tabs>
        <w:tab w:val="left" w:pos="260"/>
        <w:tab w:val="left" w:pos="380"/>
      </w:tabs>
      <w:spacing w:line="480" w:lineRule="auto"/>
      <w:ind w:left="384" w:hanging="384"/>
    </w:pPr>
  </w:style>
  <w:style w:type="character" w:customStyle="1" w:styleId="c-messageeditedlabel">
    <w:name w:val="c-message__edited_label"/>
    <w:basedOn w:val="DefaultParagraphFont"/>
    <w:rsid w:val="008515C4"/>
  </w:style>
  <w:style w:type="character" w:customStyle="1" w:styleId="math-inline">
    <w:name w:val="math-inline"/>
    <w:basedOn w:val="DefaultParagraphFont"/>
    <w:rsid w:val="008515C4"/>
  </w:style>
  <w:style w:type="character" w:customStyle="1" w:styleId="apple-converted-space">
    <w:name w:val="apple-converted-space"/>
    <w:basedOn w:val="DefaultParagraphFont"/>
    <w:rsid w:val="00851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tt-csi.shinyapps.io/firefa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xx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jishnu-lab/SL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41167</Words>
  <Characters>234657</Characters>
  <Application>Microsoft Office Word</Application>
  <DocSecurity>0</DocSecurity>
  <Lines>1955</Lines>
  <Paragraphs>550</Paragraphs>
  <ScaleCrop>false</ScaleCrop>
  <Company/>
  <LinksUpToDate>false</LinksUpToDate>
  <CharactersWithSpaces>275274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Heidari Rarani, Zarifeh</dc:creator>
  <cp:keywords/>
  <dc:description/>
  <cp:lastModifiedBy>Heidari Rarani, Zarifeh</cp:lastModifiedBy>
  <cp:revision>8</cp:revision>
  <cp:lastPrinted>2026-03-30T15:48:00Z</cp:lastPrinted>
  <dcterms:created xsi:type="dcterms:W3CDTF">2026-04-22T19:25:00Z</dcterms:created>
  <dcterms:modified xsi:type="dcterms:W3CDTF">2026-05-04T16:36:00Z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id="YS3EbOea"/&gt;&lt;style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ies>
</file>