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FIREFate — Methods</w:t>
      </w:r>
    </w:p>
    <w:bookmarkStart w:id="32" w:name="methods"/>
    <w:p>
      <w:pPr>
        <w:pStyle w:val="Heading1"/>
      </w:pPr>
      <w:r>
        <w:t xml:space="preserve">Methods</w:t>
      </w:r>
    </w:p>
    <w:bookmarkStart w:id="11" w:name="firefate-overview"/>
    <w:p>
      <w:pPr>
        <w:pStyle w:val="Heading2"/>
      </w:pPr>
      <w:r>
        <w:t xml:space="preserve">FIREFate overview</w:t>
      </w:r>
    </w:p>
    <w:p>
      <w:pPr>
        <w:pStyle w:val="FirstParagraph"/>
      </w:pPr>
      <w:r>
        <w:t xml:space="preserve">The FIREFate workflow consists of: (1) inferring cellular programs underlying cell</w:t>
      </w:r>
      <w:r>
        <w:t xml:space="preserve"> </w:t>
      </w:r>
      <w:r>
        <w:t xml:space="preserve">states using an interpretable machine learning model along with characterizing their</w:t>
      </w:r>
      <w:r>
        <w:t xml:space="preserve"> </w:t>
      </w:r>
      <w:r>
        <w:t xml:space="preserve">phenotypic roles through gene set enrichment analysis supported by large language</w:t>
      </w:r>
      <w:r>
        <w:t xml:space="preserve"> </w:t>
      </w:r>
      <w:r>
        <w:t xml:space="preserve">models; (2) constructing state-specific static GRNs using sc-multiomics data or</w:t>
      </w:r>
      <w:r>
        <w:t xml:space="preserve"> </w:t>
      </w:r>
      <w:r>
        <w:t xml:space="preserve">scRNA-seq data alone; (3) defining highly specific TF-centric regulons by integrating</w:t>
      </w:r>
      <w:r>
        <w:t xml:space="preserve"> </w:t>
      </w:r>
      <w:r>
        <w:t xml:space="preserve">the inferred cellular programs with the static GRN and calculating TF-centric regulon</w:t>
      </w:r>
      <w:r>
        <w:t xml:space="preserve"> </w:t>
      </w:r>
      <w:r>
        <w:t xml:space="preserve">enrichment; (4) constructing state-specific dynamic GRNs using sc-multiomics data;</w:t>
      </w:r>
      <w:r>
        <w:t xml:space="preserve"> </w:t>
      </w:r>
      <w:r>
        <w:t xml:space="preserve">(5) identifying state-specific TF expression and regulatory dynamics, including</w:t>
      </w:r>
      <w:r>
        <w:t xml:space="preserve"> </w:t>
      </w:r>
      <w:r>
        <w:t xml:space="preserve">episodic enrichment patterns; (6) identifying state-predisposing cellular programs</w:t>
      </w:r>
      <w:r>
        <w:t xml:space="preserve"> </w:t>
      </w:r>
      <w:r>
        <w:t xml:space="preserve">that bias cell-fate decisions using an interpretable machine learning model applied to</w:t>
      </w:r>
      <w:r>
        <w:t xml:space="preserve"> </w:t>
      </w:r>
      <w:r>
        <w:t xml:space="preserve">TF-KO versus unperturbed control cell populations; and (7) determining TFs enriched</w:t>
      </w:r>
      <w:r>
        <w:t xml:space="preserve"> </w:t>
      </w:r>
      <w:r>
        <w:t xml:space="preserve">within these predisposing programs through integration of static and dynamic GRNs.</w:t>
      </w:r>
      <w:r>
        <w:t xml:space="preserve"> </w:t>
      </w:r>
      <w:r>
        <w:t xml:space="preserve">We implemented and tested FIREFate in Python and R (versions xx and xx) and designed</w:t>
      </w:r>
      <w:r>
        <w:t xml:space="preserve"> </w:t>
      </w:r>
      <w:r>
        <w:t xml:space="preserve">it for use in Jupyter Notebook and RStudio environments. FIREFate code is open source</w:t>
      </w:r>
      <w:r>
        <w:t xml:space="preserve"> </w:t>
      </w:r>
      <w:r>
        <w:t xml:space="preserve">and available on GitHub (</w:t>
      </w:r>
      <w:hyperlink r:id="rId9">
        <w:r>
          <w:rPr>
            <w:rStyle w:val="Hyperlink"/>
          </w:rPr>
          <w:t xml:space="preserve">https://github.com/sachha-naksha/FIREFate.git</w:t>
        </w:r>
      </w:hyperlink>
      <w:r>
        <w:t xml:space="preserve">), along</w:t>
      </w:r>
      <w:r>
        <w:t xml:space="preserve"> </w:t>
      </w:r>
      <w:r>
        <w:t xml:space="preserve">with detailed descriptions of functions and tutorials. Additionally, we provide a</w:t>
      </w:r>
      <w:r>
        <w:t xml:space="preserve"> </w:t>
      </w:r>
      <w:r>
        <w:t xml:space="preserve">user-friendly web application (</w:t>
      </w:r>
      <w:hyperlink r:id="rId10">
        <w:r>
          <w:rPr>
            <w:rStyle w:val="Hyperlink"/>
          </w:rPr>
          <w:t xml:space="preserve">https://pitt-csi.shinyapps.io/firefate/</w:t>
        </w:r>
      </w:hyperlink>
      <w:r>
        <w:t xml:space="preserve">) that</w:t>
      </w:r>
      <w:r>
        <w:t xml:space="preserve"> </w:t>
      </w:r>
      <w:r>
        <w:t xml:space="preserve">facilitates FIREFate analyses and enables interactive exploration of the results</w:t>
      </w:r>
      <w:r>
        <w:t xml:space="preserve"> </w:t>
      </w:r>
      <w:r>
        <w:t xml:space="preserve">presented in this manuscript.</w:t>
      </w:r>
    </w:p>
    <w:bookmarkEnd w:id="11"/>
    <w:bookmarkStart w:id="14" w:name="Xf1b066f8dd9c8ada095712c81907125226c7b2d"/>
    <w:p>
      <w:pPr>
        <w:pStyle w:val="Heading2"/>
      </w:pPr>
      <w:r>
        <w:t xml:space="preserve">Inferring cellular programs using interpretable machine learning</w:t>
      </w:r>
    </w:p>
    <w:p>
      <w:pPr>
        <w:pStyle w:val="FirstParagraph"/>
      </w:pPr>
      <w:r>
        <w:t xml:space="preserve">In the first step, the cellular programs underlying cell states using the scRNA-seq</w:t>
      </w:r>
      <w:r>
        <w:t xml:space="preserve"> </w:t>
      </w:r>
      <w:r>
        <w:t xml:space="preserve">data are identified. To achieve this, we employ an interpretable machine learning</w:t>
      </w:r>
      <w:r>
        <w:t xml:space="preserve"> </w:t>
      </w:r>
      <w:r>
        <w:t xml:space="preserve">method called SLIDE to identify the significant cellular programs (CPs) underlying</w:t>
      </w:r>
      <w:r>
        <w:t xml:space="preserve"> </w:t>
      </w:r>
      <w:r>
        <w:t xml:space="preserve">outcomes of interest from high-dimensional omic datasets [ref to SLIDE]. This method</w:t>
      </w:r>
      <w:r>
        <w:t xml:space="preserve"> </w:t>
      </w:r>
      <w:r>
        <w:t xml:space="preserve">is beneficial as it discovers necessary and sufficient CPs to distinguish the states.</w:t>
      </w:r>
      <w:r>
        <w:t xml:space="preserve"> </w:t>
      </w:r>
      <w:r>
        <w:t xml:space="preserve">SLIDE is a regression-based model that identifies significant CPs (</w:t>
      </w:r>
      <m:oMath>
        <m:r>
          <m:t>Z</m:t>
        </m:r>
      </m:oMath>
      <w:r>
        <w:t xml:space="preserve">) capturing</w:t>
      </w:r>
      <w:r>
        <w:t xml:space="preserve"> </w:t>
      </w:r>
      <w:r>
        <w:t xml:space="preserve">linear and nonlinear relationships between observed data (</w:t>
      </w:r>
      <m:oMath>
        <m:r>
          <m:t>X</m:t>
        </m:r>
      </m:oMath>
      <w:r>
        <w:t xml:space="preserve">) and the phenotype of</w:t>
      </w:r>
      <w:r>
        <w:t xml:space="preserve"> </w:t>
      </w:r>
      <w:r>
        <w:t xml:space="preserve">interest (</w:t>
      </w:r>
      <m:oMath>
        <m:r>
          <m:t>Y</m:t>
        </m:r>
      </m:oMath>
      <w:r>
        <w:t xml:space="preserve">: in our case binary values regarding each state of interest):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[MATH MISSING]</m:t>
          </m:r>
        </m:oMath>
      </m:oMathPara>
    </w:p>
    <w:p>
      <w:pPr>
        <w:pStyle w:val="FirstParagraph"/>
      </w:pPr>
      <w:r>
        <w:rPr>
          <w:b/>
          <w:bCs/>
        </w:rPr>
        <w:t xml:space="preserve">[MATH MISSING]</w:t>
      </w:r>
      <w:r>
        <w:t xml:space="preserve"> </w:t>
      </w:r>
      <w:r>
        <w:t xml:space="preserve">is sc-RNA-seq expression data with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cells and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genes.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is decomposed into two factors: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, with an error term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.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is the allocation matrix and represents the membership of each</w:t>
      </w:r>
      <w:r>
        <w:t xml:space="preserve"> </w:t>
      </w:r>
      <w:r>
        <w:t xml:space="preserve">feature to a cellular program.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is the CP matrix and represents a</w:t>
      </w:r>
      <w:r>
        <w:t xml:space="preserve"> </w:t>
      </w:r>
      <w:r>
        <w:t xml:space="preserve">lower-dimensional representation (</w:t>
      </w:r>
      <w:r>
        <w:rPr>
          <w:b/>
          <w:bCs/>
        </w:rPr>
        <w:t xml:space="preserve">[MATH MISSING]</w:t>
      </w:r>
      <w:r>
        <w:t xml:space="preserve">) of the input data in latent space. Then</w:t>
      </w:r>
      <w:r>
        <w:t xml:space="preserve"> </w:t>
      </w:r>
      <w:r>
        <w:t xml:space="preserve">using a regression model which applied on CPs, the linear part of the model is generated</w:t>
      </w:r>
      <w:r>
        <w:t xml:space="preserve"> </w:t>
      </w:r>
      <w:r>
        <w:t xml:space="preserve">which represents the significant standalone CPs: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[MATH MISSING]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is the linear part of the model, and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is the set of</w:t>
      </w:r>
      <w:r>
        <w:t xml:space="preserve"> </w:t>
      </w:r>
      <w:r>
        <w:t xml:space="preserve">significant standalone CPs. Then incorporating the nonlinear relationships, the method</w:t>
      </w:r>
      <w:r>
        <w:t xml:space="preserve"> </w:t>
      </w:r>
      <w:r>
        <w:t xml:space="preserve">identifies significant interacting CPs: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[MATH MISSING]</m:t>
          </m:r>
          <m:r>
            <m:t>  </m:t>
          </m:r>
          <m:r>
            <m:rPr>
              <m:nor/>
              <m:sty m:val="p"/>
            </m:rPr>
            <m:t>where</m:t>
          </m:r>
          <m:r>
            <m:t>  </m:t>
          </m:r>
          <m:r>
            <m:rPr>
              <m:nor/>
              <m:sty m:val="b"/>
            </m:rPr>
            <m:t>[MATH MISSING]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is the effect size of the interaction term between the</w:t>
      </w:r>
      <w:r>
        <w:t xml:space="preserve"> </w:t>
      </w:r>
      <w:r>
        <w:t xml:space="preserve">two CPs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.</w:t>
      </w:r>
      <w:r>
        <w:t xml:space="preserve"> </w:t>
      </w:r>
      <w:r>
        <w:rPr>
          <w:b/>
          <w:bCs/>
        </w:rPr>
        <w:t xml:space="preserve">[MATH MISSING]</w:t>
      </w:r>
      <w:r>
        <w:t xml:space="preserve"> </w:t>
      </w:r>
      <w:r>
        <w:t xml:space="preserve">is the set of putative interactions</w:t>
      </w:r>
      <w:r>
        <w:t xml:space="preserve"> </w:t>
      </w:r>
      <w:r>
        <w:t xml:space="preserve">involving the standalone significant CPs. These interactions arise from the model’s</w:t>
      </w:r>
      <w:r>
        <w:t xml:space="preserve"> </w:t>
      </w:r>
      <w:r>
        <w:t xml:space="preserve">non-linear</w:t>
      </w:r>
      <w:r>
        <w:t xml:space="preserve"> </w:t>
      </w:r>
      <w:r>
        <w:t xml:space="preserve">architecture, capturing combinatorial regulation and helping improve interpretability</w:t>
      </w:r>
      <w:r>
        <w:t xml:space="preserve"> </w:t>
      </w:r>
      <w:r>
        <w:t xml:space="preserve">and predictive performance.</w:t>
      </w:r>
    </w:p>
    <w:p>
      <w:pPr>
        <w:pStyle w:val="BodyText"/>
      </w:pPr>
      <w:r>
        <w:t xml:space="preserve">Before applying SLIDE, the single-cell RNA sequencing (scRNA-seq) data were</w:t>
      </w:r>
      <w:r>
        <w:t xml:space="preserve"> </w:t>
      </w:r>
      <w:r>
        <w:t xml:space="preserve">preprocessed using the filtering and preprocessing functions provided in the SLIDE</w:t>
      </w:r>
      <w:r>
        <w:t xml:space="preserve"> </w:t>
      </w:r>
      <w:r>
        <w:t xml:space="preserve">library (</w:t>
      </w:r>
      <w:hyperlink r:id="rId12">
        <w:r>
          <w:rPr>
            <w:rStyle w:val="Hyperlink"/>
          </w:rPr>
          <w:t xml:space="preserve">https://github.com/jishnu-lab/SLIDE</w:t>
        </w:r>
      </w:hyperlink>
      <w:r>
        <w:t xml:space="preserve">) and FIREFate GitHub repository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https://github.com/jishnu-lab/xxxx</w:t>
        </w:r>
      </w:hyperlink>
      <w:r>
        <w:t xml:space="preserve">), following standard best practices. First,</w:t>
      </w:r>
      <w:r>
        <w:t xml:space="preserve"> </w:t>
      </w:r>
      <w:r>
        <w:t xml:space="preserve">genes with zero unique molecular identifier (UMI) counts across all cells were removed,</w:t>
      </w:r>
      <w:r>
        <w:t xml:space="preserve"> </w:t>
      </w:r>
      <w:r>
        <w:t xml:space="preserve">and mitochondrial and ribosomal genes were excluded from further analysis. Second,</w:t>
      </w:r>
      <w:r>
        <w:t xml:space="preserve"> </w:t>
      </w:r>
      <w:r>
        <w:t xml:space="preserve">sparsity filtering was performed using the</w:t>
      </w:r>
      <w:r>
        <w:t xml:space="preserve"> </w:t>
      </w:r>
      <w:r>
        <w:rPr>
          <w:rStyle w:val="VerbatimChar"/>
        </w:rPr>
        <w:t xml:space="preserve">zeroFiltering</w:t>
      </w:r>
      <w:r>
        <w:t xml:space="preserve"> </w:t>
      </w:r>
      <w:r>
        <w:t xml:space="preserve">function in the SLIDE</w:t>
      </w:r>
      <w:r>
        <w:t xml:space="preserve"> </w:t>
      </w:r>
      <w:r>
        <w:t xml:space="preserve">library to remove genes with more than</w:t>
      </w:r>
      <w:r>
        <w:t xml:space="preserve"> </w:t>
      </w:r>
      <w:r>
        <w:rPr>
          <w:rStyle w:val="VerbatimChar"/>
        </w:rPr>
        <w:t xml:space="preserve">col_thresh</w:t>
      </w:r>
      <w:r>
        <w:t xml:space="preserve"> </w:t>
      </w:r>
      <w:r>
        <w:t xml:space="preserve">zero values across cells.</w:t>
      </w:r>
      <w:r>
        <w:t xml:space="preserve"> </w:t>
      </w:r>
      <w:r>
        <w:t xml:space="preserve">To identify the cellular programs (CPs), SLIDE was applied to two distinct single-cell</w:t>
      </w:r>
      <w:r>
        <w:t xml:space="preserve"> </w:t>
      </w:r>
      <w:r>
        <w:t xml:space="preserve">RNA sequencing (scRNA-seq) datasets to extract discriminatory regulons between</w:t>
      </w:r>
      <w:r>
        <w:t xml:space="preserve"> </w:t>
      </w:r>
      <w:r>
        <w:t xml:space="preserve">predefined cell states in B cells and T cells. SLIDE requires two input cell populations</w:t>
      </w:r>
      <w:r>
        <w:t xml:space="preserve"> </w:t>
      </w:r>
      <w:r>
        <w:t xml:space="preserve">to learn latent regulatory programs that differentiate one state from another. For the</w:t>
      </w:r>
      <w:r>
        <w:t xml:space="preserve"> </w:t>
      </w:r>
      <w:r>
        <w:t xml:space="preserve">B cell system, the method was applied to PB and GC B cells using both scMultiome data</w:t>
      </w:r>
      <w:r>
        <w:t xml:space="preserve"> </w:t>
      </w:r>
      <w:r>
        <w:t xml:space="preserve">(Day 6) and scRNA-seq data. For the T cell system, the model was applied to Tex-term</w:t>
      </w:r>
      <w:r>
        <w:t xml:space="preserve"> </w:t>
      </w:r>
      <w:r>
        <w:t xml:space="preserve">and Tex-KLR cells. A summary of the training conditions—including experimental groups,</w:t>
      </w:r>
      <w:r>
        <w:t xml:space="preserve"> </w:t>
      </w:r>
      <w:r>
        <w:t xml:space="preserve">collection time points, and model parameters—is provided in Supplementary Table 1.</w:t>
      </w:r>
    </w:p>
    <w:p>
      <w:pPr>
        <w:pStyle w:val="BodyText"/>
      </w:pPr>
      <w:r>
        <w:t xml:space="preserve">We also used this approach to get the predisposing cellular programs from single-cell</w:t>
      </w:r>
      <w:r>
        <w:t xml:space="preserve"> </w:t>
      </w:r>
      <w:r>
        <w:t xml:space="preserve">Perturb-seq data collected on Day 6 following transcription factor (TF) KOs. The</w:t>
      </w:r>
      <w:r>
        <w:t xml:space="preserve"> </w:t>
      </w:r>
      <w:r>
        <w:t xml:space="preserve">training dataset for B cell included KO conditions for key TFs implicated in B cell</w:t>
      </w:r>
      <w:r>
        <w:t xml:space="preserve"> </w:t>
      </w:r>
      <w:r>
        <w:t xml:space="preserve">differentiation (PRDM1, BATF, SPIB, IRF4, and IRF8) alongside unperturbed control cells.</w:t>
      </w:r>
      <w:r>
        <w:t xml:space="preserve"> </w:t>
      </w:r>
      <w:r>
        <w:t xml:space="preserve">For T cell system we applied the same approach on single-cell Perturb-seq data of Ikzf1</w:t>
      </w:r>
      <w:r>
        <w:t xml:space="preserve"> </w:t>
      </w:r>
      <w:r>
        <w:t xml:space="preserve">and Ets1 KO cells against unperturbed control cells. A summary of the training</w:t>
      </w:r>
      <w:r>
        <w:t xml:space="preserve"> </w:t>
      </w:r>
      <w:r>
        <w:t xml:space="preserve">conditions—including experimental groups, and model parameters—is provided in</w:t>
      </w:r>
      <w:r>
        <w:t xml:space="preserve"> </w:t>
      </w:r>
      <w:r>
        <w:t xml:space="preserve">Supplementary Table 2.</w:t>
      </w:r>
    </w:p>
    <w:bookmarkEnd w:id="14"/>
    <w:bookmarkStart w:id="15" w:name="Xcbbba008c760028c95720c7541cf1e84ed58e15"/>
    <w:p>
      <w:pPr>
        <w:pStyle w:val="Heading2"/>
      </w:pPr>
      <w:r>
        <w:t xml:space="preserve">Interpreting the cellular programs using LLM-based gene set enrichment analysis</w:t>
      </w:r>
    </w:p>
    <w:p>
      <w:pPr>
        <w:pStyle w:val="FirstParagraph"/>
      </w:pPr>
      <w:r>
        <w:t xml:space="preserve">To derive biologically meaningful modules and corresponding labels for each CP, we</w:t>
      </w:r>
      <w:r>
        <w:t xml:space="preserve"> </w:t>
      </w:r>
      <w:r>
        <w:t xml:space="preserve">employed a large language model (LLM)-based gene set enrichment approach on the</w:t>
      </w:r>
      <w:r>
        <w:t xml:space="preserve"> </w:t>
      </w:r>
      <w:r>
        <w:t xml:space="preserve">top-ranked genes within each CP. GSAI grouped genes into functional programs and</w:t>
      </w:r>
      <w:r>
        <w:t xml:space="preserve"> </w:t>
      </w:r>
      <w:r>
        <w:t xml:space="preserve">generated module annotations. Using the prompt provided in Supplementary File S1, we</w:t>
      </w:r>
      <w:r>
        <w:t xml:space="preserve"> </w:t>
      </w:r>
      <w:r>
        <w:t xml:space="preserve">supplied the sets of top-ranked genes and asked ChatGPT 5.1 to annotate them with the</w:t>
      </w:r>
      <w:r>
        <w:t xml:space="preserve"> </w:t>
      </w:r>
      <w:r>
        <w:t xml:space="preserve">most relevant biological processes.</w:t>
      </w:r>
    </w:p>
    <w:bookmarkEnd w:id="15"/>
    <w:bookmarkStart w:id="16" w:name="state-specific-static-grn-inference"/>
    <w:p>
      <w:pPr>
        <w:pStyle w:val="Heading2"/>
      </w:pPr>
      <w:r>
        <w:t xml:space="preserve">State-specific static GRN inference</w:t>
      </w:r>
    </w:p>
    <w:p>
      <w:pPr>
        <w:pStyle w:val="FirstParagraph"/>
      </w:pPr>
      <w:r>
        <w:t xml:space="preserve">GRNs were constructed separately for B cell and T cell datasets, each containing</w:t>
      </w:r>
      <w:r>
        <w:t xml:space="preserve"> </w:t>
      </w:r>
      <w:r>
        <w:t xml:space="preserve">distinct sub-cell types. For the B cell dataset, GRNs were obtained for the PB and GC</w:t>
      </w:r>
      <w:r>
        <w:t xml:space="preserve"> </w:t>
      </w:r>
      <w:r>
        <w:t xml:space="preserve">cells from [ref Nick’s]. For the T cell dataset, GRNs were inferred for the Tex-term</w:t>
      </w:r>
      <w:r>
        <w:t xml:space="preserve"> </w:t>
      </w:r>
      <w:r>
        <w:t xml:space="preserve">and Tex-KLR cells using the CellOracle framework, with its murine ATAC-seq inferred GRN</w:t>
      </w:r>
      <w:r>
        <w:t xml:space="preserve"> </w:t>
      </w:r>
      <w:r>
        <w:t xml:space="preserve">serving as the base GRN. For each cell type (B or T), GRNs corresponding to the two</w:t>
      </w:r>
      <w:r>
        <w:t xml:space="preserve"> </w:t>
      </w:r>
      <w:r>
        <w:t xml:space="preserve">relevant cell-subtypes were first subset to top 10</w:t>
      </w:r>
      <w:r>
        <w:t xml:space="preserve">,</w:t>
      </w:r>
      <w:r>
        <w:t xml:space="preserve">000 edges. These subtype-specific</w:t>
      </w:r>
      <w:r>
        <w:t xml:space="preserve"> </w:t>
      </w:r>
      <w:r>
        <w:t xml:space="preserve">GRNs were then merged into a fusion GRN that represents the combined regulatory</w:t>
      </w:r>
      <w:r>
        <w:t xml:space="preserve"> </w:t>
      </w:r>
      <w:r>
        <w:t xml:space="preserve">landscape across sub-cell types within that dataset. During the merging process, if an</w:t>
      </w:r>
      <w:r>
        <w:t xml:space="preserve"> </w:t>
      </w:r>
      <w:r>
        <w:t xml:space="preserve">edge (TF–target interaction) was present in both subtype GRNs, the edge with the higher</w:t>
      </w:r>
      <w:r>
        <w:t xml:space="preserve"> </w:t>
      </w:r>
      <w:r>
        <w:t xml:space="preserve">weight (indicative of stronger regulatory potential) was retained. If an edge was unique</w:t>
      </w:r>
      <w:r>
        <w:t xml:space="preserve"> </w:t>
      </w:r>
      <w:r>
        <w:t xml:space="preserve">to one subtype, it was included as-is in the fusion GRN. Following GRN fusion, each edge</w:t>
      </w:r>
      <w:r>
        <w:t xml:space="preserve"> </w:t>
      </w:r>
      <w:r>
        <w:t xml:space="preserve">was categorized based on its weight relative to the distribution of edge weights in the</w:t>
      </w:r>
      <w:r>
        <w:t xml:space="preserve"> </w:t>
      </w:r>
      <w:r>
        <w:t xml:space="preserve">respective fusion network: strong regulatory edges, edge weight in the top 10th</w:t>
      </w:r>
      <w:r>
        <w:t xml:space="preserve"> </w:t>
      </w:r>
      <w:r>
        <w:t xml:space="preserve">percentile (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90th percentile), and weak regulatory edges, edge weight below the</w:t>
      </w:r>
      <w:r>
        <w:t xml:space="preserve"> </w:t>
      </w:r>
      <w:r>
        <w:t xml:space="preserve">90th percentile. This strategy enabled comprehensive subtype-integrated GRNs across</w:t>
      </w:r>
      <w:r>
        <w:t xml:space="preserve"> </w:t>
      </w:r>
      <w:r>
        <w:t xml:space="preserve">functionally distinct immune subpopulations.</w:t>
      </w:r>
    </w:p>
    <w:bookmarkEnd w:id="16"/>
    <w:bookmarkStart w:id="17" w:name="Xe7042f80b312e245cb8fe7b088bf3d00685b877"/>
    <w:p>
      <w:pPr>
        <w:pStyle w:val="Heading2"/>
      </w:pPr>
      <w:r>
        <w:t xml:space="preserve">Inferring regulons by combining cellular programs and GRNs</w:t>
      </w:r>
    </w:p>
    <w:p>
      <w:pPr>
        <w:pStyle w:val="FirstParagraph"/>
      </w:pPr>
      <w:r>
        <w:t xml:space="preserve">To identify TFs with regulatory programs enriched in cell subtype discrimination</w:t>
      </w:r>
      <w:r>
        <w:t xml:space="preserve"> </w:t>
      </w:r>
      <w:r>
        <w:t xml:space="preserve">specific regulons, we performed enrichment analyses using previously constructed fusion</w:t>
      </w:r>
      <w:r>
        <w:t xml:space="preserve"> </w:t>
      </w:r>
      <w:r>
        <w:t xml:space="preserve">GRNs alongside regulons inferred from SLIDE. By overlapping GRN topology with both</w:t>
      </w:r>
      <w:r>
        <w:t xml:space="preserve"> </w:t>
      </w:r>
      <w:r>
        <w:t xml:space="preserve">standalone and interacting regulons, we assembled a comprehensive set of TF–target gene</w:t>
      </w:r>
      <w:r>
        <w:t xml:space="preserve"> </w:t>
      </w:r>
      <w:r>
        <w:t xml:space="preserve">relationships. These interactions were then evaluated through two levels of enrichment</w:t>
      </w:r>
      <w:r>
        <w:t xml:space="preserve"> </w:t>
      </w:r>
      <w:r>
        <w:t xml:space="preserve">analyses. The order-1 (single-TF) enrichment analysis, in which for each regulon, TFs</w:t>
      </w:r>
      <w:r>
        <w:t xml:space="preserve"> </w:t>
      </w:r>
      <w:r>
        <w:t xml:space="preserve">either directly included in the regulon or connected as first-degree neighbors (based on</w:t>
      </w:r>
      <w:r>
        <w:t xml:space="preserve"> </w:t>
      </w:r>
      <w:r>
        <w:t xml:space="preserve">GRN topology) were considered. To assess their regulatory importance, we quantified how</w:t>
      </w:r>
      <w:r>
        <w:t xml:space="preserve"> </w:t>
      </w:r>
      <w:r>
        <w:t xml:space="preserve">many genes each TF regulates strongly within the regulons compared to its global</w:t>
      </w:r>
      <w:r>
        <w:t xml:space="preserve"> </w:t>
      </w:r>
      <w:r>
        <w:t xml:space="preserve">regulatory profile in the fusion GRNs. For each TF, the enrichment score was computed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[MATH MISSING]</m:t>
          </m:r>
        </m:oMath>
      </m:oMathPara>
    </w:p>
    <w:p>
      <w:pPr>
        <w:pStyle w:val="FirstParagraph"/>
      </w:pPr>
      <w:r>
        <w:t xml:space="preserve">The enrichment score thus quantifies the TF’s overrepresented strong regulatory influence</w:t>
      </w:r>
      <w:r>
        <w:t xml:space="preserve"> </w:t>
      </w:r>
      <w:r>
        <w:t xml:space="preserve">for given regulons. A hypergeometric test was used to determine statistical significance,</w:t>
      </w:r>
      <w:r>
        <w:t xml:space="preserve"> </w:t>
      </w:r>
      <w:r>
        <w:t xml:space="preserve">and transcription factors with significantly enriched regulons were identified as</w:t>
      </w:r>
      <w:r>
        <w:t xml:space="preserve"> </w:t>
      </w:r>
      <w:r>
        <w:t xml:space="preserve">candidate key regulators.</w:t>
      </w:r>
    </w:p>
    <w:p>
      <w:pPr>
        <w:pStyle w:val="BodyText"/>
      </w:pPr>
      <w:r>
        <w:t xml:space="preserve">The second set of regulons are the order-2 (TF-pair) enrichment analysis. To capture</w:t>
      </w:r>
      <w:r>
        <w:t xml:space="preserve"> </w:t>
      </w:r>
      <w:r>
        <w:t xml:space="preserve">potential combinatorial regulation, we extended the analysis to transcription factor</w:t>
      </w:r>
      <w:r>
        <w:t xml:space="preserve"> </w:t>
      </w:r>
      <w:r>
        <w:t xml:space="preserve">pairs (TF pairs). Like order-1, we evaluated TF pairs that were either members of a</w:t>
      </w:r>
      <w:r>
        <w:t xml:space="preserve"> </w:t>
      </w:r>
      <w:r>
        <w:t xml:space="preserve">regulon or connected to regulon genes as first-degree neighbors from fusion GRNs. For</w:t>
      </w:r>
      <w:r>
        <w:t xml:space="preserve"> </w:t>
      </w:r>
      <w:r>
        <w:t xml:space="preserve">each TF pair, we identified the set of common downstream genes that were co-regulated</w:t>
      </w:r>
      <w:r>
        <w:t xml:space="preserve"> </w:t>
      </w:r>
      <w:r>
        <w:t xml:space="preserve">within the regulon. Only interactions where at least one of the TF-to-gene edges were</w:t>
      </w:r>
      <w:r>
        <w:t xml:space="preserve"> </w:t>
      </w:r>
      <w:r>
        <w:t xml:space="preserve">classified as strong were considered; weak–weak pairs were excluded. The observed number</w:t>
      </w:r>
      <w:r>
        <w:t xml:space="preserve"> </w:t>
      </w:r>
      <w:r>
        <w:t xml:space="preserve">of co-regulated genes within the regulon was then compared to the expected overlap based</w:t>
      </w:r>
      <w:r>
        <w:t xml:space="preserve"> </w:t>
      </w:r>
      <w:r>
        <w:t xml:space="preserve">on the global GRN.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[MATH MISSING]</m:t>
          </m:r>
        </m:oMath>
      </m:oMathPara>
    </w:p>
    <w:p>
      <w:pPr>
        <w:pStyle w:val="FirstParagraph"/>
      </w:pPr>
      <w:r>
        <w:t xml:space="preserve">To reduce spurious associations, we applied two filtering criteria:</w:t>
      </w:r>
      <w:r>
        <w:t xml:space="preserve"> </w:t>
      </w:r>
      <w:r>
        <w:t xml:space="preserve">(1) TF pairs must co-regulate more than one gene within the regulon, and (2) TF pairs</w:t>
      </w:r>
      <w:r>
        <w:t xml:space="preserve"> </w:t>
      </w:r>
      <w:r>
        <w:t xml:space="preserve">must co-regulate at least four genes across the full GRN. Statistical enrichment was</w:t>
      </w:r>
      <w:r>
        <w:t xml:space="preserve"> </w:t>
      </w:r>
      <w:r>
        <w:t xml:space="preserve">again assessed using a hypergeometric test, and TF pairs with significant enrichment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 that passed both filters were retained as candidate combinatorial</w:t>
      </w:r>
      <w:r>
        <w:t xml:space="preserve"> </w:t>
      </w:r>
      <w:r>
        <w:t xml:space="preserve">regulators contributing to subtype-specific transcriptional programs.</w:t>
      </w:r>
    </w:p>
    <w:bookmarkEnd w:id="17"/>
    <w:bookmarkStart w:id="18" w:name="Xb5bbce962d9d3376eeef87f5c7732b1629db651"/>
    <w:p>
      <w:pPr>
        <w:pStyle w:val="Heading2"/>
      </w:pPr>
      <w:r>
        <w:t xml:space="preserve">Benchmarking of FIREFate cellular programs</w:t>
      </w:r>
    </w:p>
    <w:p>
      <w:pPr>
        <w:pStyle w:val="FirstParagraph"/>
      </w:pPr>
      <w:r>
        <w:t xml:space="preserve">To enable direct comparison of order-1 transcriptional programs enriched by FIREFate,</w:t>
      </w:r>
      <w:r>
        <w:t xml:space="preserve"> </w:t>
      </w:r>
      <w:r>
        <w:t xml:space="preserve">TF-centric regulons, we employed SCENIC+ to generate state-specific regulons</w:t>
      </w:r>
      <w:r>
        <w:t xml:space="preserve"> </w:t>
      </w:r>
      <w:r>
        <w:t xml:space="preserve">distinguishing GC and PB states in the B-cell system (Supplementary Fig. 1), and Tex-term</w:t>
      </w:r>
      <w:r>
        <w:t xml:space="preserve"> </w:t>
      </w:r>
      <w:r>
        <w:t xml:space="preserve">and Tex-KLR states in the T-cell system (Supplementary Fig. 2). Our workflow proceeded as</w:t>
      </w:r>
      <w:r>
        <w:t xml:space="preserve"> </w:t>
      </w:r>
      <w:r>
        <w:t xml:space="preserve">follows: SCENIC+ was first applied to single-cell multi-omic data of both systems to</w:t>
      </w:r>
      <w:r>
        <w:t xml:space="preserve"> </w:t>
      </w:r>
      <w:r>
        <w:t xml:space="preserve">infer regulons differentially active between the specified cell states. Regulon activity</w:t>
      </w:r>
      <w:r>
        <w:t xml:space="preserve"> </w:t>
      </w:r>
      <w:r>
        <w:t xml:space="preserve">and specificity were quantified using the eRegulon score. To ensure comparability across</w:t>
      </w:r>
      <w:r>
        <w:t xml:space="preserve"> </w:t>
      </w:r>
      <w:r>
        <w:t xml:space="preserve">analyses, we retained only those SCENIC+-derived regulons whose TFs overlapped with</w:t>
      </w:r>
      <w:r>
        <w:t xml:space="preserve"> </w:t>
      </w:r>
      <w:r>
        <w:t xml:space="preserve">significantly enriched order-1 TFs identified through our regulon and fusion GRN</w:t>
      </w:r>
      <w:r>
        <w:t xml:space="preserve"> </w:t>
      </w:r>
      <w:r>
        <w:t xml:space="preserve">analyses. To compare the specificity and sensitivity of those TF-centric regulons, we</w:t>
      </w:r>
      <w:r>
        <w:t xml:space="preserve"> </w:t>
      </w:r>
      <w:r>
        <w:t xml:space="preserve">compiled the target genes of each transcription factor within the selected SCENIC+</w:t>
      </w:r>
      <w:r>
        <w:t xml:space="preserve"> </w:t>
      </w:r>
      <w:r>
        <w:t xml:space="preserve">regulons, as well as those defined by the regulon and fusion GRN frameworks. We then</w:t>
      </w:r>
      <w:r>
        <w:t xml:space="preserve"> </w:t>
      </w:r>
      <w:r>
        <w:t xml:space="preserve">calculated the absolute fold changes in gene expression between the two cell state</w:t>
      </w:r>
      <w:r>
        <w:t xml:space="preserve"> </w:t>
      </w:r>
      <w:r>
        <w:t xml:space="preserve">subtypes to assess the differential regulatory impact across methodologies.</w:t>
      </w:r>
    </w:p>
    <w:bookmarkEnd w:id="18"/>
    <w:bookmarkStart w:id="19" w:name="imputation-of-multi-ome-dataset"/>
    <w:p>
      <w:pPr>
        <w:pStyle w:val="Heading2"/>
      </w:pPr>
      <w:r>
        <w:t xml:space="preserve">Imputation of multi-ome dataset</w:t>
      </w:r>
    </w:p>
    <w:p>
      <w:pPr>
        <w:pStyle w:val="FirstParagraph"/>
      </w:pPr>
      <w:r>
        <w:t xml:space="preserve">PALANTIR was used to impute the sc-RNA counts of the B-cell multi-omic (scRNA+ATAC)</w:t>
      </w:r>
      <w:r>
        <w:t xml:space="preserve"> </w:t>
      </w:r>
      <w:r>
        <w:t xml:space="preserve">dataset. Following standard preprocessing, highly variable features were selected for</w:t>
      </w:r>
      <w:r>
        <w:t xml:space="preserve"> </w:t>
      </w:r>
      <w:r>
        <w:t xml:space="preserve">PCA dimensionality reduction. 10 PC components were then used to get the Diffusion Maps</w:t>
      </w:r>
      <w:r>
        <w:t xml:space="preserve"> </w:t>
      </w:r>
      <w:r>
        <w:t xml:space="preserve">eigenvector basis and cellular neighborhood for the B-cell states. Palantir’s built-in</w:t>
      </w:r>
      <w:r>
        <w:t xml:space="preserve"> </w:t>
      </w:r>
      <w:r>
        <w:t xml:space="preserve">MAGIC algorithm was used to impute the gene expression of the highly variable genes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3018</m:t>
        </m:r>
      </m:oMath>
      <w:r>
        <w:t xml:space="preserve">). The imputed dataset was then filtered to only contain cell states of</w:t>
      </w:r>
      <w:r>
        <w:t xml:space="preserve"> </w:t>
      </w:r>
      <w:r>
        <w:t xml:space="preserve">interest for trajectory inference, dropping</w:t>
      </w:r>
      <w:r>
        <w:t xml:space="preserve"> </w:t>
      </w:r>
      <w:r>
        <w:t xml:space="preserve">‘Naive’</w:t>
      </w:r>
      <w:r>
        <w:t xml:space="preserve">,</w:t>
      </w:r>
      <w:r>
        <w:t xml:space="preserve"> </w:t>
      </w:r>
      <w:r>
        <w:t xml:space="preserve">‘8_UD_2’</w:t>
      </w:r>
      <w:r>
        <w:t xml:space="preserve">, and</w:t>
      </w:r>
      <w:r>
        <w:t xml:space="preserve"> </w:t>
      </w:r>
      <w:r>
        <w:t xml:space="preserve">‘11_UD_3’</w:t>
      </w:r>
      <w:r>
        <w:t xml:space="preserve"> </w:t>
      </w:r>
      <w:r>
        <w:t xml:space="preserve">states.</w:t>
      </w:r>
    </w:p>
    <w:bookmarkEnd w:id="19"/>
    <w:bookmarkStart w:id="20" w:name="inferring-pseudo-time-trajectory"/>
    <w:p>
      <w:pPr>
        <w:pStyle w:val="Heading2"/>
      </w:pPr>
      <w:r>
        <w:t xml:space="preserve">Inferring pseudo-time trajectory</w:t>
      </w:r>
    </w:p>
    <w:p>
      <w:pPr>
        <w:pStyle w:val="FirstParagraph"/>
      </w:pPr>
      <w:r>
        <w:t xml:space="preserve">To reconstruct single-cell differentiation trajectory from our dataset of 28,494 cells</w:t>
      </w:r>
      <w:r>
        <w:t xml:space="preserve"> </w:t>
      </w:r>
      <w:r>
        <w:t xml:space="preserve">in the B-cell system, we applied STREAM on the MAGIC imputed gene-expression layer with</w:t>
      </w:r>
      <w:r>
        <w:t xml:space="preserve"> </w:t>
      </w:r>
      <w:r>
        <w:t xml:space="preserve">‘all’</w:t>
      </w:r>
      <w:r>
        <w:t xml:space="preserve"> </w:t>
      </w:r>
      <w:r>
        <w:t xml:space="preserve">highly variable genes. A low-dimensional manifold of cellular neighborhood</w:t>
      </w:r>
      <w:r>
        <w:t xml:space="preserve"> </w:t>
      </w:r>
      <w:r>
        <w:t xml:space="preserve">reflective of the continuous differentiation process was learnt, and branching</w:t>
      </w:r>
      <w:r>
        <w:t xml:space="preserve"> </w:t>
      </w:r>
      <w:r>
        <w:t xml:space="preserve">trajectories were inferred using STREAM’s standard locally linear embeddings (SE) and</w:t>
      </w:r>
      <w:r>
        <w:t xml:space="preserve"> </w:t>
      </w:r>
      <w:r>
        <w:t xml:space="preserve">elastic principal graph framework, respectively. We applied STREAM on 2088 cells in the</w:t>
      </w:r>
      <w:r>
        <w:t xml:space="preserve"> </w:t>
      </w:r>
      <w:r>
        <w:t xml:space="preserve">T-cell system from the non-targeted control population of the RBPJ-KO Perturb-seq</w:t>
      </w:r>
      <w:r>
        <w:t xml:space="preserve"> </w:t>
      </w:r>
      <w:r>
        <w:t xml:space="preserve">dataset, without imputing gene-expression. Raw gene-expression counts were used to filter</w:t>
      </w:r>
      <w:r>
        <w:t xml:space="preserve"> </w:t>
      </w:r>
      <w:r>
        <w:t xml:space="preserve">cells and features from the T-cell dataset, which were then scaled and normalized. 370</w:t>
      </w:r>
      <w:r>
        <w:t xml:space="preserve"> </w:t>
      </w:r>
      <w:r>
        <w:t xml:space="preserve">variable genes were selected for dimensionality reduction, by fitting a loess curve on</w:t>
      </w:r>
      <w:r>
        <w:t xml:space="preserve"> </w:t>
      </w:r>
      <w:r>
        <w:t xml:space="preserve">the standard deviation and mean values of features with a fraction of 0.01 and 80th</w:t>
      </w:r>
      <w:r>
        <w:t xml:space="preserve"> </w:t>
      </w:r>
      <w:r>
        <w:t xml:space="preserve">percentile. The parameters for fitting the elastic graph on both the T-cell and B-cell</w:t>
      </w:r>
      <w:r>
        <w:t xml:space="preserve"> </w:t>
      </w:r>
      <w:r>
        <w:t xml:space="preserve">trajectories were:</w:t>
      </w:r>
      <w:r>
        <w:t xml:space="preserve"> </w:t>
      </w:r>
      <w:r>
        <w:rPr>
          <w:rStyle w:val="VerbatimChar"/>
        </w:rPr>
        <w:t xml:space="preserve">epg_alpha</w:t>
      </w:r>
      <w:r>
        <w:t xml:space="preserve"> </w:t>
      </w:r>
      <w:r>
        <w:t xml:space="preserve">= 0.02,</w:t>
      </w:r>
      <w:r>
        <w:t xml:space="preserve"> </w:t>
      </w:r>
      <w:r>
        <w:rPr>
          <w:rStyle w:val="VerbatimChar"/>
        </w:rPr>
        <w:t xml:space="preserve">epg_mu</w:t>
      </w:r>
      <w:r>
        <w:t xml:space="preserve"> </w:t>
      </w:r>
      <w:r>
        <w:t xml:space="preserve">= 0.07,</w:t>
      </w:r>
      <w:r>
        <w:t xml:space="preserve"> </w:t>
      </w:r>
      <w:r>
        <w:rPr>
          <w:rStyle w:val="VerbatimChar"/>
        </w:rPr>
        <w:t xml:space="preserve">epg_lambda</w:t>
      </w:r>
      <w:r>
        <w:t xml:space="preserve"> </w:t>
      </w:r>
      <w:r>
        <w:t xml:space="preserve">= 0.02,</w:t>
      </w:r>
      <w:r>
        <w:t xml:space="preserve"> </w:t>
      </w:r>
      <w:r>
        <w:rPr>
          <w:rStyle w:val="VerbatimChar"/>
        </w:rPr>
        <w:t xml:space="preserve">epg_trimmingradius</w:t>
      </w:r>
      <w:r>
        <w:t xml:space="preserve"> </w:t>
      </w:r>
      <w:r>
        <w:t xml:space="preserve">= 2. The method generated</w:t>
      </w:r>
      <w:r>
        <w:t xml:space="preserve"> </w:t>
      </w:r>
      <w:r>
        <w:t xml:space="preserve">bifurcating and linear trajectories, capturing the underlying transient cellular states</w:t>
      </w:r>
      <w:r>
        <w:t xml:space="preserve"> </w:t>
      </w:r>
      <w:r>
        <w:t xml:space="preserve">in both the differentiating B cells and state-switching T cells, and assigned pseudotime</w:t>
      </w:r>
      <w:r>
        <w:t xml:space="preserve"> </w:t>
      </w:r>
      <w:r>
        <w:t xml:space="preserve">values to each cell to order them on the temporal scale. We used STREAM’s visualization</w:t>
      </w:r>
      <w:r>
        <w:t xml:space="preserve"> </w:t>
      </w:r>
      <w:r>
        <w:t xml:space="preserve">modules to inspect trajectory branches, ordering of cell states based on their sequential</w:t>
      </w:r>
      <w:r>
        <w:t xml:space="preserve"> </w:t>
      </w:r>
      <w:r>
        <w:t xml:space="preserve">transitions, and gene expression changes along pseudotime branches.</w:t>
      </w:r>
    </w:p>
    <w:bookmarkEnd w:id="20"/>
    <w:bookmarkStart w:id="21" w:name="X8543cd9ca66ee4063770a419de0f3bde437d5d5"/>
    <w:p>
      <w:pPr>
        <w:pStyle w:val="Heading2"/>
      </w:pPr>
      <w:r>
        <w:t xml:space="preserve">Defining dynamic TF force on a target gene</w:t>
      </w:r>
    </w:p>
    <w:p>
      <w:pPr>
        <w:pStyle w:val="FirstParagraph"/>
      </w:pPr>
      <w:r>
        <w:t xml:space="preserve">SDE adaptation to include atac+rna / only-rna with base GRN + equation derived</w:t>
      </w:r>
      <w:r>
        <w:t xml:space="preserve"> </w:t>
      </w:r>
      <w:r>
        <w:t xml:space="preserve">empirically.</w:t>
      </w:r>
    </w:p>
    <w:bookmarkEnd w:id="21"/>
    <w:bookmarkStart w:id="22" w:name="X884bbfd10d269b809036bdcee151cc32673c763"/>
    <w:p>
      <w:pPr>
        <w:pStyle w:val="Heading2"/>
      </w:pPr>
      <w:r>
        <w:t xml:space="preserve">Construction of gene regulatory networks across episodes of state transition trajectories</w:t>
      </w:r>
    </w:p>
    <w:p>
      <w:pPr>
        <w:pStyle w:val="FirstParagraph"/>
      </w:pPr>
      <w:r>
        <w:t xml:space="preserve">Llllll</w:t>
      </w:r>
    </w:p>
    <w:bookmarkEnd w:id="22"/>
    <w:bookmarkStart w:id="23" w:name="X137a32ad5e1de83e3955f7eb696e97320c0ddf7"/>
    <w:p>
      <w:pPr>
        <w:pStyle w:val="Heading2"/>
      </w:pPr>
      <w:r>
        <w:t xml:space="preserve">Enriching for dynamic TF activity in episodic GRNs</w:t>
      </w:r>
    </w:p>
    <w:p>
      <w:pPr>
        <w:pStyle w:val="FirstParagraph"/>
      </w:pPr>
      <w:r>
        <w:t xml:space="preserve">The trajectory branches for both the datasets were broken into episodes of invariant TF</w:t>
      </w:r>
      <w:r>
        <w:t xml:space="preserve"> </w:t>
      </w:r>
      <w:r>
        <w:t xml:space="preserve">activity. T cells have a linear</w:t>
      </w:r>
    </w:p>
    <w:bookmarkEnd w:id="23"/>
    <w:bookmarkStart w:id="24" w:name="transient-regulatory-activity-analysis"/>
    <w:p>
      <w:pPr>
        <w:pStyle w:val="Heading2"/>
      </w:pPr>
      <w:r>
        <w:t xml:space="preserve">Transient regulatory activity analysis</w:t>
      </w:r>
    </w:p>
    <w:bookmarkEnd w:id="24"/>
    <w:bookmarkStart w:id="25" w:name="validation-in-vivo-dataset"/>
    <w:p>
      <w:pPr>
        <w:pStyle w:val="Heading2"/>
      </w:pPr>
      <w:r>
        <w:t xml:space="preserve">Validation in-vivo dataset??</w:t>
      </w:r>
    </w:p>
    <w:bookmarkEnd w:id="25"/>
    <w:bookmarkStart w:id="26" w:name="Xa78262e5827435b1d87b6f299cc4d1776c74d22"/>
    <w:p>
      <w:pPr>
        <w:pStyle w:val="Heading2"/>
      </w:pPr>
      <w:r>
        <w:t xml:space="preserve">Chromatin binding inference across pseudotime trajectories</w:t>
      </w:r>
    </w:p>
    <w:bookmarkEnd w:id="26"/>
    <w:bookmarkStart w:id="27" w:name="Xd46af3280397af50a3dcc35e59fdffdc4bee1e5"/>
    <w:p>
      <w:pPr>
        <w:pStyle w:val="Heading2"/>
      </w:pPr>
      <w:r>
        <w:t xml:space="preserve">Deriving phases of gene-regulation governing state switching of cells</w:t>
      </w:r>
    </w:p>
    <w:bookmarkEnd w:id="27"/>
    <w:bookmarkStart w:id="28" w:name="X67c886e3b82825905de1adfcc2144670a6d7ef0"/>
    <w:p>
      <w:pPr>
        <w:pStyle w:val="Heading2"/>
      </w:pPr>
      <w:r>
        <w:t xml:space="preserve">Utilization of optimal transport for validating dynamic TF activity</w:t>
      </w:r>
    </w:p>
    <w:bookmarkEnd w:id="28"/>
    <w:bookmarkStart w:id="29" w:name="X87190e866bf234a4a869921c1f79199eb3f123b"/>
    <w:p>
      <w:pPr>
        <w:pStyle w:val="Heading2"/>
      </w:pPr>
      <w:r>
        <w:t xml:space="preserve">Fate prediction of early activated B cells</w:t>
      </w:r>
    </w:p>
    <w:p>
      <w:pPr>
        <w:pStyle w:val="FirstParagraph"/>
      </w:pPr>
      <w:r>
        <w:t xml:space="preserve">To predict cell fate bias toward the final lineages, we first evaluated whether</w:t>
      </w:r>
      <w:r>
        <w:t xml:space="preserve"> </w:t>
      </w:r>
      <w:r>
        <w:t xml:space="preserve">transcriptomic features that distinguish TF-KO cells from controls could also serve as</w:t>
      </w:r>
      <w:r>
        <w:t xml:space="preserve"> </w:t>
      </w:r>
      <w:r>
        <w:t xml:space="preserve">informative predictors. We identified key transcriptomic features that differentiate</w:t>
      </w:r>
      <w:r>
        <w:t xml:space="preserve"> </w:t>
      </w:r>
      <w:r>
        <w:t xml:space="preserve">PRDM1- and IRF4-perturbed cells from wild-type controls by training a Lasso logistic</w:t>
      </w:r>
      <w:r>
        <w:t xml:space="preserve"> </w:t>
      </w:r>
      <w:r>
        <w:t xml:space="preserve">regression classification model (</w:t>
      </w:r>
      <w:r>
        <w:rPr>
          <w:rStyle w:val="VerbatimChar"/>
        </w:rPr>
        <w:t xml:space="preserve">LogisticRegression(penalty=’l1’, solver=’liblinear’, max_iter=10000, random_state=42)</w:t>
      </w:r>
      <w:r>
        <w:t xml:space="preserve">). The trained model was then</w:t>
      </w:r>
      <w:r>
        <w:t xml:space="preserve"> </w:t>
      </w:r>
      <w:r>
        <w:t xml:space="preserve">applied to early ABCs from the multi-omic dataset (days 2 and 4) using the</w:t>
      </w:r>
      <w:r>
        <w:t xml:space="preserve"> </w:t>
      </w:r>
      <w:r>
        <w:rPr>
          <w:rStyle w:val="VerbatimChar"/>
        </w:rPr>
        <w:t xml:space="preserve">lasso.predict(...)</w:t>
      </w:r>
      <w:r>
        <w:t xml:space="preserve"> </w:t>
      </w:r>
      <w:r>
        <w:t xml:space="preserve">function to generate predicted probabilities for each cell.</w:t>
      </w:r>
      <w:r>
        <w:t xml:space="preserve"> </w:t>
      </w:r>
      <w:r>
        <w:t xml:space="preserve">Because the response variable is binary, we assigned predicted fates to early ABCs based</w:t>
      </w:r>
      <w:r>
        <w:t xml:space="preserve"> </w:t>
      </w:r>
      <w:r>
        <w:t xml:space="preserve">on whether their predicted probability was above or below a threshold of 0.5.</w:t>
      </w:r>
    </w:p>
    <w:p>
      <w:pPr>
        <w:pStyle w:val="BodyText"/>
      </w:pPr>
      <w:r>
        <w:t xml:space="preserve">The same procedure was repeated using only the differentially expressed genes from the</w:t>
      </w:r>
      <w:r>
        <w:t xml:space="preserve"> </w:t>
      </w:r>
      <w:r>
        <w:t xml:space="preserve">training datasets. We first performed differential expression analysis between KO and</w:t>
      </w:r>
      <w:r>
        <w:t xml:space="preserve"> </w:t>
      </w:r>
      <w:r>
        <w:t xml:space="preserve">control groups and retained genes with an absolute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fold change greater than 1</w:t>
      </w:r>
      <w:r>
        <w:t xml:space="preserve"> </w:t>
      </w:r>
      <w:r>
        <w:t xml:space="preserve">and an adjusted</w:t>
      </w:r>
      <w:r>
        <w:t xml:space="preserve"> </w:t>
      </w:r>
      <m:oMath>
        <m:r>
          <m:t>p</m:t>
        </m:r>
      </m:oMath>
      <w:r>
        <w:t xml:space="preserve">-value below 0.05. The single-cell gene expression matrix was then</w:t>
      </w:r>
      <w:r>
        <w:t xml:space="preserve"> </w:t>
      </w:r>
      <w:r>
        <w:t xml:space="preserve">subset to include only these genes, and a Lasso logistic regression model was trained on</w:t>
      </w:r>
      <w:r>
        <w:t xml:space="preserve"> </w:t>
      </w:r>
      <w:r>
        <w:t xml:space="preserve">this reduced feature set. The trained model was subsequently applied to early ABCs from</w:t>
      </w:r>
      <w:r>
        <w:t xml:space="preserve"> </w:t>
      </w:r>
      <w:r>
        <w:t xml:space="preserve">the multi-omic dataset (days 2 and 4) using the same prediction function to generate and</w:t>
      </w:r>
      <w:r>
        <w:t xml:space="preserve"> </w:t>
      </w:r>
      <w:r>
        <w:t xml:space="preserve">project fate probabilities.</w:t>
      </w:r>
    </w:p>
    <w:p>
      <w:pPr>
        <w:pStyle w:val="BodyText"/>
      </w:pPr>
      <w:r>
        <w:t xml:space="preserve">We then used the inferred cellular programs from single-cell TF Perturb-seq data in the</w:t>
      </w:r>
      <w:r>
        <w:t xml:space="preserve"> </w:t>
      </w:r>
      <w:r>
        <w:t xml:space="preserve">B cell system. FIREFate projected these programs onto ABCs (day 2 and day 4) from</w:t>
      </w:r>
      <w:r>
        <w:t xml:space="preserve"> </w:t>
      </w:r>
      <w:r>
        <w:t xml:space="preserve">single-cell multiome data to estimate their transcriptional predisposition toward one of</w:t>
      </w:r>
      <w:r>
        <w:t xml:space="preserve"> </w:t>
      </w:r>
      <w:r>
        <w:t xml:space="preserve">two downstream fates (GC or PB). The latent cellular programs defined a score for each</w:t>
      </w:r>
      <w:r>
        <w:t xml:space="preserve"> </w:t>
      </w:r>
      <w:r>
        <w:t xml:space="preserve">cell, representing the degree to which its expression profile aligned with either the KO</w:t>
      </w:r>
      <w:r>
        <w:t xml:space="preserve"> </w:t>
      </w:r>
      <w:r>
        <w:t xml:space="preserve">or control state. Using these scores, we assessed the discriminative power of each model</w:t>
      </w:r>
      <w:r>
        <w:t xml:space="preserve"> </w:t>
      </w:r>
      <w:r>
        <w:t xml:space="preserve">by examining how well the score distributions separated KO and control cell populations.</w:t>
      </w:r>
      <w:r>
        <w:t xml:space="preserve"> </w:t>
      </w:r>
      <w:r>
        <w:t xml:space="preserve">For each model, we defined an optimal threshold based on the distribution that most</w:t>
      </w:r>
      <w:r>
        <w:t xml:space="preserve"> </w:t>
      </w:r>
      <w:r>
        <w:t xml:space="preserve">effectively distinguished these two groups. We then applied the same trained models to</w:t>
      </w:r>
      <w:r>
        <w:t xml:space="preserve"> </w:t>
      </w:r>
      <w:r>
        <w:t xml:space="preserve">the ABCs at day 2 and day 4 multiome data using the</w:t>
      </w:r>
      <w:r>
        <w:t xml:space="preserve"> </w:t>
      </w:r>
      <w:r>
        <w:rPr>
          <w:rStyle w:val="VerbatimChar"/>
        </w:rPr>
        <w:t xml:space="preserve">predZ</w:t>
      </w:r>
      <w:r>
        <w:t xml:space="preserve"> </w:t>
      </w:r>
      <w:r>
        <w:t xml:space="preserve">function in the SLIDE</w:t>
      </w:r>
      <w:r>
        <w:t xml:space="preserve"> </w:t>
      </w:r>
      <w:r>
        <w:t xml:space="preserve">package, generating predicted scores for uncommitted cells. Using the thresholds defined</w:t>
      </w:r>
      <w:r>
        <w:t xml:space="preserve"> </w:t>
      </w:r>
      <w:r>
        <w:t xml:space="preserve">from the Perturb-seq models, FIREFate assigned a predicted fate score to each ABC. Cells</w:t>
      </w:r>
      <w:r>
        <w:t xml:space="preserve"> </w:t>
      </w:r>
      <w:r>
        <w:t xml:space="preserve">with predicted scores above or below the KO-control threshold were classified as</w:t>
      </w:r>
      <w:r>
        <w:t xml:space="preserve"> </w:t>
      </w:r>
      <w:r>
        <w:t xml:space="preserve">transcriptionally predisposed toward different downstream fates.</w:t>
      </w:r>
    </w:p>
    <w:p>
      <w:pPr>
        <w:pStyle w:val="BodyText"/>
      </w:pPr>
      <w:r>
        <w:t xml:space="preserve">To evaluate the quality of these predictions, we trained a Lasso logistic regression</w:t>
      </w:r>
      <w:r>
        <w:t xml:space="preserve"> </w:t>
      </w:r>
      <w:r>
        <w:t xml:space="preserve">classifier to assess whether the predicted fate could be distinguished from the true fate</w:t>
      </w:r>
      <w:r>
        <w:t xml:space="preserve"> </w:t>
      </w:r>
      <w:r>
        <w:t xml:space="preserve">labels (GC and PB cells from the single-cell multiome dataset). Two scenarios were</w:t>
      </w:r>
      <w:r>
        <w:t xml:space="preserve"> </w:t>
      </w:r>
      <w:r>
        <w:t xml:space="preserve">defined: first, if a predicted fate could not be distinguished from the true identity</w:t>
      </w:r>
      <w:r>
        <w:t xml:space="preserve"> </w:t>
      </w:r>
      <w:r>
        <w:t xml:space="preserve">based on transcriptional features, the cell was assigned to the same identity.</w:t>
      </w:r>
      <w:r>
        <w:t xml:space="preserve"> </w:t>
      </w:r>
      <w:r>
        <w:t xml:space="preserve">Conversely, if the predicted fate could be confidently discriminated from the true</w:t>
      </w:r>
      <w:r>
        <w:t xml:space="preserve"> </w:t>
      </w:r>
      <w:r>
        <w:t xml:space="preserve">identity, we inferred that FIREFate did not specify the cell as belonging to the</w:t>
      </w:r>
      <w:r>
        <w:t xml:space="preserve"> </w:t>
      </w:r>
      <w:r>
        <w:t xml:space="preserve">predicted fate. This framework produced classification loss scores that quantified the</w:t>
      </w:r>
      <w:r>
        <w:t xml:space="preserve"> </w:t>
      </w:r>
      <w:r>
        <w:t xml:space="preserve">predictive confidence of rollback analysis, thereby enabling evaluation of the model’s</w:t>
      </w:r>
      <w:r>
        <w:t xml:space="preserve"> </w:t>
      </w:r>
      <w:r>
        <w:t xml:space="preserve">performance in capturing early fate bias.</w:t>
      </w:r>
    </w:p>
    <w:bookmarkEnd w:id="29"/>
    <w:bookmarkStart w:id="31" w:name="X7d28f2b6a8c94ef3d4da238e04d4c37e6e61ee4"/>
    <w:p>
      <w:pPr>
        <w:pStyle w:val="Heading2"/>
      </w:pPr>
      <w:r>
        <w:t xml:space="preserve">Gene set enrichment analysis using ESCAPE</w:t>
      </w:r>
    </w:p>
    <w:p>
      <w:pPr>
        <w:pStyle w:val="FirstParagraph"/>
      </w:pPr>
      <w:r>
        <w:t xml:space="preserve">To interrogate transcriptional heterogeneity and quantify the enrichment of gene</w:t>
      </w:r>
      <w:r>
        <w:t xml:space="preserve"> </w:t>
      </w:r>
      <w:r>
        <w:t xml:space="preserve">expression signatures at the single-cell level, we employed the ESCAPE (Enrichment of</w:t>
      </w:r>
      <w:r>
        <w:t xml:space="preserve"> </w:t>
      </w:r>
      <w:r>
        <w:t xml:space="preserve">Single Cell Analysis by Pathway Expression) framework (Borcherding et al., Bioconductor,</w:t>
      </w:r>
      <w:r>
        <w:t xml:space="preserve"> </w:t>
      </w:r>
      <w:hyperlink r:id="rId30">
        <w:r>
          <w:rPr>
            <w:rStyle w:val="Hyperlink"/>
          </w:rPr>
          <w:t xml:space="preserve">https://bioconductor.org/packages/escape</w:t>
        </w:r>
      </w:hyperlink>
      <w:r>
        <w:t xml:space="preserve">). ESCAPE is a single-cell gene set</w:t>
      </w:r>
      <w:r>
        <w:t xml:space="preserve"> </w:t>
      </w:r>
      <w:r>
        <w:t xml:space="preserve">enrichment analysis (GSEA) tool specifically designed to leverage the high dimensionality</w:t>
      </w:r>
      <w:r>
        <w:t xml:space="preserve"> </w:t>
      </w:r>
      <w:r>
        <w:t xml:space="preserve">and variability inherent to scRNA-seq data. By integrating predefined gene sets or custom</w:t>
      </w:r>
      <w:r>
        <w:t xml:space="preserve"> </w:t>
      </w:r>
      <w:r>
        <w:t xml:space="preserve">marker lists, ESCAPE calculates enrichment scores for individual cells, enabling</w:t>
      </w:r>
      <w:r>
        <w:t xml:space="preserve"> </w:t>
      </w:r>
      <w:r>
        <w:t xml:space="preserve">sensitive detection of transcriptional programs and cellular states within heterogeneous</w:t>
      </w:r>
      <w:r>
        <w:t xml:space="preserve"> </w:t>
      </w:r>
      <w:r>
        <w:t xml:space="preserve">populations. In our study, we applied ESCAPE to assess whether the transcriptional</w:t>
      </w:r>
      <w:r>
        <w:t xml:space="preserve"> </w:t>
      </w:r>
      <w:r>
        <w:t xml:space="preserve">profiles of predicted</w:t>
      </w:r>
      <w:r>
        <w:t xml:space="preserve"> </w:t>
      </w:r>
      <w:r>
        <w:t xml:space="preserve">“KO-like”</w:t>
      </w:r>
      <w:r>
        <w:t xml:space="preserve"> </w:t>
      </w:r>
      <w:r>
        <w:t xml:space="preserve">subsets reflected expected lineage biases. Enrichment</w:t>
      </w:r>
      <w:r>
        <w:t xml:space="preserve"> </w:t>
      </w:r>
      <w:r>
        <w:t xml:space="preserve">was calculated using canonical marker genes representative of progenitor-like exhausted</w:t>
      </w:r>
      <w:r>
        <w:t xml:space="preserve"> </w:t>
      </w:r>
      <w:r>
        <w:t xml:space="preserve">T cells (Tpex:</w:t>
      </w:r>
      <w:r>
        <w:t xml:space="preserve"> </w:t>
      </w:r>
      <w:r>
        <w:rPr>
          <w:i/>
          <w:iCs/>
        </w:rPr>
        <w:t xml:space="preserve">Tcf7</w:t>
      </w:r>
      <w:r>
        <w:t xml:space="preserve">,</w:t>
      </w:r>
      <w:r>
        <w:t xml:space="preserve"> </w:t>
      </w:r>
      <w:r>
        <w:rPr>
          <w:i/>
          <w:iCs/>
        </w:rPr>
        <w:t xml:space="preserve">Slamf6</w:t>
      </w:r>
      <w:r>
        <w:t xml:space="preserve">,</w:t>
      </w:r>
      <w:r>
        <w:t xml:space="preserve"> </w:t>
      </w:r>
      <w:r>
        <w:rPr>
          <w:i/>
          <w:iCs/>
        </w:rPr>
        <w:t xml:space="preserve">Myb</w:t>
      </w:r>
      <w:r>
        <w:t xml:space="preserve">,</w:t>
      </w:r>
      <w:r>
        <w:t xml:space="preserve"> </w:t>
      </w:r>
      <w:r>
        <w:rPr>
          <w:i/>
          <w:iCs/>
        </w:rPr>
        <w:t xml:space="preserve">Sell</w:t>
      </w:r>
      <w:r>
        <w:t xml:space="preserve">,</w:t>
      </w:r>
      <w:r>
        <w:t xml:space="preserve"> </w:t>
      </w:r>
      <w:r>
        <w:rPr>
          <w:i/>
          <w:iCs/>
        </w:rPr>
        <w:t xml:space="preserve">Bach2</w:t>
      </w:r>
      <w:r>
        <w:t xml:space="preserve">) and terminally exhausted T cells (Tex:</w:t>
      </w:r>
      <w:r>
        <w:t xml:space="preserve"> </w:t>
      </w:r>
      <w:r>
        <w:rPr>
          <w:i/>
          <w:iCs/>
        </w:rPr>
        <w:t xml:space="preserve">Havcr2</w:t>
      </w:r>
      <w:r>
        <w:t xml:space="preserve">,</w:t>
      </w:r>
      <w:r>
        <w:t xml:space="preserve"> </w:t>
      </w:r>
      <w:r>
        <w:rPr>
          <w:i/>
          <w:iCs/>
        </w:rPr>
        <w:t xml:space="preserve">Pdcd1</w:t>
      </w:r>
      <w:r>
        <w:t xml:space="preserve">,</w:t>
      </w:r>
      <w:r>
        <w:t xml:space="preserve"> </w:t>
      </w:r>
      <w:r>
        <w:rPr>
          <w:i/>
          <w:iCs/>
        </w:rPr>
        <w:t xml:space="preserve">Entpd1</w:t>
      </w:r>
      <w:r>
        <w:t xml:space="preserve">,</w:t>
      </w:r>
      <w:r>
        <w:t xml:space="preserve"> </w:t>
      </w:r>
      <w:r>
        <w:rPr>
          <w:i/>
          <w:iCs/>
        </w:rPr>
        <w:t xml:space="preserve">Cd38</w:t>
      </w:r>
      <w:r>
        <w:t xml:space="preserve">,</w:t>
      </w:r>
      <w:r>
        <w:t xml:space="preserve"> </w:t>
      </w:r>
      <w:r>
        <w:rPr>
          <w:i/>
          <w:iCs/>
        </w:rPr>
        <w:t xml:space="preserve">Cd244a</w:t>
      </w:r>
      <w:r>
        <w:t xml:space="preserve">,</w:t>
      </w:r>
      <w:r>
        <w:t xml:space="preserve"> </w:t>
      </w:r>
      <w:r>
        <w:rPr>
          <w:i/>
          <w:iCs/>
        </w:rPr>
        <w:t xml:space="preserve">Cxcr6</w:t>
      </w:r>
      <w:r>
        <w:t xml:space="preserve">,</w:t>
      </w:r>
      <w:r>
        <w:t xml:space="preserve"> </w:t>
      </w:r>
      <w:r>
        <w:rPr>
          <w:i/>
          <w:iCs/>
        </w:rPr>
        <w:t xml:space="preserve">Ifng</w:t>
      </w:r>
      <w:r>
        <w:t xml:space="preserve">). These</w:t>
      </w:r>
      <w:r>
        <w:t xml:space="preserve"> </w:t>
      </w:r>
      <w:r>
        <w:t xml:space="preserve">analyses allowed us to systematically compare enrichment patterns across subsets and gain</w:t>
      </w:r>
      <w:r>
        <w:t xml:space="preserve"> </w:t>
      </w:r>
      <w:r>
        <w:t xml:space="preserve">insights into the differentiation status and functional states of the populations under</w:t>
      </w:r>
      <w:r>
        <w:t xml:space="preserve"> </w:t>
      </w:r>
      <w:r>
        <w:t xml:space="preserve">investigation.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bioconductor.org/packages/escape" TargetMode="External" /><Relationship Type="http://schemas.openxmlformats.org/officeDocument/2006/relationships/hyperlink" Id="rId12" Target="https://github.com/jishnu-lab/SLIDE" TargetMode="External" /><Relationship Type="http://schemas.openxmlformats.org/officeDocument/2006/relationships/hyperlink" Id="rId13" Target="https://github.com/jishnu-lab/xxxx" TargetMode="External" /><Relationship Type="http://schemas.openxmlformats.org/officeDocument/2006/relationships/hyperlink" Id="rId9" Target="https://github.com/sachha-naksha/FIREFate.git" TargetMode="External" /><Relationship Type="http://schemas.openxmlformats.org/officeDocument/2006/relationships/hyperlink" Id="rId10" Target="https://pitt-csi.shinyapps.io/firefa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bioconductor.org/packages/escape" TargetMode="External" /><Relationship Type="http://schemas.openxmlformats.org/officeDocument/2006/relationships/hyperlink" Id="rId12" Target="https://github.com/jishnu-lab/SLIDE" TargetMode="External" /><Relationship Type="http://schemas.openxmlformats.org/officeDocument/2006/relationships/hyperlink" Id="rId13" Target="https://github.com/jishnu-lab/xxxx" TargetMode="External" /><Relationship Type="http://schemas.openxmlformats.org/officeDocument/2006/relationships/hyperlink" Id="rId9" Target="https://github.com/sachha-naksha/FIREFate.git" TargetMode="External" /><Relationship Type="http://schemas.openxmlformats.org/officeDocument/2006/relationships/hyperlink" Id="rId10" Target="https://pitt-csi.shinyapps.io/firefat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FIREFate — Methods</dc:title>
  <dc:creator/>
  <cp:keywords/>
  <dcterms:created xsi:type="dcterms:W3CDTF">2026-08-03T02:08:53Z</dcterms:created>
  <dcterms:modified xsi:type="dcterms:W3CDTF">2026-08-03T02:08:53Z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